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D4015" w14:textId="77777777" w:rsidR="00B555C8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bookmarkStart w:id="0" w:name="_gjdgxs" w:colFirst="0" w:colLast="0"/>
      <w:bookmarkEnd w:id="0"/>
    </w:p>
    <w:p w14:paraId="7510125C" w14:textId="5F83C67A" w:rsidR="00B555C8" w:rsidRDefault="001005FE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 xml:space="preserve"> </w:t>
      </w:r>
      <w:r w:rsidR="00F67FA4">
        <w:rPr>
          <w:rFonts w:eastAsia="Times New Roman"/>
          <w:b/>
          <w:sz w:val="20"/>
          <w:szCs w:val="20"/>
          <w:lang w:val="pt-BR"/>
        </w:rPr>
        <w:t>ARÉA TEMÁTICA:</w:t>
      </w:r>
      <w:r w:rsidR="00DB0A67">
        <w:rPr>
          <w:rFonts w:eastAsia="Times New Roman"/>
          <w:b/>
          <w:sz w:val="20"/>
          <w:szCs w:val="20"/>
          <w:lang w:val="pt-BR"/>
        </w:rPr>
        <w:t xml:space="preserve"> Taxonomia</w:t>
      </w:r>
    </w:p>
    <w:p w14:paraId="1F64F7EA" w14:textId="77777777" w:rsidR="00B555C8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7F879EE0" w14:textId="77777777" w:rsidR="00B555C8" w:rsidRDefault="00B555C8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10E6F389" w14:textId="73397E91" w:rsidR="00B555C8" w:rsidRPr="00A7223F" w:rsidRDefault="002F77AA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Taxonomia iterativa</w:t>
      </w:r>
      <w:r w:rsidR="00A7223F">
        <w:rPr>
          <w:rFonts w:eastAsia="Times New Roman"/>
          <w:b/>
          <w:sz w:val="20"/>
          <w:szCs w:val="20"/>
          <w:lang w:val="pt-BR"/>
        </w:rPr>
        <w:t xml:space="preserve"> na resolução de incertezas taxonômicas em anfípodes trog</w:t>
      </w:r>
      <w:r w:rsidR="00C92203">
        <w:rPr>
          <w:rFonts w:eastAsia="Times New Roman"/>
          <w:b/>
          <w:sz w:val="20"/>
          <w:szCs w:val="20"/>
          <w:lang w:val="pt-BR"/>
        </w:rPr>
        <w:t>lóbios do gênero Potiberaba</w:t>
      </w:r>
      <w:r>
        <w:rPr>
          <w:rFonts w:eastAsia="Times New Roman"/>
          <w:b/>
          <w:sz w:val="20"/>
          <w:szCs w:val="20"/>
          <w:lang w:val="pt-BR"/>
        </w:rPr>
        <w:t xml:space="preserve"> </w:t>
      </w:r>
      <w:proofErr w:type="spellStart"/>
      <w:r w:rsidRPr="002F77AA">
        <w:rPr>
          <w:rFonts w:eastAsia="Times New Roman"/>
          <w:b/>
          <w:sz w:val="20"/>
          <w:szCs w:val="20"/>
          <w:lang w:val="pt-BR"/>
        </w:rPr>
        <w:t>Fišer</w:t>
      </w:r>
      <w:proofErr w:type="spellEnd"/>
      <w:r>
        <w:rPr>
          <w:rFonts w:eastAsia="Times New Roman"/>
          <w:b/>
          <w:sz w:val="20"/>
          <w:szCs w:val="20"/>
          <w:lang w:val="pt-BR"/>
        </w:rPr>
        <w:t>, 2013</w:t>
      </w:r>
      <w:r w:rsidR="00C92203">
        <w:rPr>
          <w:rFonts w:eastAsia="Times New Roman"/>
          <w:b/>
          <w:sz w:val="20"/>
          <w:szCs w:val="20"/>
          <w:lang w:val="pt-BR"/>
        </w:rPr>
        <w:t xml:space="preserve"> em c</w:t>
      </w:r>
      <w:r w:rsidR="00A7223F">
        <w:rPr>
          <w:rFonts w:eastAsia="Times New Roman"/>
          <w:b/>
          <w:sz w:val="20"/>
          <w:szCs w:val="20"/>
          <w:lang w:val="pt-BR"/>
        </w:rPr>
        <w:t xml:space="preserve">avernas da </w:t>
      </w:r>
      <w:proofErr w:type="gramStart"/>
      <w:r w:rsidR="00A7223F">
        <w:rPr>
          <w:rFonts w:eastAsia="Times New Roman"/>
          <w:b/>
          <w:sz w:val="20"/>
          <w:szCs w:val="20"/>
          <w:lang w:val="pt-BR"/>
        </w:rPr>
        <w:t>Caatinga</w:t>
      </w:r>
      <w:proofErr w:type="gramEnd"/>
    </w:p>
    <w:p w14:paraId="07198180" w14:textId="77777777" w:rsidR="00B555C8" w:rsidRDefault="00B555C8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7889BDD9" w14:textId="5F0D5493" w:rsidR="00B555C8" w:rsidRDefault="00CC3AD3">
      <w:pPr>
        <w:spacing w:line="240" w:lineRule="auto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lang w:val="pt-BR"/>
        </w:rPr>
        <w:t>Matheus Arthur Lúcio da Rocha</w:t>
      </w:r>
      <w:r>
        <w:rPr>
          <w:rFonts w:eastAsia="Times New Roman"/>
          <w:sz w:val="20"/>
          <w:szCs w:val="20"/>
        </w:rPr>
        <w:t xml:space="preserve">¹, </w:t>
      </w:r>
      <w:r>
        <w:rPr>
          <w:rFonts w:eastAsia="Times New Roman"/>
          <w:sz w:val="20"/>
          <w:szCs w:val="20"/>
          <w:lang w:val="pt-BR"/>
        </w:rPr>
        <w:t>Diego de Medeiros Bento</w:t>
      </w:r>
      <w:r w:rsidR="00F67FA4">
        <w:rPr>
          <w:rFonts w:eastAsia="Times New Roman"/>
          <w:sz w:val="20"/>
          <w:szCs w:val="20"/>
        </w:rPr>
        <w:t>²</w:t>
      </w:r>
      <w:r w:rsidR="00F67FA4">
        <w:rPr>
          <w:rFonts w:eastAsia="Times New Roman"/>
          <w:sz w:val="20"/>
          <w:szCs w:val="20"/>
          <w:lang w:val="pt-BR"/>
        </w:rPr>
        <w:t>,</w:t>
      </w:r>
      <w:r w:rsidR="002914CB">
        <w:rPr>
          <w:rFonts w:eastAsia="Times New Roman"/>
          <w:sz w:val="20"/>
          <w:szCs w:val="20"/>
          <w:lang w:val="pt-BR"/>
        </w:rPr>
        <w:t xml:space="preserve"> Rodrigo Lopes Ferrei</w:t>
      </w:r>
      <w:r w:rsidR="003008D4">
        <w:rPr>
          <w:rFonts w:eastAsia="Times New Roman"/>
          <w:sz w:val="20"/>
          <w:szCs w:val="20"/>
          <w:lang w:val="pt-BR"/>
        </w:rPr>
        <w:t>ra</w:t>
      </w:r>
      <w:bookmarkStart w:id="1" w:name="_GoBack"/>
      <w:bookmarkEnd w:id="1"/>
      <w:r w:rsidR="00C92203">
        <w:rPr>
          <w:rFonts w:eastAsia="Times New Roman"/>
          <w:sz w:val="20"/>
          <w:szCs w:val="20"/>
          <w:lang w:val="pt-BR"/>
        </w:rPr>
        <w:t>³,</w:t>
      </w:r>
      <w:r w:rsidR="00F67FA4">
        <w:rPr>
          <w:rFonts w:eastAsia="Times New Roman"/>
          <w:sz w:val="20"/>
          <w:szCs w:val="20"/>
          <w:lang w:val="pt-BR"/>
        </w:rPr>
        <w:t xml:space="preserve"> Sergio Maia </w:t>
      </w:r>
      <w:r w:rsidR="002914CB">
        <w:rPr>
          <w:rFonts w:eastAsia="Times New Roman"/>
          <w:sz w:val="20"/>
          <w:szCs w:val="20"/>
          <w:lang w:val="pt-BR"/>
        </w:rPr>
        <w:t>Queiroz</w:t>
      </w:r>
      <w:r w:rsidR="00F67FA4">
        <w:rPr>
          <w:rFonts w:eastAsia="Times New Roman"/>
          <w:sz w:val="20"/>
          <w:szCs w:val="20"/>
          <w:lang w:val="pt-BR"/>
        </w:rPr>
        <w:t xml:space="preserve"> </w:t>
      </w:r>
      <w:proofErr w:type="gramStart"/>
      <w:r w:rsidR="00F67FA4">
        <w:rPr>
          <w:rFonts w:eastAsia="Times New Roman"/>
          <w:sz w:val="20"/>
          <w:szCs w:val="20"/>
          <w:lang w:val="pt-BR"/>
        </w:rPr>
        <w:t>Lima¹</w:t>
      </w:r>
      <w:proofErr w:type="gramEnd"/>
      <w:r w:rsidR="00F67FA4">
        <w:rPr>
          <w:rFonts w:eastAsia="Times New Roman"/>
          <w:sz w:val="20"/>
          <w:szCs w:val="20"/>
        </w:rPr>
        <w:t xml:space="preserve"> </w:t>
      </w:r>
    </w:p>
    <w:p w14:paraId="5745306E" w14:textId="1054FAC8" w:rsidR="00B555C8" w:rsidRPr="002F77AA" w:rsidRDefault="00CC3AD3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</w:rPr>
        <w:t>¹ Universidade Federal d</w:t>
      </w:r>
      <w:r>
        <w:rPr>
          <w:rFonts w:eastAsia="Times New Roman"/>
          <w:sz w:val="20"/>
          <w:szCs w:val="20"/>
          <w:lang w:val="pt-BR"/>
        </w:rPr>
        <w:t>o Rio Grande Do Norte</w:t>
      </w:r>
      <w:r w:rsidR="00F67FA4">
        <w:rPr>
          <w:rFonts w:eastAsia="Times New Roman"/>
          <w:sz w:val="20"/>
          <w:szCs w:val="20"/>
          <w:lang w:val="pt-BR"/>
        </w:rPr>
        <w:t xml:space="preserve"> </w:t>
      </w:r>
      <w:r w:rsidR="00F67FA4"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UFRN</w:t>
      </w:r>
      <w:r w:rsidR="00F67FA4">
        <w:rPr>
          <w:rFonts w:eastAsia="Times New Roman"/>
          <w:sz w:val="20"/>
          <w:szCs w:val="20"/>
        </w:rPr>
        <w:t xml:space="preserve">), </w:t>
      </w:r>
      <w:r w:rsidR="00F67FA4">
        <w:rPr>
          <w:rFonts w:eastAsia="Times New Roman"/>
          <w:iCs/>
          <w:sz w:val="20"/>
          <w:szCs w:val="20"/>
        </w:rPr>
        <w:t xml:space="preserve">Campus </w:t>
      </w:r>
      <w:r>
        <w:rPr>
          <w:rFonts w:eastAsia="Times New Roman"/>
          <w:iCs/>
          <w:sz w:val="20"/>
          <w:szCs w:val="20"/>
          <w:lang w:val="pt-BR"/>
        </w:rPr>
        <w:t>Natal</w:t>
      </w:r>
      <w:r w:rsidR="00F67FA4">
        <w:rPr>
          <w:rFonts w:eastAsia="Times New Roman"/>
          <w:iCs/>
          <w:sz w:val="20"/>
          <w:szCs w:val="20"/>
        </w:rPr>
        <w:t>.</w:t>
      </w:r>
      <w:r w:rsidR="002F77AA">
        <w:rPr>
          <w:rFonts w:eastAsia="Times New Roman"/>
          <w:sz w:val="20"/>
          <w:szCs w:val="20"/>
        </w:rPr>
        <w:t xml:space="preserve"> E-mail:</w:t>
      </w:r>
      <w:r w:rsidR="002F77AA">
        <w:rPr>
          <w:rFonts w:eastAsia="Times New Roman"/>
          <w:sz w:val="20"/>
          <w:szCs w:val="20"/>
          <w:lang w:val="pt-BR"/>
        </w:rPr>
        <w:t xml:space="preserve"> </w:t>
      </w:r>
      <w:hyperlink r:id="rId7" w:history="1">
        <w:r w:rsidR="002F77AA" w:rsidRPr="00946E0A">
          <w:rPr>
            <w:rStyle w:val="Hyperlink"/>
            <w:rFonts w:eastAsia="Times New Roman"/>
            <w:sz w:val="20"/>
            <w:szCs w:val="20"/>
            <w:lang w:val="pt-BR"/>
          </w:rPr>
          <w:t>matheusarthurrocha@outlook.com</w:t>
        </w:r>
      </w:hyperlink>
      <w:r w:rsidR="002F77AA">
        <w:rPr>
          <w:rFonts w:eastAsia="Times New Roman"/>
          <w:sz w:val="20"/>
          <w:szCs w:val="20"/>
          <w:lang w:val="pt-BR"/>
        </w:rPr>
        <w:t xml:space="preserve"> </w:t>
      </w:r>
      <w:hyperlink r:id="rId8" w:history="1">
        <w:r w:rsidR="002F77AA" w:rsidRPr="00946E0A">
          <w:rPr>
            <w:rStyle w:val="Hyperlink"/>
            <w:rFonts w:eastAsia="Times New Roman"/>
            <w:sz w:val="20"/>
            <w:szCs w:val="20"/>
            <w:lang w:val="pt-BR"/>
          </w:rPr>
          <w:t>smaialima@gmail.com</w:t>
        </w:r>
      </w:hyperlink>
      <w:r w:rsidR="002F77AA">
        <w:rPr>
          <w:rFonts w:eastAsia="Times New Roman"/>
          <w:sz w:val="20"/>
          <w:szCs w:val="20"/>
          <w:lang w:val="pt-BR"/>
        </w:rPr>
        <w:t xml:space="preserve"> </w:t>
      </w:r>
    </w:p>
    <w:p w14:paraId="145FDCE2" w14:textId="48E9FC72" w:rsidR="00B555C8" w:rsidRDefault="00836453" w:rsidP="00F67FA4">
      <w:pPr>
        <w:spacing w:line="240" w:lineRule="auto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               </w:t>
      </w:r>
      <w:r w:rsidR="00F67FA4">
        <w:rPr>
          <w:rFonts w:eastAsia="Times New Roman"/>
          <w:sz w:val="20"/>
          <w:szCs w:val="20"/>
          <w:lang w:val="pt-BR"/>
        </w:rPr>
        <w:t xml:space="preserve">  </w:t>
      </w:r>
      <w:r w:rsidR="00F67FA4">
        <w:rPr>
          <w:rFonts w:eastAsia="Times New Roman"/>
          <w:sz w:val="20"/>
          <w:szCs w:val="20"/>
        </w:rPr>
        <w:t xml:space="preserve">² </w:t>
      </w:r>
      <w:r w:rsidR="00F67FA4">
        <w:rPr>
          <w:rFonts w:eastAsia="Times New Roman"/>
          <w:sz w:val="20"/>
          <w:szCs w:val="20"/>
          <w:lang w:val="pt-BR"/>
        </w:rPr>
        <w:t xml:space="preserve">Instituto Chico Mendes de Biodiversidade </w:t>
      </w:r>
      <w:r w:rsidR="00F67FA4">
        <w:rPr>
          <w:rFonts w:eastAsia="Times New Roman"/>
          <w:sz w:val="20"/>
          <w:szCs w:val="20"/>
        </w:rPr>
        <w:t>(</w:t>
      </w:r>
      <w:proofErr w:type="spellStart"/>
      <w:r w:rsidR="00F67FA4">
        <w:rPr>
          <w:rFonts w:eastAsia="Times New Roman"/>
          <w:sz w:val="20"/>
          <w:szCs w:val="20"/>
          <w:lang w:val="pt-BR"/>
        </w:rPr>
        <w:t>ICMBio</w:t>
      </w:r>
      <w:proofErr w:type="spellEnd"/>
      <w:r w:rsidR="0059190E">
        <w:rPr>
          <w:rFonts w:eastAsia="Times New Roman"/>
          <w:sz w:val="20"/>
          <w:szCs w:val="20"/>
        </w:rPr>
        <w:t>)</w:t>
      </w:r>
      <w:r w:rsidR="0059190E">
        <w:rPr>
          <w:rFonts w:eastAsia="Times New Roman"/>
          <w:sz w:val="20"/>
          <w:szCs w:val="20"/>
          <w:lang w:val="pt-BR"/>
        </w:rPr>
        <w:t>.</w:t>
      </w:r>
      <w:r w:rsidR="00F67FA4">
        <w:rPr>
          <w:rFonts w:eastAsia="Times New Roman"/>
          <w:i/>
          <w:sz w:val="20"/>
          <w:szCs w:val="20"/>
          <w:lang w:val="pt-BR"/>
        </w:rPr>
        <w:t xml:space="preserve"> </w:t>
      </w:r>
      <w:r w:rsidR="002F77AA">
        <w:rPr>
          <w:rFonts w:eastAsia="Times New Roman"/>
          <w:sz w:val="20"/>
          <w:szCs w:val="20"/>
        </w:rPr>
        <w:t>E-mail</w:t>
      </w:r>
      <w:r w:rsidR="002F77AA">
        <w:rPr>
          <w:rFonts w:eastAsia="Times New Roman"/>
          <w:sz w:val="20"/>
          <w:szCs w:val="20"/>
          <w:lang w:val="pt-BR"/>
        </w:rPr>
        <w:t>:</w:t>
      </w:r>
    </w:p>
    <w:p w14:paraId="27258AF2" w14:textId="4BBA8EB2" w:rsidR="002F77AA" w:rsidRPr="002F77AA" w:rsidRDefault="002F77AA" w:rsidP="00F67FA4">
      <w:pPr>
        <w:spacing w:line="240" w:lineRule="auto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                                  </w:t>
      </w:r>
      <w:r w:rsidR="00836453">
        <w:rPr>
          <w:rFonts w:eastAsia="Times New Roman"/>
          <w:sz w:val="20"/>
          <w:szCs w:val="20"/>
          <w:lang w:val="pt-BR"/>
        </w:rPr>
        <w:t xml:space="preserve">                  </w:t>
      </w:r>
      <w:r>
        <w:rPr>
          <w:rFonts w:eastAsia="Times New Roman"/>
          <w:sz w:val="20"/>
          <w:szCs w:val="20"/>
          <w:lang w:val="pt-BR"/>
        </w:rPr>
        <w:t xml:space="preserve"> </w:t>
      </w:r>
      <w:hyperlink r:id="rId9" w:history="1">
        <w:r w:rsidRPr="00946E0A">
          <w:rPr>
            <w:rStyle w:val="Hyperlink"/>
            <w:rFonts w:eastAsia="Times New Roman"/>
            <w:sz w:val="20"/>
            <w:szCs w:val="20"/>
            <w:lang w:val="pt-BR"/>
          </w:rPr>
          <w:t>diego.bento@icmbio.gov.br</w:t>
        </w:r>
      </w:hyperlink>
      <w:r>
        <w:rPr>
          <w:rFonts w:eastAsia="Times New Roman"/>
          <w:sz w:val="20"/>
          <w:szCs w:val="20"/>
          <w:lang w:val="pt-BR"/>
        </w:rPr>
        <w:t xml:space="preserve"> </w:t>
      </w:r>
    </w:p>
    <w:p w14:paraId="6A618768" w14:textId="4F012BCA" w:rsidR="00C92203" w:rsidRDefault="00C92203" w:rsidP="00F67FA4">
      <w:pPr>
        <w:spacing w:line="240" w:lineRule="auto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 </w:t>
      </w:r>
      <w:r w:rsidR="00836453">
        <w:rPr>
          <w:rFonts w:eastAsia="Times New Roman"/>
          <w:sz w:val="20"/>
          <w:szCs w:val="20"/>
          <w:lang w:val="pt-BR"/>
        </w:rPr>
        <w:t xml:space="preserve">               </w:t>
      </w:r>
      <w:r>
        <w:rPr>
          <w:rFonts w:eastAsia="Times New Roman"/>
          <w:sz w:val="20"/>
          <w:szCs w:val="20"/>
          <w:lang w:val="pt-BR"/>
        </w:rPr>
        <w:t xml:space="preserve"> </w:t>
      </w:r>
      <w:proofErr w:type="gramStart"/>
      <w:r>
        <w:rPr>
          <w:rFonts w:eastAsia="Times New Roman"/>
          <w:sz w:val="20"/>
          <w:szCs w:val="20"/>
          <w:lang w:val="pt-BR"/>
        </w:rPr>
        <w:t>³</w:t>
      </w:r>
      <w:proofErr w:type="gramEnd"/>
      <w:r>
        <w:rPr>
          <w:rFonts w:eastAsia="Times New Roman"/>
          <w:sz w:val="20"/>
          <w:szCs w:val="20"/>
          <w:lang w:val="pt-BR"/>
        </w:rPr>
        <w:t xml:space="preserve"> Universidade Federal de Lavras (UFLA)</w:t>
      </w:r>
    </w:p>
    <w:p w14:paraId="4153CF95" w14:textId="78A20896" w:rsidR="00AF68EA" w:rsidRDefault="00AF68EA" w:rsidP="00F67FA4">
      <w:pPr>
        <w:spacing w:line="240" w:lineRule="auto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                                                              </w:t>
      </w:r>
      <w:hyperlink r:id="rId10" w:history="1">
        <w:r w:rsidRPr="00946E0A">
          <w:rPr>
            <w:rStyle w:val="Hyperlink"/>
            <w:rFonts w:eastAsia="Times New Roman"/>
            <w:sz w:val="20"/>
            <w:szCs w:val="20"/>
            <w:lang w:val="pt-BR"/>
          </w:rPr>
          <w:t>drops@ufla.br</w:t>
        </w:r>
      </w:hyperlink>
      <w:r>
        <w:rPr>
          <w:rFonts w:eastAsia="Times New Roman"/>
          <w:sz w:val="20"/>
          <w:szCs w:val="20"/>
          <w:lang w:val="pt-BR"/>
        </w:rPr>
        <w:t xml:space="preserve"> </w:t>
      </w:r>
    </w:p>
    <w:p w14:paraId="7AF9B826" w14:textId="591A8CDA" w:rsidR="00836453" w:rsidRPr="00C92203" w:rsidRDefault="00836453" w:rsidP="00F67FA4">
      <w:pPr>
        <w:spacing w:line="240" w:lineRule="auto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                    </w:t>
      </w:r>
    </w:p>
    <w:p w14:paraId="3CA97350" w14:textId="77777777" w:rsidR="00B555C8" w:rsidRDefault="00B555C8">
      <w:pPr>
        <w:spacing w:line="240" w:lineRule="auto"/>
        <w:rPr>
          <w:rFonts w:eastAsia="Times New Roman"/>
          <w:b/>
          <w:sz w:val="20"/>
          <w:szCs w:val="20"/>
        </w:rPr>
      </w:pPr>
    </w:p>
    <w:p w14:paraId="4BB99A28" w14:textId="77777777" w:rsidR="00B555C8" w:rsidRDefault="00F67FA4">
      <w:pPr>
        <w:spacing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INTRODUÇÃO</w:t>
      </w:r>
    </w:p>
    <w:p w14:paraId="1CBD63B7" w14:textId="398D0850" w:rsidR="00B555C8" w:rsidRDefault="00DB0A67" w:rsidP="00DB0A67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Cavernas são cavidades naturais formadas através da ação química ou mecânica</w:t>
      </w:r>
      <w:r w:rsidR="00940EE4">
        <w:rPr>
          <w:rFonts w:eastAsia="Times New Roman"/>
          <w:sz w:val="20"/>
          <w:szCs w:val="20"/>
          <w:lang w:val="pt-BR"/>
        </w:rPr>
        <w:t xml:space="preserve"> na rocha matriz. </w:t>
      </w:r>
      <w:r w:rsidR="001458D6" w:rsidRPr="001458D6">
        <w:rPr>
          <w:rFonts w:eastAsia="Times New Roman"/>
          <w:sz w:val="20"/>
          <w:szCs w:val="20"/>
          <w:lang w:val="pt-BR"/>
        </w:rPr>
        <w:t>Os sistemas subterrâneos (ambientes hipógeos) se distinguem do ambiente sup</w:t>
      </w:r>
      <w:r w:rsidR="00940EE4">
        <w:rPr>
          <w:rFonts w:eastAsia="Times New Roman"/>
          <w:sz w:val="20"/>
          <w:szCs w:val="20"/>
          <w:lang w:val="pt-BR"/>
        </w:rPr>
        <w:t>erficial (</w:t>
      </w:r>
      <w:proofErr w:type="spellStart"/>
      <w:r w:rsidR="00940EE4">
        <w:rPr>
          <w:rFonts w:eastAsia="Times New Roman"/>
          <w:sz w:val="20"/>
          <w:szCs w:val="20"/>
          <w:lang w:val="pt-BR"/>
        </w:rPr>
        <w:t>epígeo</w:t>
      </w:r>
      <w:proofErr w:type="spellEnd"/>
      <w:r w:rsidR="00940EE4">
        <w:rPr>
          <w:rFonts w:eastAsia="Times New Roman"/>
          <w:sz w:val="20"/>
          <w:szCs w:val="20"/>
          <w:lang w:val="pt-BR"/>
        </w:rPr>
        <w:t>)</w:t>
      </w:r>
      <w:r w:rsidR="001458D6" w:rsidRPr="001458D6">
        <w:rPr>
          <w:rFonts w:eastAsia="Times New Roman"/>
          <w:sz w:val="20"/>
          <w:szCs w:val="20"/>
          <w:lang w:val="pt-BR"/>
        </w:rPr>
        <w:t xml:space="preserve"> pela ausência total de luz em zonas profu</w:t>
      </w:r>
      <w:r w:rsidR="007E5176">
        <w:rPr>
          <w:rFonts w:eastAsia="Times New Roman"/>
          <w:sz w:val="20"/>
          <w:szCs w:val="20"/>
          <w:lang w:val="pt-BR"/>
        </w:rPr>
        <w:t>ndas, e estabilidade ambiental,</w:t>
      </w:r>
      <w:r w:rsidR="001458D6" w:rsidRPr="001458D6">
        <w:rPr>
          <w:rFonts w:eastAsia="Times New Roman"/>
          <w:sz w:val="20"/>
          <w:szCs w:val="20"/>
          <w:lang w:val="pt-BR"/>
        </w:rPr>
        <w:t xml:space="preserve"> em </w:t>
      </w:r>
      <w:r w:rsidR="007E5176">
        <w:rPr>
          <w:rFonts w:eastAsia="Times New Roman"/>
          <w:sz w:val="20"/>
          <w:szCs w:val="20"/>
          <w:lang w:val="pt-BR"/>
        </w:rPr>
        <w:t>aspectos</w:t>
      </w:r>
      <w:r w:rsidR="001458D6" w:rsidRPr="001458D6">
        <w:rPr>
          <w:rFonts w:eastAsia="Times New Roman"/>
          <w:sz w:val="20"/>
          <w:szCs w:val="20"/>
          <w:lang w:val="pt-BR"/>
        </w:rPr>
        <w:t xml:space="preserve"> como temperatura e umida</w:t>
      </w:r>
      <w:r w:rsidR="00F82657">
        <w:rPr>
          <w:rFonts w:eastAsia="Times New Roman"/>
          <w:sz w:val="20"/>
          <w:szCs w:val="20"/>
          <w:lang w:val="pt-BR"/>
        </w:rPr>
        <w:t>de (</w:t>
      </w:r>
      <w:proofErr w:type="spellStart"/>
      <w:r w:rsidR="00F82657">
        <w:rPr>
          <w:rFonts w:eastAsia="Times New Roman"/>
          <w:sz w:val="20"/>
          <w:szCs w:val="20"/>
          <w:lang w:val="pt-BR"/>
        </w:rPr>
        <w:t>Culver</w:t>
      </w:r>
      <w:proofErr w:type="spellEnd"/>
      <w:r w:rsidR="00F82657">
        <w:rPr>
          <w:rFonts w:eastAsia="Times New Roman"/>
          <w:sz w:val="20"/>
          <w:szCs w:val="20"/>
          <w:lang w:val="pt-BR"/>
        </w:rPr>
        <w:t xml:space="preserve"> 1982, Jones 1992). </w:t>
      </w:r>
    </w:p>
    <w:p w14:paraId="400925D3" w14:textId="3B81ECF8" w:rsidR="0009136C" w:rsidRDefault="00940EE4" w:rsidP="00DB0A67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Estes ambientes são </w:t>
      </w:r>
      <w:r w:rsidR="0009136C">
        <w:rPr>
          <w:rFonts w:eastAsia="Times New Roman"/>
          <w:sz w:val="20"/>
          <w:szCs w:val="20"/>
          <w:lang w:val="pt-BR"/>
        </w:rPr>
        <w:t>o</w:t>
      </w:r>
      <w:r>
        <w:rPr>
          <w:rFonts w:eastAsia="Times New Roman"/>
          <w:sz w:val="20"/>
          <w:szCs w:val="20"/>
          <w:lang w:val="pt-BR"/>
        </w:rPr>
        <w:t>cupados por organismos</w:t>
      </w:r>
      <w:r w:rsidR="007E5176"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  <w:lang w:val="pt-BR"/>
        </w:rPr>
        <w:t>especializados</w:t>
      </w:r>
      <w:r w:rsidR="007E5176">
        <w:rPr>
          <w:rFonts w:eastAsia="Times New Roman"/>
          <w:sz w:val="20"/>
          <w:szCs w:val="20"/>
          <w:lang w:val="pt-BR"/>
        </w:rPr>
        <w:t>,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="0009136C">
        <w:rPr>
          <w:rFonts w:eastAsia="Times New Roman"/>
          <w:sz w:val="20"/>
          <w:szCs w:val="20"/>
          <w:lang w:val="pt-BR"/>
        </w:rPr>
        <w:t>conhecidos c</w:t>
      </w:r>
      <w:r w:rsidR="00A7223F">
        <w:rPr>
          <w:rFonts w:eastAsia="Times New Roman"/>
          <w:sz w:val="20"/>
          <w:szCs w:val="20"/>
          <w:lang w:val="pt-BR"/>
        </w:rPr>
        <w:t>omo troglóbios</w:t>
      </w:r>
      <w:r w:rsidR="00302B81">
        <w:rPr>
          <w:rFonts w:eastAsia="Times New Roman"/>
          <w:sz w:val="20"/>
          <w:szCs w:val="20"/>
          <w:lang w:val="pt-BR"/>
        </w:rPr>
        <w:t xml:space="preserve"> (Ferreira </w:t>
      </w:r>
      <w:proofErr w:type="gramStart"/>
      <w:r w:rsidR="00302B81" w:rsidRPr="00703DDC">
        <w:rPr>
          <w:rFonts w:eastAsia="Times New Roman"/>
          <w:i/>
          <w:sz w:val="20"/>
          <w:szCs w:val="20"/>
          <w:lang w:val="pt-BR"/>
        </w:rPr>
        <w:t>et</w:t>
      </w:r>
      <w:proofErr w:type="gramEnd"/>
      <w:r w:rsidR="00302B81" w:rsidRPr="00703DDC">
        <w:rPr>
          <w:rFonts w:eastAsia="Times New Roman"/>
          <w:i/>
          <w:sz w:val="20"/>
          <w:szCs w:val="20"/>
          <w:lang w:val="pt-BR"/>
        </w:rPr>
        <w:t xml:space="preserve"> al</w:t>
      </w:r>
      <w:r w:rsidR="00302B81">
        <w:rPr>
          <w:rFonts w:eastAsia="Times New Roman"/>
          <w:sz w:val="20"/>
          <w:szCs w:val="20"/>
          <w:lang w:val="pt-BR"/>
        </w:rPr>
        <w:t>. 2010)</w:t>
      </w:r>
      <w:r w:rsidR="00A7223F">
        <w:rPr>
          <w:rFonts w:eastAsia="Times New Roman"/>
          <w:sz w:val="20"/>
          <w:szCs w:val="20"/>
          <w:lang w:val="pt-BR"/>
        </w:rPr>
        <w:t>. Estes</w:t>
      </w:r>
      <w:proofErr w:type="gramStart"/>
      <w:r w:rsidR="007E5176">
        <w:rPr>
          <w:rFonts w:eastAsia="Times New Roman"/>
          <w:sz w:val="20"/>
          <w:szCs w:val="20"/>
          <w:lang w:val="pt-BR"/>
        </w:rPr>
        <w:t>, apresentam</w:t>
      </w:r>
      <w:proofErr w:type="gramEnd"/>
      <w:r>
        <w:rPr>
          <w:rFonts w:eastAsia="Times New Roman"/>
          <w:sz w:val="20"/>
          <w:szCs w:val="20"/>
          <w:lang w:val="pt-BR"/>
        </w:rPr>
        <w:t xml:space="preserve"> modificações</w:t>
      </w:r>
      <w:r w:rsidR="0009136C">
        <w:rPr>
          <w:rFonts w:eastAsia="Times New Roman"/>
          <w:sz w:val="20"/>
          <w:szCs w:val="20"/>
          <w:lang w:val="pt-BR"/>
        </w:rPr>
        <w:t xml:space="preserve"> ecoló</w:t>
      </w:r>
      <w:r>
        <w:rPr>
          <w:rFonts w:eastAsia="Times New Roman"/>
          <w:sz w:val="20"/>
          <w:szCs w:val="20"/>
          <w:lang w:val="pt-BR"/>
        </w:rPr>
        <w:t>gicas, morfológicas e genética</w:t>
      </w:r>
      <w:r w:rsidR="0009136C">
        <w:rPr>
          <w:rFonts w:eastAsia="Times New Roman"/>
          <w:sz w:val="20"/>
          <w:szCs w:val="20"/>
          <w:lang w:val="pt-BR"/>
        </w:rPr>
        <w:t>s que os permitem sobr</w:t>
      </w:r>
      <w:r>
        <w:rPr>
          <w:rFonts w:eastAsia="Times New Roman"/>
          <w:sz w:val="20"/>
          <w:szCs w:val="20"/>
          <w:lang w:val="pt-BR"/>
        </w:rPr>
        <w:t>eviver nestes ambientes</w:t>
      </w:r>
      <w:r w:rsidR="00703DDC">
        <w:rPr>
          <w:rFonts w:eastAsia="Times New Roman"/>
          <w:sz w:val="20"/>
          <w:szCs w:val="20"/>
          <w:lang w:val="pt-BR"/>
        </w:rPr>
        <w:t xml:space="preserve"> (</w:t>
      </w:r>
      <w:proofErr w:type="spellStart"/>
      <w:r w:rsidR="00703DDC">
        <w:rPr>
          <w:rFonts w:eastAsia="Times New Roman"/>
          <w:sz w:val="20"/>
          <w:szCs w:val="20"/>
          <w:lang w:val="pt-BR"/>
        </w:rPr>
        <w:t>Kury</w:t>
      </w:r>
      <w:proofErr w:type="spellEnd"/>
      <w:r w:rsidR="00703DDC">
        <w:rPr>
          <w:rFonts w:eastAsia="Times New Roman"/>
          <w:sz w:val="20"/>
          <w:szCs w:val="20"/>
          <w:lang w:val="pt-BR"/>
        </w:rPr>
        <w:t xml:space="preserve"> </w:t>
      </w:r>
      <w:r w:rsidR="00703DDC" w:rsidRPr="00703DDC">
        <w:rPr>
          <w:rFonts w:eastAsia="Times New Roman"/>
          <w:i/>
          <w:sz w:val="20"/>
          <w:szCs w:val="20"/>
          <w:lang w:val="pt-BR"/>
        </w:rPr>
        <w:t>et al</w:t>
      </w:r>
      <w:r w:rsidR="00703DDC">
        <w:rPr>
          <w:rFonts w:eastAsia="Times New Roman"/>
          <w:sz w:val="20"/>
          <w:szCs w:val="20"/>
          <w:lang w:val="pt-BR"/>
        </w:rPr>
        <w:t>. 1997)</w:t>
      </w:r>
      <w:r w:rsidR="0009136C">
        <w:rPr>
          <w:rFonts w:eastAsia="Times New Roman"/>
          <w:sz w:val="20"/>
          <w:szCs w:val="20"/>
          <w:lang w:val="pt-BR"/>
        </w:rPr>
        <w:t>.</w:t>
      </w:r>
      <w:r>
        <w:rPr>
          <w:rFonts w:eastAsia="Times New Roman"/>
          <w:sz w:val="20"/>
          <w:szCs w:val="20"/>
          <w:lang w:val="pt-BR"/>
        </w:rPr>
        <w:t xml:space="preserve"> No </w:t>
      </w:r>
      <w:proofErr w:type="gramStart"/>
      <w:r>
        <w:rPr>
          <w:rFonts w:eastAsia="Times New Roman"/>
          <w:sz w:val="20"/>
          <w:szCs w:val="20"/>
          <w:lang w:val="pt-BR"/>
        </w:rPr>
        <w:t>brasil</w:t>
      </w:r>
      <w:proofErr w:type="gramEnd"/>
      <w:r>
        <w:rPr>
          <w:rFonts w:eastAsia="Times New Roman"/>
          <w:sz w:val="20"/>
          <w:szCs w:val="20"/>
          <w:lang w:val="pt-BR"/>
        </w:rPr>
        <w:t xml:space="preserve">, este grupo é amplamente representado em todas as </w:t>
      </w:r>
      <w:r w:rsidR="0009136C"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  <w:lang w:val="pt-BR"/>
        </w:rPr>
        <w:t>regiões, em cavernas dos mais diversos tipos de composição mineral, em especial, por insetos e crustáceos</w:t>
      </w:r>
      <w:r w:rsidR="00610534">
        <w:rPr>
          <w:rFonts w:eastAsia="Times New Roman"/>
          <w:sz w:val="20"/>
          <w:szCs w:val="20"/>
          <w:lang w:val="pt-BR"/>
        </w:rPr>
        <w:t xml:space="preserve"> (Silveira </w:t>
      </w:r>
      <w:r w:rsidR="00610534" w:rsidRPr="00610534">
        <w:rPr>
          <w:rFonts w:eastAsia="Times New Roman"/>
          <w:i/>
          <w:sz w:val="20"/>
          <w:szCs w:val="20"/>
          <w:lang w:val="pt-BR"/>
        </w:rPr>
        <w:t>et al.</w:t>
      </w:r>
      <w:r w:rsidR="00610534">
        <w:rPr>
          <w:rFonts w:eastAsia="Times New Roman"/>
          <w:sz w:val="20"/>
          <w:szCs w:val="20"/>
          <w:lang w:val="pt-BR"/>
        </w:rPr>
        <w:t xml:space="preserve"> 2009)</w:t>
      </w:r>
      <w:r>
        <w:rPr>
          <w:rFonts w:eastAsia="Times New Roman"/>
          <w:sz w:val="20"/>
          <w:szCs w:val="20"/>
          <w:lang w:val="pt-BR"/>
        </w:rPr>
        <w:t>. Atualment</w:t>
      </w:r>
      <w:r w:rsidR="00A7223F">
        <w:rPr>
          <w:rFonts w:eastAsia="Times New Roman"/>
          <w:sz w:val="20"/>
          <w:szCs w:val="20"/>
          <w:lang w:val="pt-BR"/>
        </w:rPr>
        <w:t>e</w:t>
      </w:r>
      <w:r w:rsidR="007E5176">
        <w:rPr>
          <w:rFonts w:eastAsia="Times New Roman"/>
          <w:sz w:val="20"/>
          <w:szCs w:val="20"/>
          <w:lang w:val="pt-BR"/>
        </w:rPr>
        <w:t>,</w:t>
      </w:r>
      <w:r w:rsidR="00A7223F">
        <w:rPr>
          <w:rFonts w:eastAsia="Times New Roman"/>
          <w:sz w:val="20"/>
          <w:szCs w:val="20"/>
          <w:lang w:val="pt-BR"/>
        </w:rPr>
        <w:t xml:space="preserve"> a r</w:t>
      </w:r>
      <w:r w:rsidR="007E5176">
        <w:rPr>
          <w:rFonts w:eastAsia="Times New Roman"/>
          <w:sz w:val="20"/>
          <w:szCs w:val="20"/>
          <w:lang w:val="pt-BR"/>
        </w:rPr>
        <w:t>egião nordeste</w:t>
      </w:r>
      <w:r w:rsidR="00A7223F">
        <w:rPr>
          <w:rFonts w:eastAsia="Times New Roman"/>
          <w:sz w:val="20"/>
          <w:szCs w:val="20"/>
          <w:lang w:val="pt-BR"/>
        </w:rPr>
        <w:t xml:space="preserve"> com ênfase n</w:t>
      </w:r>
      <w:r>
        <w:rPr>
          <w:rFonts w:eastAsia="Times New Roman"/>
          <w:sz w:val="20"/>
          <w:szCs w:val="20"/>
          <w:lang w:val="pt-BR"/>
        </w:rPr>
        <w:t>o estado do Rio Grande do Norte</w:t>
      </w:r>
      <w:r w:rsidR="00D10589">
        <w:rPr>
          <w:rFonts w:eastAsia="Times New Roman"/>
          <w:sz w:val="20"/>
          <w:szCs w:val="20"/>
          <w:lang w:val="pt-BR"/>
        </w:rPr>
        <w:t xml:space="preserve"> (RN)</w:t>
      </w:r>
      <w:r>
        <w:rPr>
          <w:rFonts w:eastAsia="Times New Roman"/>
          <w:sz w:val="20"/>
          <w:szCs w:val="20"/>
          <w:lang w:val="pt-BR"/>
        </w:rPr>
        <w:t>, vem se</w:t>
      </w:r>
      <w:r w:rsidR="007E5176">
        <w:rPr>
          <w:rFonts w:eastAsia="Times New Roman"/>
          <w:sz w:val="20"/>
          <w:szCs w:val="20"/>
          <w:lang w:val="pt-BR"/>
        </w:rPr>
        <w:t xml:space="preserve"> destacando </w:t>
      </w:r>
      <w:r w:rsidR="00A7223F">
        <w:rPr>
          <w:rFonts w:eastAsia="Times New Roman"/>
          <w:sz w:val="20"/>
          <w:szCs w:val="20"/>
          <w:lang w:val="pt-BR"/>
        </w:rPr>
        <w:t xml:space="preserve">quanto ao </w:t>
      </w:r>
      <w:r>
        <w:rPr>
          <w:rFonts w:eastAsia="Times New Roman"/>
          <w:sz w:val="20"/>
          <w:szCs w:val="20"/>
          <w:lang w:val="pt-BR"/>
        </w:rPr>
        <w:t xml:space="preserve">número de novas espécies de invertebrados troglóbios descritas, </w:t>
      </w:r>
      <w:r w:rsidR="000E2941">
        <w:rPr>
          <w:rFonts w:eastAsia="Times New Roman"/>
          <w:sz w:val="20"/>
          <w:szCs w:val="20"/>
          <w:lang w:val="pt-BR"/>
        </w:rPr>
        <w:t>como o</w:t>
      </w:r>
      <w:proofErr w:type="gramStart"/>
      <w:r w:rsidR="000E2941">
        <w:rPr>
          <w:rFonts w:eastAsia="Times New Roman"/>
          <w:sz w:val="20"/>
          <w:szCs w:val="20"/>
          <w:lang w:val="pt-BR"/>
        </w:rPr>
        <w:t xml:space="preserve">  </w:t>
      </w:r>
      <w:proofErr w:type="gramEnd"/>
      <w:r w:rsidR="000E2941">
        <w:rPr>
          <w:rFonts w:eastAsia="Times New Roman"/>
          <w:sz w:val="20"/>
          <w:szCs w:val="20"/>
          <w:lang w:val="pt-BR"/>
        </w:rPr>
        <w:t xml:space="preserve">gênero de anfípodes Potiberaba, descrito em 2013 por </w:t>
      </w:r>
      <w:proofErr w:type="spellStart"/>
      <w:r w:rsidR="000E2941" w:rsidRPr="000E2941">
        <w:rPr>
          <w:rFonts w:eastAsia="Times New Roman"/>
          <w:sz w:val="20"/>
          <w:szCs w:val="20"/>
          <w:lang w:val="pt-BR"/>
        </w:rPr>
        <w:t>Fišer</w:t>
      </w:r>
      <w:proofErr w:type="spellEnd"/>
      <w:r w:rsidR="000E2941" w:rsidRPr="000E2941">
        <w:rPr>
          <w:rFonts w:eastAsia="Times New Roman"/>
          <w:sz w:val="20"/>
          <w:szCs w:val="20"/>
          <w:lang w:val="pt-BR"/>
        </w:rPr>
        <w:t xml:space="preserve"> </w:t>
      </w:r>
      <w:r w:rsidR="00583504">
        <w:rPr>
          <w:rFonts w:eastAsia="Times New Roman"/>
          <w:sz w:val="20"/>
          <w:szCs w:val="20"/>
          <w:lang w:val="pt-BR"/>
        </w:rPr>
        <w:t>e colaboradores,</w:t>
      </w:r>
      <w:r w:rsidR="000E2941">
        <w:rPr>
          <w:rFonts w:eastAsia="Times New Roman"/>
          <w:sz w:val="20"/>
          <w:szCs w:val="20"/>
          <w:lang w:val="pt-BR"/>
        </w:rPr>
        <w:t xml:space="preserve"> sendo </w:t>
      </w:r>
      <w:r w:rsidR="000E2941" w:rsidRPr="000E2941">
        <w:rPr>
          <w:rFonts w:eastAsia="Times New Roman"/>
          <w:i/>
          <w:sz w:val="20"/>
          <w:szCs w:val="20"/>
          <w:lang w:val="pt-BR"/>
        </w:rPr>
        <w:t>Potiberaba porakuara</w:t>
      </w:r>
      <w:r w:rsidR="000E2941">
        <w:rPr>
          <w:rFonts w:eastAsia="Times New Roman"/>
          <w:sz w:val="20"/>
          <w:szCs w:val="20"/>
          <w:lang w:val="pt-BR"/>
        </w:rPr>
        <w:t xml:space="preserve"> a única espécie descrita até então.</w:t>
      </w:r>
    </w:p>
    <w:p w14:paraId="5A816C35" w14:textId="758BA935" w:rsidR="000E2941" w:rsidRPr="00D10589" w:rsidRDefault="000E2941" w:rsidP="00DB0A67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Até 2022</w:t>
      </w:r>
      <w:r w:rsidR="007E5176">
        <w:rPr>
          <w:rFonts w:eastAsia="Times New Roman"/>
          <w:sz w:val="20"/>
          <w:szCs w:val="20"/>
          <w:lang w:val="pt-BR"/>
        </w:rPr>
        <w:t>,</w:t>
      </w:r>
      <w:r>
        <w:rPr>
          <w:rFonts w:eastAsia="Times New Roman"/>
          <w:sz w:val="20"/>
          <w:szCs w:val="20"/>
          <w:lang w:val="pt-BR"/>
        </w:rPr>
        <w:t xml:space="preserve"> acredita</w:t>
      </w:r>
      <w:r w:rsidR="007E5176">
        <w:rPr>
          <w:rFonts w:eastAsia="Times New Roman"/>
          <w:sz w:val="20"/>
          <w:szCs w:val="20"/>
          <w:lang w:val="pt-BR"/>
        </w:rPr>
        <w:t>va</w:t>
      </w:r>
      <w:r>
        <w:rPr>
          <w:rFonts w:eastAsia="Times New Roman"/>
          <w:sz w:val="20"/>
          <w:szCs w:val="20"/>
          <w:lang w:val="pt-BR"/>
        </w:rPr>
        <w:t xml:space="preserve">-se que </w:t>
      </w:r>
      <w:r w:rsidRPr="007E5176">
        <w:rPr>
          <w:rFonts w:eastAsia="Times New Roman"/>
          <w:i/>
          <w:sz w:val="20"/>
          <w:szCs w:val="20"/>
          <w:lang w:val="pt-BR"/>
        </w:rPr>
        <w:t>P. porakuara</w:t>
      </w:r>
      <w:r>
        <w:rPr>
          <w:rFonts w:eastAsia="Times New Roman"/>
          <w:sz w:val="20"/>
          <w:szCs w:val="20"/>
          <w:lang w:val="pt-BR"/>
        </w:rPr>
        <w:t xml:space="preserve"> era uma espécie amplamente distribuída nas cavernas da região, inseridas dentro da formaçã</w:t>
      </w:r>
      <w:r w:rsidR="007E5176">
        <w:rPr>
          <w:rFonts w:eastAsia="Times New Roman"/>
          <w:sz w:val="20"/>
          <w:szCs w:val="20"/>
          <w:lang w:val="pt-BR"/>
        </w:rPr>
        <w:t>o do calcário Jandaíra, região O</w:t>
      </w:r>
      <w:r>
        <w:rPr>
          <w:rFonts w:eastAsia="Times New Roman"/>
          <w:sz w:val="20"/>
          <w:szCs w:val="20"/>
          <w:lang w:val="pt-BR"/>
        </w:rPr>
        <w:t>este do RN</w:t>
      </w:r>
      <w:r w:rsidR="00D10589">
        <w:rPr>
          <w:rFonts w:eastAsia="Times New Roman"/>
          <w:sz w:val="20"/>
          <w:szCs w:val="20"/>
          <w:lang w:val="pt-BR"/>
        </w:rPr>
        <w:t xml:space="preserve">. Entretanto, através de investigações utilizando o marcador mitocondrial </w:t>
      </w:r>
      <w:r w:rsidR="00D10589" w:rsidRPr="00D10589">
        <w:rPr>
          <w:rFonts w:eastAsia="Times New Roman"/>
          <w:i/>
          <w:sz w:val="20"/>
          <w:szCs w:val="20"/>
          <w:lang w:val="pt-BR"/>
        </w:rPr>
        <w:t>COXI</w:t>
      </w:r>
      <w:r w:rsidR="00D10589">
        <w:rPr>
          <w:rFonts w:eastAsia="Times New Roman"/>
          <w:sz w:val="20"/>
          <w:szCs w:val="20"/>
          <w:lang w:val="pt-BR"/>
        </w:rPr>
        <w:t xml:space="preserve">, um estudo realizado em 2022 por Bento </w:t>
      </w:r>
      <w:proofErr w:type="gramStart"/>
      <w:r w:rsidR="00D10589" w:rsidRPr="007E5176">
        <w:rPr>
          <w:rFonts w:eastAsia="Times New Roman"/>
          <w:i/>
          <w:sz w:val="20"/>
          <w:szCs w:val="20"/>
          <w:lang w:val="pt-BR"/>
        </w:rPr>
        <w:t>et</w:t>
      </w:r>
      <w:proofErr w:type="gramEnd"/>
      <w:r w:rsidR="00D10589" w:rsidRPr="007E5176">
        <w:rPr>
          <w:rFonts w:eastAsia="Times New Roman"/>
          <w:i/>
          <w:sz w:val="20"/>
          <w:szCs w:val="20"/>
          <w:lang w:val="pt-BR"/>
        </w:rPr>
        <w:t xml:space="preserve"> al</w:t>
      </w:r>
      <w:r w:rsidR="00D10589">
        <w:rPr>
          <w:rFonts w:eastAsia="Times New Roman"/>
          <w:sz w:val="20"/>
          <w:szCs w:val="20"/>
          <w:lang w:val="pt-BR"/>
        </w:rPr>
        <w:t xml:space="preserve">. indicou a possibilidade de </w:t>
      </w:r>
      <w:r w:rsidR="00D10589" w:rsidRPr="007E5176">
        <w:rPr>
          <w:rFonts w:eastAsia="Times New Roman"/>
          <w:i/>
          <w:sz w:val="20"/>
          <w:szCs w:val="20"/>
          <w:lang w:val="pt-BR"/>
        </w:rPr>
        <w:t>P. porakuara</w:t>
      </w:r>
      <w:r w:rsidR="00D10589">
        <w:rPr>
          <w:rFonts w:eastAsia="Times New Roman"/>
          <w:sz w:val="20"/>
          <w:szCs w:val="20"/>
          <w:lang w:val="pt-BR"/>
        </w:rPr>
        <w:t xml:space="preserve"> ser um</w:t>
      </w:r>
      <w:r w:rsidR="007E5176">
        <w:rPr>
          <w:rFonts w:eastAsia="Times New Roman"/>
          <w:sz w:val="20"/>
          <w:szCs w:val="20"/>
          <w:lang w:val="pt-BR"/>
        </w:rPr>
        <w:t xml:space="preserve"> complexo com pelo menos</w:t>
      </w:r>
      <w:r w:rsidR="00D10589">
        <w:rPr>
          <w:rFonts w:eastAsia="Times New Roman"/>
          <w:sz w:val="20"/>
          <w:szCs w:val="20"/>
          <w:lang w:val="pt-BR"/>
        </w:rPr>
        <w:t xml:space="preserve"> 5 espécies distintas. Desse modo, novas expedições foram realizadas ao conjunto de cavernas, aumentando assim o número amostral de indivíduos para posteriores investigações moleculares e morfológicas, podendo assim</w:t>
      </w:r>
      <w:r w:rsidR="007E5176">
        <w:rPr>
          <w:rFonts w:eastAsia="Times New Roman"/>
          <w:sz w:val="20"/>
          <w:szCs w:val="20"/>
          <w:lang w:val="pt-BR"/>
        </w:rPr>
        <w:t>,</w:t>
      </w:r>
      <w:r w:rsidR="00D10589">
        <w:rPr>
          <w:rFonts w:eastAsia="Times New Roman"/>
          <w:sz w:val="20"/>
          <w:szCs w:val="20"/>
          <w:lang w:val="pt-BR"/>
        </w:rPr>
        <w:t xml:space="preserve"> testar a hipótese da presença de um complexo de espécies dentro do gênero Potiberaba, e se comprovada, utilizar as informações morfológicas e genéticas para descrição das novas espécies.</w:t>
      </w:r>
    </w:p>
    <w:p w14:paraId="28A71EFA" w14:textId="77777777" w:rsidR="00B555C8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2E5C18D7" w14:textId="1DDCADFE" w:rsidR="00B555C8" w:rsidRPr="00FC6916" w:rsidRDefault="00F67FA4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</w:rPr>
        <w:t>MATERIAL E MÉTODOS</w:t>
      </w:r>
    </w:p>
    <w:p w14:paraId="1E31B68A" w14:textId="17C41C95" w:rsidR="00B555C8" w:rsidRDefault="00D10589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Os espécimes foram coletados em um c</w:t>
      </w:r>
      <w:r w:rsidR="00F55607">
        <w:rPr>
          <w:rFonts w:eastAsia="Times New Roman"/>
          <w:sz w:val="20"/>
          <w:szCs w:val="20"/>
          <w:lang w:val="pt-BR"/>
        </w:rPr>
        <w:t xml:space="preserve">onjunto de cavernas </w:t>
      </w:r>
      <w:r>
        <w:rPr>
          <w:rFonts w:eastAsia="Times New Roman"/>
          <w:sz w:val="20"/>
          <w:szCs w:val="20"/>
          <w:lang w:val="pt-BR"/>
        </w:rPr>
        <w:t>na formaç</w:t>
      </w:r>
      <w:r w:rsidR="00400D0E">
        <w:rPr>
          <w:rFonts w:eastAsia="Times New Roman"/>
          <w:sz w:val="20"/>
          <w:szCs w:val="20"/>
          <w:lang w:val="pt-BR"/>
        </w:rPr>
        <w:t xml:space="preserve">ão do calcário Jandaíra, </w:t>
      </w:r>
      <w:r>
        <w:rPr>
          <w:rFonts w:eastAsia="Times New Roman"/>
          <w:sz w:val="20"/>
          <w:szCs w:val="20"/>
          <w:lang w:val="pt-BR"/>
        </w:rPr>
        <w:t xml:space="preserve">Oeste do RN. </w:t>
      </w:r>
      <w:r w:rsidR="00B4744A" w:rsidRPr="00B4744A">
        <w:rPr>
          <w:rFonts w:eastAsia="Times New Roman"/>
          <w:sz w:val="20"/>
          <w:szCs w:val="20"/>
          <w:lang w:val="pt-BR"/>
        </w:rPr>
        <w:t xml:space="preserve">Para obtenção dos espécimes, foi utilizado um puçá de tela </w:t>
      </w:r>
      <w:r w:rsidR="00B4744A">
        <w:rPr>
          <w:rFonts w:eastAsia="Times New Roman"/>
          <w:sz w:val="20"/>
          <w:szCs w:val="20"/>
          <w:lang w:val="pt-BR"/>
        </w:rPr>
        <w:t xml:space="preserve">e </w:t>
      </w:r>
      <w:proofErr w:type="spellStart"/>
      <w:r w:rsidR="00B4744A">
        <w:rPr>
          <w:rFonts w:eastAsia="Times New Roman"/>
          <w:sz w:val="20"/>
          <w:szCs w:val="20"/>
          <w:lang w:val="pt-BR"/>
        </w:rPr>
        <w:t>piceta</w:t>
      </w:r>
      <w:proofErr w:type="spellEnd"/>
      <w:r w:rsidR="00400D0E">
        <w:rPr>
          <w:rFonts w:eastAsia="Times New Roman"/>
          <w:sz w:val="20"/>
          <w:szCs w:val="20"/>
          <w:lang w:val="pt-BR"/>
        </w:rPr>
        <w:t xml:space="preserve">. Todos </w:t>
      </w:r>
      <w:r w:rsidR="00AB5B5F">
        <w:rPr>
          <w:rFonts w:eastAsia="Times New Roman"/>
          <w:sz w:val="20"/>
          <w:szCs w:val="20"/>
          <w:lang w:val="pt-BR"/>
        </w:rPr>
        <w:t>foram fixados</w:t>
      </w:r>
      <w:r w:rsidR="00B4744A" w:rsidRPr="00B4744A">
        <w:rPr>
          <w:rFonts w:eastAsia="Times New Roman"/>
          <w:sz w:val="20"/>
          <w:szCs w:val="20"/>
          <w:lang w:val="pt-BR"/>
        </w:rPr>
        <w:t xml:space="preserve"> em solução de etanol 100% e identificados segundo </w:t>
      </w:r>
      <w:proofErr w:type="spellStart"/>
      <w:r w:rsidR="00B4744A" w:rsidRPr="00B4744A">
        <w:rPr>
          <w:rFonts w:eastAsia="Times New Roman"/>
          <w:sz w:val="20"/>
          <w:szCs w:val="20"/>
          <w:lang w:val="pt-BR"/>
        </w:rPr>
        <w:t>Fišer</w:t>
      </w:r>
      <w:proofErr w:type="spellEnd"/>
      <w:r w:rsidR="00B4744A" w:rsidRPr="00B4744A">
        <w:rPr>
          <w:rFonts w:eastAsia="Times New Roman"/>
          <w:sz w:val="20"/>
          <w:szCs w:val="20"/>
          <w:lang w:val="pt-BR"/>
        </w:rPr>
        <w:t xml:space="preserve"> </w:t>
      </w:r>
      <w:proofErr w:type="gramStart"/>
      <w:r w:rsidR="00B4744A" w:rsidRPr="00583504">
        <w:rPr>
          <w:rFonts w:eastAsia="Times New Roman"/>
          <w:i/>
          <w:sz w:val="20"/>
          <w:szCs w:val="20"/>
          <w:lang w:val="pt-BR"/>
        </w:rPr>
        <w:t>et</w:t>
      </w:r>
      <w:proofErr w:type="gramEnd"/>
      <w:r w:rsidR="00B4744A" w:rsidRPr="00583504">
        <w:rPr>
          <w:rFonts w:eastAsia="Times New Roman"/>
          <w:i/>
          <w:sz w:val="20"/>
          <w:szCs w:val="20"/>
          <w:lang w:val="pt-BR"/>
        </w:rPr>
        <w:t xml:space="preserve"> al.</w:t>
      </w:r>
      <w:r w:rsidR="00B4744A" w:rsidRPr="00B4744A">
        <w:rPr>
          <w:rFonts w:eastAsia="Times New Roman"/>
          <w:sz w:val="20"/>
          <w:szCs w:val="20"/>
          <w:lang w:val="pt-BR"/>
        </w:rPr>
        <w:t xml:space="preserve"> (2013). Em seguida, as amostras foram subdivididas, separando animais para análises morfológicas e moleculares</w:t>
      </w:r>
      <w:r w:rsidR="00AB5B5F">
        <w:rPr>
          <w:rFonts w:eastAsia="Times New Roman"/>
          <w:sz w:val="20"/>
          <w:szCs w:val="20"/>
          <w:lang w:val="pt-BR"/>
        </w:rPr>
        <w:t>.</w:t>
      </w:r>
    </w:p>
    <w:p w14:paraId="231A16DB" w14:textId="5BDE1EBE" w:rsidR="003B3E28" w:rsidRPr="003B3E28" w:rsidRDefault="00400D0E" w:rsidP="005C501E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O DNA </w:t>
      </w:r>
      <w:r w:rsidR="003B3E28" w:rsidRPr="003B3E28">
        <w:rPr>
          <w:rFonts w:eastAsia="Times New Roman"/>
          <w:sz w:val="20"/>
          <w:szCs w:val="20"/>
          <w:lang w:val="pt-BR"/>
        </w:rPr>
        <w:t xml:space="preserve">foi extraído de indivíduos de cada linhagem de Potiberaba identificada por Bento </w:t>
      </w:r>
      <w:proofErr w:type="gramStart"/>
      <w:r w:rsidR="003B3E28" w:rsidRPr="00400D0E">
        <w:rPr>
          <w:rFonts w:eastAsia="Times New Roman"/>
          <w:i/>
          <w:sz w:val="20"/>
          <w:szCs w:val="20"/>
          <w:lang w:val="pt-BR"/>
        </w:rPr>
        <w:t>et</w:t>
      </w:r>
      <w:proofErr w:type="gramEnd"/>
      <w:r w:rsidR="003B3E28" w:rsidRPr="00400D0E">
        <w:rPr>
          <w:rFonts w:eastAsia="Times New Roman"/>
          <w:i/>
          <w:sz w:val="20"/>
          <w:szCs w:val="20"/>
          <w:lang w:val="pt-BR"/>
        </w:rPr>
        <w:t xml:space="preserve"> al</w:t>
      </w:r>
      <w:r>
        <w:rPr>
          <w:rFonts w:eastAsia="Times New Roman"/>
          <w:sz w:val="20"/>
          <w:szCs w:val="20"/>
          <w:lang w:val="pt-BR"/>
        </w:rPr>
        <w:t xml:space="preserve"> (2022)</w:t>
      </w:r>
      <w:r w:rsidR="003B3E28" w:rsidRPr="003B3E28">
        <w:rPr>
          <w:rFonts w:eastAsia="Times New Roman"/>
          <w:sz w:val="20"/>
          <w:szCs w:val="20"/>
          <w:lang w:val="pt-BR"/>
        </w:rPr>
        <w:t xml:space="preserve"> para ambos os marcadores, utilizando o kit </w:t>
      </w:r>
      <w:proofErr w:type="spellStart"/>
      <w:r w:rsidR="003B3E28" w:rsidRPr="003B3E28">
        <w:rPr>
          <w:rFonts w:eastAsia="Times New Roman"/>
          <w:sz w:val="20"/>
          <w:szCs w:val="20"/>
          <w:lang w:val="pt-BR"/>
        </w:rPr>
        <w:t>DNeasy</w:t>
      </w:r>
      <w:proofErr w:type="spellEnd"/>
      <w:r w:rsidR="003B3E28" w:rsidRPr="003B3E28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3B3E28" w:rsidRPr="003B3E28">
        <w:rPr>
          <w:rFonts w:eastAsia="Times New Roman"/>
          <w:sz w:val="20"/>
          <w:szCs w:val="20"/>
          <w:lang w:val="pt-BR"/>
        </w:rPr>
        <w:t>Blood</w:t>
      </w:r>
      <w:proofErr w:type="spellEnd"/>
      <w:r w:rsidR="003B3E28" w:rsidRPr="003B3E28">
        <w:rPr>
          <w:rFonts w:eastAsia="Times New Roman"/>
          <w:sz w:val="20"/>
          <w:szCs w:val="20"/>
          <w:lang w:val="pt-BR"/>
        </w:rPr>
        <w:t xml:space="preserve"> &amp; </w:t>
      </w:r>
      <w:proofErr w:type="spellStart"/>
      <w:r w:rsidR="003B3E28" w:rsidRPr="003B3E28">
        <w:rPr>
          <w:rFonts w:eastAsia="Times New Roman"/>
          <w:sz w:val="20"/>
          <w:szCs w:val="20"/>
          <w:lang w:val="pt-BR"/>
        </w:rPr>
        <w:t>Tissue</w:t>
      </w:r>
      <w:proofErr w:type="spellEnd"/>
      <w:r w:rsidR="003B3E28" w:rsidRPr="003B3E28">
        <w:rPr>
          <w:rFonts w:eastAsia="Times New Roman"/>
          <w:sz w:val="20"/>
          <w:szCs w:val="20"/>
          <w:lang w:val="pt-BR"/>
        </w:rPr>
        <w:t xml:space="preserve"> Kit (</w:t>
      </w:r>
      <w:proofErr w:type="spellStart"/>
      <w:r w:rsidR="003B3E28" w:rsidRPr="003B3E28">
        <w:rPr>
          <w:rFonts w:eastAsia="Times New Roman"/>
          <w:sz w:val="20"/>
          <w:szCs w:val="20"/>
          <w:lang w:val="pt-BR"/>
        </w:rPr>
        <w:t>Qiagen</w:t>
      </w:r>
      <w:proofErr w:type="spellEnd"/>
      <w:r w:rsidR="003B3E28" w:rsidRPr="003B3E28">
        <w:rPr>
          <w:rFonts w:eastAsia="Times New Roman"/>
          <w:sz w:val="20"/>
          <w:szCs w:val="20"/>
          <w:lang w:val="pt-BR"/>
        </w:rPr>
        <w:t>). Foram obtidas sequências parciais do gene mitocondrial</w:t>
      </w:r>
      <w:r w:rsidR="005C501E">
        <w:rPr>
          <w:rFonts w:eastAsia="Times New Roman"/>
          <w:sz w:val="20"/>
          <w:szCs w:val="20"/>
          <w:lang w:val="pt-BR"/>
        </w:rPr>
        <w:t xml:space="preserve"> </w:t>
      </w:r>
      <w:r w:rsidR="005C501E" w:rsidRPr="005C501E">
        <w:rPr>
          <w:rFonts w:eastAsia="Times New Roman"/>
          <w:i/>
          <w:sz w:val="20"/>
          <w:szCs w:val="20"/>
          <w:lang w:val="pt-BR"/>
        </w:rPr>
        <w:t>COXI</w:t>
      </w:r>
      <w:r w:rsidR="003B3E28" w:rsidRPr="003B3E28">
        <w:rPr>
          <w:rFonts w:eastAsia="Times New Roman"/>
          <w:sz w:val="20"/>
          <w:szCs w:val="20"/>
          <w:lang w:val="pt-BR"/>
        </w:rPr>
        <w:t xml:space="preserve"> e do </w:t>
      </w:r>
      <w:r w:rsidR="005C501E">
        <w:rPr>
          <w:rFonts w:eastAsia="Times New Roman"/>
          <w:sz w:val="20"/>
          <w:szCs w:val="20"/>
          <w:lang w:val="pt-BR"/>
        </w:rPr>
        <w:t xml:space="preserve">nuclear </w:t>
      </w:r>
      <w:r w:rsidR="003B3E28" w:rsidRPr="005C501E">
        <w:rPr>
          <w:rFonts w:eastAsia="Times New Roman"/>
          <w:i/>
          <w:sz w:val="20"/>
          <w:szCs w:val="20"/>
          <w:lang w:val="pt-BR"/>
        </w:rPr>
        <w:t>28S</w:t>
      </w:r>
      <w:r w:rsidR="003B3E28">
        <w:rPr>
          <w:rFonts w:eastAsia="Times New Roman"/>
          <w:sz w:val="20"/>
          <w:szCs w:val="20"/>
          <w:lang w:val="pt-BR"/>
        </w:rPr>
        <w:t>.</w:t>
      </w:r>
      <w:r>
        <w:rPr>
          <w:rFonts w:eastAsia="Times New Roman"/>
          <w:sz w:val="20"/>
          <w:szCs w:val="20"/>
          <w:lang w:val="pt-BR"/>
        </w:rPr>
        <w:t xml:space="preserve"> Para ambos,</w:t>
      </w:r>
      <w:r w:rsidR="003B3E28" w:rsidRPr="003B3E28">
        <w:rPr>
          <w:rFonts w:eastAsia="Times New Roman"/>
          <w:sz w:val="20"/>
          <w:szCs w:val="20"/>
          <w:lang w:val="pt-BR"/>
        </w:rPr>
        <w:t xml:space="preserve"> a PCR seguiu</w:t>
      </w:r>
      <w:r w:rsidR="005C501E">
        <w:rPr>
          <w:rFonts w:eastAsia="Times New Roman"/>
          <w:sz w:val="20"/>
          <w:szCs w:val="20"/>
          <w:lang w:val="pt-BR"/>
        </w:rPr>
        <w:t xml:space="preserve"> os parâmetros descritos em Bento </w:t>
      </w:r>
      <w:proofErr w:type="gramStart"/>
      <w:r w:rsidR="005C501E" w:rsidRPr="00400D0E">
        <w:rPr>
          <w:rFonts w:eastAsia="Times New Roman"/>
          <w:i/>
          <w:sz w:val="20"/>
          <w:szCs w:val="20"/>
          <w:lang w:val="pt-BR"/>
        </w:rPr>
        <w:t>et</w:t>
      </w:r>
      <w:proofErr w:type="gramEnd"/>
      <w:r w:rsidR="005C501E" w:rsidRPr="00400D0E">
        <w:rPr>
          <w:rFonts w:eastAsia="Times New Roman"/>
          <w:i/>
          <w:sz w:val="20"/>
          <w:szCs w:val="20"/>
          <w:lang w:val="pt-BR"/>
        </w:rPr>
        <w:t xml:space="preserve"> al</w:t>
      </w:r>
      <w:r>
        <w:rPr>
          <w:rFonts w:eastAsia="Times New Roman"/>
          <w:sz w:val="20"/>
          <w:szCs w:val="20"/>
          <w:lang w:val="pt-BR"/>
        </w:rPr>
        <w:t xml:space="preserve"> (2022)</w:t>
      </w:r>
      <w:r w:rsidR="005C501E">
        <w:rPr>
          <w:rFonts w:eastAsia="Times New Roman"/>
          <w:sz w:val="20"/>
          <w:szCs w:val="20"/>
          <w:lang w:val="pt-BR"/>
        </w:rPr>
        <w:t xml:space="preserve">. </w:t>
      </w:r>
      <w:r w:rsidR="003B3E28" w:rsidRPr="003B3E28">
        <w:rPr>
          <w:rFonts w:eastAsia="Times New Roman"/>
          <w:sz w:val="20"/>
          <w:szCs w:val="20"/>
          <w:lang w:val="pt-BR"/>
        </w:rPr>
        <w:t>Todos os pro</w:t>
      </w:r>
      <w:r w:rsidR="003B3E28">
        <w:rPr>
          <w:rFonts w:eastAsia="Times New Roman"/>
          <w:sz w:val="20"/>
          <w:szCs w:val="20"/>
          <w:lang w:val="pt-BR"/>
        </w:rPr>
        <w:t>dutos de PCR foram</w:t>
      </w:r>
      <w:r w:rsidR="003B3E28" w:rsidRPr="003B3E28">
        <w:rPr>
          <w:rFonts w:eastAsia="Times New Roman"/>
          <w:sz w:val="20"/>
          <w:szCs w:val="20"/>
          <w:lang w:val="pt-BR"/>
        </w:rPr>
        <w:t xml:space="preserve"> visu</w:t>
      </w:r>
      <w:r w:rsidR="003B3E28">
        <w:rPr>
          <w:rFonts w:eastAsia="Times New Roman"/>
          <w:sz w:val="20"/>
          <w:szCs w:val="20"/>
          <w:lang w:val="pt-BR"/>
        </w:rPr>
        <w:t xml:space="preserve">alizados em gel de </w:t>
      </w:r>
      <w:proofErr w:type="spellStart"/>
      <w:r w:rsidR="003B3E28">
        <w:rPr>
          <w:rFonts w:eastAsia="Times New Roman"/>
          <w:sz w:val="20"/>
          <w:szCs w:val="20"/>
          <w:lang w:val="pt-BR"/>
        </w:rPr>
        <w:t>agarose</w:t>
      </w:r>
      <w:proofErr w:type="spellEnd"/>
      <w:r w:rsidR="003B3E28">
        <w:rPr>
          <w:rFonts w:eastAsia="Times New Roman"/>
          <w:sz w:val="20"/>
          <w:szCs w:val="20"/>
          <w:lang w:val="pt-BR"/>
        </w:rPr>
        <w:t xml:space="preserve"> </w:t>
      </w:r>
      <w:r w:rsidR="003B3E28" w:rsidRPr="003B3E28">
        <w:rPr>
          <w:rFonts w:eastAsia="Times New Roman"/>
          <w:sz w:val="20"/>
          <w:szCs w:val="20"/>
          <w:lang w:val="pt-BR"/>
        </w:rPr>
        <w:t xml:space="preserve">e </w:t>
      </w:r>
      <w:r w:rsidR="003B3E28">
        <w:rPr>
          <w:rFonts w:eastAsia="Times New Roman"/>
          <w:sz w:val="20"/>
          <w:szCs w:val="20"/>
          <w:lang w:val="pt-BR"/>
        </w:rPr>
        <w:t>utilizados em uma</w:t>
      </w:r>
      <w:r w:rsidR="00FB2F8D">
        <w:rPr>
          <w:rFonts w:eastAsia="Times New Roman"/>
          <w:sz w:val="20"/>
          <w:szCs w:val="20"/>
          <w:lang w:val="pt-BR"/>
        </w:rPr>
        <w:t xml:space="preserve"> PCR de sequenciamento. </w:t>
      </w:r>
      <w:r w:rsidR="003B3E28" w:rsidRPr="003B3E28">
        <w:rPr>
          <w:rFonts w:eastAsia="Times New Roman"/>
          <w:sz w:val="20"/>
          <w:szCs w:val="20"/>
          <w:lang w:val="pt-BR"/>
        </w:rPr>
        <w:t>Após a</w:t>
      </w:r>
      <w:r>
        <w:rPr>
          <w:rFonts w:eastAsia="Times New Roman"/>
          <w:sz w:val="20"/>
          <w:szCs w:val="20"/>
          <w:lang w:val="pt-BR"/>
        </w:rPr>
        <w:t xml:space="preserve"> edição dos </w:t>
      </w:r>
      <w:proofErr w:type="spellStart"/>
      <w:r>
        <w:rPr>
          <w:rFonts w:eastAsia="Times New Roman"/>
          <w:sz w:val="20"/>
          <w:szCs w:val="20"/>
          <w:lang w:val="pt-BR"/>
        </w:rPr>
        <w:t>eletroferogramas</w:t>
      </w:r>
      <w:proofErr w:type="spellEnd"/>
      <w:r>
        <w:rPr>
          <w:rFonts w:eastAsia="Times New Roman"/>
          <w:sz w:val="20"/>
          <w:szCs w:val="20"/>
          <w:lang w:val="pt-BR"/>
        </w:rPr>
        <w:t>, as sequências</w:t>
      </w:r>
      <w:r w:rsidR="003B3E28" w:rsidRPr="003B3E28">
        <w:rPr>
          <w:rFonts w:eastAsia="Times New Roman"/>
          <w:sz w:val="20"/>
          <w:szCs w:val="20"/>
          <w:lang w:val="pt-BR"/>
        </w:rPr>
        <w:t xml:space="preserve"> consenso foram alinhadas no </w:t>
      </w:r>
      <w:r w:rsidR="00804593">
        <w:rPr>
          <w:rFonts w:eastAsia="Times New Roman"/>
          <w:sz w:val="20"/>
          <w:szCs w:val="20"/>
          <w:lang w:val="pt-BR"/>
        </w:rPr>
        <w:t>MEGA 7.0</w:t>
      </w:r>
      <w:r w:rsidR="003B3E28" w:rsidRPr="003B3E28">
        <w:rPr>
          <w:rFonts w:eastAsia="Times New Roman"/>
          <w:sz w:val="20"/>
          <w:szCs w:val="20"/>
          <w:lang w:val="pt-BR"/>
        </w:rPr>
        <w:t xml:space="preserve">. A partir da análise de distribuição de haplótipos </w:t>
      </w:r>
      <w:r>
        <w:rPr>
          <w:rFonts w:eastAsia="Times New Roman"/>
          <w:sz w:val="20"/>
          <w:szCs w:val="20"/>
          <w:lang w:val="pt-BR"/>
        </w:rPr>
        <w:t>feita no</w:t>
      </w:r>
      <w:r w:rsidR="003B3E28" w:rsidRPr="003B3E28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proofErr w:type="gramStart"/>
      <w:r w:rsidR="003B3E28" w:rsidRPr="003B3E28">
        <w:rPr>
          <w:rFonts w:eastAsia="Times New Roman"/>
          <w:sz w:val="20"/>
          <w:szCs w:val="20"/>
          <w:lang w:val="pt-BR"/>
        </w:rPr>
        <w:t>DNAsp</w:t>
      </w:r>
      <w:proofErr w:type="spellEnd"/>
      <w:proofErr w:type="gramEnd"/>
      <w:r w:rsidR="003B3E28" w:rsidRPr="003B3E28">
        <w:rPr>
          <w:rFonts w:eastAsia="Times New Roman"/>
          <w:sz w:val="20"/>
          <w:szCs w:val="20"/>
          <w:lang w:val="pt-BR"/>
        </w:rPr>
        <w:t xml:space="preserve"> v.5 (Librado &amp; </w:t>
      </w:r>
      <w:proofErr w:type="spellStart"/>
      <w:r w:rsidR="003B3E28" w:rsidRPr="003B3E28">
        <w:rPr>
          <w:rFonts w:eastAsia="Times New Roman"/>
          <w:sz w:val="20"/>
          <w:szCs w:val="20"/>
          <w:lang w:val="pt-BR"/>
        </w:rPr>
        <w:t>Rozas</w:t>
      </w:r>
      <w:proofErr w:type="spellEnd"/>
      <w:r w:rsidR="003B3E28" w:rsidRPr="003B3E28">
        <w:rPr>
          <w:rFonts w:eastAsia="Times New Roman"/>
          <w:sz w:val="20"/>
          <w:szCs w:val="20"/>
          <w:lang w:val="pt-BR"/>
        </w:rPr>
        <w:t xml:space="preserve"> 2009) foi construída uma rede de haplótipos </w:t>
      </w:r>
      <w:r w:rsidR="00804593">
        <w:rPr>
          <w:rFonts w:eastAsia="Times New Roman"/>
          <w:sz w:val="20"/>
          <w:szCs w:val="20"/>
          <w:lang w:val="pt-BR"/>
        </w:rPr>
        <w:t>no</w:t>
      </w:r>
      <w:r w:rsidR="003B3E28" w:rsidRPr="003B3E28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3B3E28" w:rsidRPr="003B3E28">
        <w:rPr>
          <w:rFonts w:eastAsia="Times New Roman"/>
          <w:sz w:val="20"/>
          <w:szCs w:val="20"/>
          <w:lang w:val="pt-BR"/>
        </w:rPr>
        <w:t>PopArt</w:t>
      </w:r>
      <w:proofErr w:type="spellEnd"/>
      <w:r w:rsidR="003B3E28" w:rsidRPr="003B3E28">
        <w:rPr>
          <w:rFonts w:eastAsia="Times New Roman"/>
          <w:sz w:val="20"/>
          <w:szCs w:val="20"/>
          <w:lang w:val="pt-BR"/>
        </w:rPr>
        <w:t xml:space="preserve"> (Leigh &amp; Bryant 2015).</w:t>
      </w:r>
    </w:p>
    <w:p w14:paraId="3AEB9312" w14:textId="715C6C46" w:rsidR="003B3E28" w:rsidRPr="003B3E28" w:rsidRDefault="003B3E28" w:rsidP="003B3E28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3B3E28">
        <w:rPr>
          <w:rFonts w:eastAsia="Times New Roman"/>
          <w:sz w:val="20"/>
          <w:szCs w:val="20"/>
          <w:lang w:val="pt-BR"/>
        </w:rPr>
        <w:t xml:space="preserve"> Para detectar a estrutura populacional das </w:t>
      </w:r>
      <w:r w:rsidR="00804593">
        <w:rPr>
          <w:rFonts w:eastAsia="Times New Roman"/>
          <w:sz w:val="20"/>
          <w:szCs w:val="20"/>
          <w:lang w:val="pt-BR"/>
        </w:rPr>
        <w:t xml:space="preserve">linhagens </w:t>
      </w:r>
      <w:r w:rsidRPr="003B3E28">
        <w:rPr>
          <w:rFonts w:eastAsia="Times New Roman"/>
          <w:sz w:val="20"/>
          <w:szCs w:val="20"/>
          <w:lang w:val="pt-BR"/>
        </w:rPr>
        <w:t xml:space="preserve">utilizamos o </w:t>
      </w:r>
      <w:proofErr w:type="spellStart"/>
      <w:r w:rsidRPr="003B3E28">
        <w:rPr>
          <w:rFonts w:eastAsia="Times New Roman"/>
          <w:sz w:val="20"/>
          <w:szCs w:val="20"/>
          <w:lang w:val="pt-BR"/>
        </w:rPr>
        <w:t>Geneland</w:t>
      </w:r>
      <w:proofErr w:type="spellEnd"/>
      <w:r w:rsidRPr="003B3E28">
        <w:rPr>
          <w:rFonts w:eastAsia="Times New Roman"/>
          <w:sz w:val="20"/>
          <w:szCs w:val="20"/>
          <w:lang w:val="pt-BR"/>
        </w:rPr>
        <w:t xml:space="preserve"> no software R v. 3. 1. 4</w:t>
      </w:r>
      <w:r w:rsidR="00804593">
        <w:rPr>
          <w:rFonts w:eastAsia="Times New Roman"/>
          <w:sz w:val="20"/>
          <w:szCs w:val="20"/>
          <w:lang w:val="pt-BR"/>
        </w:rPr>
        <w:t>.</w:t>
      </w:r>
      <w:r w:rsidRPr="003B3E28">
        <w:rPr>
          <w:rFonts w:eastAsia="Times New Roman"/>
          <w:sz w:val="20"/>
          <w:szCs w:val="20"/>
          <w:lang w:val="pt-BR"/>
        </w:rPr>
        <w:t xml:space="preserve"> A análise </w:t>
      </w:r>
      <w:proofErr w:type="spellStart"/>
      <w:r w:rsidRPr="003B3E28">
        <w:rPr>
          <w:rFonts w:eastAsia="Times New Roman"/>
          <w:sz w:val="20"/>
          <w:szCs w:val="20"/>
          <w:lang w:val="pt-BR"/>
        </w:rPr>
        <w:t>Geneland</w:t>
      </w:r>
      <w:proofErr w:type="spellEnd"/>
      <w:r w:rsidRPr="003B3E28">
        <w:rPr>
          <w:rFonts w:eastAsia="Times New Roman"/>
          <w:sz w:val="20"/>
          <w:szCs w:val="20"/>
          <w:lang w:val="pt-BR"/>
        </w:rPr>
        <w:t xml:space="preserve"> foi baseada em um modelo de fre</w:t>
      </w:r>
      <w:r w:rsidR="00804593">
        <w:rPr>
          <w:rFonts w:eastAsia="Times New Roman"/>
          <w:sz w:val="20"/>
          <w:szCs w:val="20"/>
          <w:lang w:val="pt-BR"/>
        </w:rPr>
        <w:t xml:space="preserve">quência não correlacionado, </w:t>
      </w:r>
      <w:r w:rsidRPr="003B3E28">
        <w:rPr>
          <w:rFonts w:eastAsia="Times New Roman"/>
          <w:sz w:val="20"/>
          <w:szCs w:val="20"/>
          <w:lang w:val="pt-BR"/>
        </w:rPr>
        <w:t xml:space="preserve">com </w:t>
      </w:r>
      <w:r w:rsidRPr="003B3E28">
        <w:rPr>
          <w:rFonts w:eastAsia="Times New Roman"/>
          <w:sz w:val="20"/>
          <w:szCs w:val="20"/>
          <w:lang w:val="pt-BR"/>
        </w:rPr>
        <w:lastRenderedPageBreak/>
        <w:t xml:space="preserve">número populacional mínimo </w:t>
      </w:r>
      <w:proofErr w:type="gramStart"/>
      <w:r w:rsidRPr="003B3E28">
        <w:rPr>
          <w:rFonts w:eastAsia="Times New Roman"/>
          <w:sz w:val="20"/>
          <w:szCs w:val="20"/>
          <w:lang w:val="pt-BR"/>
        </w:rPr>
        <w:t>1</w:t>
      </w:r>
      <w:proofErr w:type="gramEnd"/>
      <w:r w:rsidRPr="003B3E28">
        <w:rPr>
          <w:rFonts w:eastAsia="Times New Roman"/>
          <w:sz w:val="20"/>
          <w:szCs w:val="20"/>
          <w:lang w:val="pt-BR"/>
        </w:rPr>
        <w:t xml:space="preserve"> e máximo 10. O modelo espacial foi selecionado para inferir o número de clusters em nove rodadas independentes usando 1.000.000 de iterações MCMC. Posteriormente um </w:t>
      </w:r>
      <w:proofErr w:type="spellStart"/>
      <w:r w:rsidRPr="003B3E28">
        <w:rPr>
          <w:rFonts w:eastAsia="Times New Roman"/>
          <w:sz w:val="20"/>
          <w:szCs w:val="20"/>
          <w:lang w:val="pt-BR"/>
        </w:rPr>
        <w:t>burn</w:t>
      </w:r>
      <w:proofErr w:type="spellEnd"/>
      <w:r w:rsidRPr="003B3E28">
        <w:rPr>
          <w:rFonts w:eastAsia="Times New Roman"/>
          <w:sz w:val="20"/>
          <w:szCs w:val="20"/>
          <w:lang w:val="pt-BR"/>
        </w:rPr>
        <w:t xml:space="preserve">-in de 200 foi aplicado e a corrida com o logaritmo médio mais alto de probabilidade posterior foi usada para calcular as probabilidades posteriores das populações. </w:t>
      </w:r>
    </w:p>
    <w:p w14:paraId="7A75E643" w14:textId="0E2DF8A0" w:rsidR="003B3E28" w:rsidRPr="003B3E28" w:rsidRDefault="003B3E28" w:rsidP="003B3E28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3B3E28">
        <w:rPr>
          <w:rFonts w:eastAsia="Times New Roman"/>
          <w:sz w:val="20"/>
          <w:szCs w:val="20"/>
          <w:lang w:val="pt-BR"/>
        </w:rPr>
        <w:t>As inferências Bayesianas (BI) foram</w:t>
      </w:r>
      <w:proofErr w:type="gramStart"/>
      <w:r w:rsidRPr="003B3E28">
        <w:rPr>
          <w:rFonts w:eastAsia="Times New Roman"/>
          <w:sz w:val="20"/>
          <w:szCs w:val="20"/>
          <w:lang w:val="pt-BR"/>
        </w:rPr>
        <w:t xml:space="preserve"> </w:t>
      </w:r>
      <w:r w:rsidR="00062D96">
        <w:rPr>
          <w:rFonts w:eastAsia="Times New Roman"/>
          <w:sz w:val="20"/>
          <w:szCs w:val="20"/>
          <w:lang w:val="pt-BR"/>
        </w:rPr>
        <w:t xml:space="preserve"> </w:t>
      </w:r>
      <w:proofErr w:type="gramEnd"/>
      <w:r w:rsidR="00062D96">
        <w:rPr>
          <w:rFonts w:eastAsia="Times New Roman"/>
          <w:sz w:val="20"/>
          <w:szCs w:val="20"/>
          <w:lang w:val="pt-BR"/>
        </w:rPr>
        <w:t xml:space="preserve">realizadas </w:t>
      </w:r>
      <w:r w:rsidRPr="003B3E28">
        <w:rPr>
          <w:rFonts w:eastAsia="Times New Roman"/>
          <w:sz w:val="20"/>
          <w:szCs w:val="20"/>
          <w:lang w:val="pt-BR"/>
        </w:rPr>
        <w:t>no *BEAST v. 2.1, utilizando os parâmetros</w:t>
      </w:r>
      <w:r w:rsidR="001263A2">
        <w:rPr>
          <w:rFonts w:eastAsia="Times New Roman"/>
          <w:sz w:val="20"/>
          <w:szCs w:val="20"/>
          <w:lang w:val="pt-BR"/>
        </w:rPr>
        <w:t xml:space="preserve">: modelo de substituição HKY+G. </w:t>
      </w:r>
      <w:r w:rsidR="00535133">
        <w:rPr>
          <w:rFonts w:eastAsia="Times New Roman"/>
          <w:sz w:val="20"/>
          <w:szCs w:val="20"/>
          <w:lang w:val="pt-BR"/>
        </w:rPr>
        <w:t>R</w:t>
      </w:r>
      <w:r w:rsidRPr="003B3E28">
        <w:rPr>
          <w:rFonts w:eastAsia="Times New Roman"/>
          <w:sz w:val="20"/>
          <w:szCs w:val="20"/>
          <w:lang w:val="pt-BR"/>
        </w:rPr>
        <w:t>e</w:t>
      </w:r>
      <w:r w:rsidR="001263A2">
        <w:rPr>
          <w:rFonts w:eastAsia="Times New Roman"/>
          <w:sz w:val="20"/>
          <w:szCs w:val="20"/>
          <w:lang w:val="pt-BR"/>
        </w:rPr>
        <w:t xml:space="preserve">lógio </w:t>
      </w:r>
      <w:r w:rsidRPr="003B3E28">
        <w:rPr>
          <w:rFonts w:eastAsia="Times New Roman"/>
          <w:sz w:val="20"/>
          <w:szCs w:val="20"/>
          <w:lang w:val="pt-BR"/>
        </w:rPr>
        <w:t>relaxado com taxa de distribuição normal, média de 0,01, taxa de sub</w:t>
      </w:r>
      <w:r w:rsidR="00535133">
        <w:rPr>
          <w:rFonts w:eastAsia="Times New Roman"/>
          <w:sz w:val="20"/>
          <w:szCs w:val="20"/>
          <w:lang w:val="pt-BR"/>
        </w:rPr>
        <w:t xml:space="preserve">stituição de 0,07% </w:t>
      </w:r>
      <w:proofErr w:type="spellStart"/>
      <w:r w:rsidR="00535133">
        <w:rPr>
          <w:rFonts w:eastAsia="Times New Roman"/>
          <w:sz w:val="20"/>
          <w:szCs w:val="20"/>
          <w:lang w:val="pt-BR"/>
        </w:rPr>
        <w:t>M.a</w:t>
      </w:r>
      <w:proofErr w:type="spellEnd"/>
      <w:r w:rsidR="00535133">
        <w:rPr>
          <w:rFonts w:eastAsia="Times New Roman"/>
          <w:sz w:val="20"/>
          <w:szCs w:val="20"/>
          <w:lang w:val="pt-BR"/>
        </w:rPr>
        <w:t xml:space="preserve"> para </w:t>
      </w:r>
      <w:r w:rsidR="00535133" w:rsidRPr="00535133">
        <w:rPr>
          <w:rFonts w:eastAsia="Times New Roman"/>
          <w:i/>
          <w:sz w:val="20"/>
          <w:szCs w:val="20"/>
          <w:lang w:val="pt-BR"/>
        </w:rPr>
        <w:t>COXI</w:t>
      </w:r>
      <w:r w:rsidRPr="003B3E28">
        <w:rPr>
          <w:rFonts w:eastAsia="Times New Roman"/>
          <w:sz w:val="20"/>
          <w:szCs w:val="20"/>
          <w:lang w:val="pt-BR"/>
        </w:rPr>
        <w:t xml:space="preserve"> e 0,035% </w:t>
      </w:r>
      <w:proofErr w:type="spellStart"/>
      <w:r w:rsidRPr="003B3E28">
        <w:rPr>
          <w:rFonts w:eastAsia="Times New Roman"/>
          <w:sz w:val="20"/>
          <w:szCs w:val="20"/>
          <w:lang w:val="pt-BR"/>
        </w:rPr>
        <w:t>M.a</w:t>
      </w:r>
      <w:proofErr w:type="spellEnd"/>
      <w:r w:rsidRPr="003B3E28">
        <w:rPr>
          <w:rFonts w:eastAsia="Times New Roman"/>
          <w:sz w:val="20"/>
          <w:szCs w:val="20"/>
          <w:lang w:val="pt-BR"/>
        </w:rPr>
        <w:t xml:space="preserve"> para </w:t>
      </w:r>
      <w:r w:rsidRPr="00535133">
        <w:rPr>
          <w:rFonts w:eastAsia="Times New Roman"/>
          <w:i/>
          <w:sz w:val="20"/>
          <w:szCs w:val="20"/>
          <w:lang w:val="pt-BR"/>
        </w:rPr>
        <w:t>28S</w:t>
      </w:r>
      <w:r w:rsidRPr="003B3E28">
        <w:rPr>
          <w:rFonts w:eastAsia="Times New Roman"/>
          <w:sz w:val="20"/>
          <w:szCs w:val="20"/>
          <w:lang w:val="pt-BR"/>
        </w:rPr>
        <w:t xml:space="preserve"> (</w:t>
      </w:r>
      <w:proofErr w:type="spellStart"/>
      <w:r w:rsidRPr="003B3E28">
        <w:rPr>
          <w:rFonts w:eastAsia="Times New Roman"/>
          <w:sz w:val="20"/>
          <w:szCs w:val="20"/>
          <w:lang w:val="pt-BR"/>
        </w:rPr>
        <w:t>Regier</w:t>
      </w:r>
      <w:proofErr w:type="spellEnd"/>
      <w:r w:rsidRPr="003B3E28">
        <w:rPr>
          <w:rFonts w:eastAsia="Times New Roman"/>
          <w:sz w:val="20"/>
          <w:szCs w:val="20"/>
          <w:lang w:val="pt-BR"/>
        </w:rPr>
        <w:t xml:space="preserve"> et al. 2005, Lins et al. 2015), e desvio padrão de 0,001. O modelo anterior da árvore foi definido como especiação com processo de </w:t>
      </w:r>
      <w:proofErr w:type="spellStart"/>
      <w:r w:rsidRPr="003B3E28">
        <w:rPr>
          <w:rFonts w:eastAsia="Times New Roman"/>
          <w:sz w:val="20"/>
          <w:szCs w:val="20"/>
          <w:lang w:val="pt-BR"/>
        </w:rPr>
        <w:t>Yule</w:t>
      </w:r>
      <w:proofErr w:type="spellEnd"/>
      <w:r w:rsidRPr="003B3E28">
        <w:rPr>
          <w:rFonts w:eastAsia="Times New Roman"/>
          <w:sz w:val="20"/>
          <w:szCs w:val="20"/>
          <w:lang w:val="pt-BR"/>
        </w:rPr>
        <w:t xml:space="preserve">. A cadeia de </w:t>
      </w:r>
      <w:proofErr w:type="spellStart"/>
      <w:r w:rsidRPr="003B3E28">
        <w:rPr>
          <w:rFonts w:eastAsia="Times New Roman"/>
          <w:sz w:val="20"/>
          <w:szCs w:val="20"/>
          <w:lang w:val="pt-BR"/>
        </w:rPr>
        <w:t>Markov</w:t>
      </w:r>
      <w:proofErr w:type="spellEnd"/>
      <w:r w:rsidRPr="003B3E28">
        <w:rPr>
          <w:rFonts w:eastAsia="Times New Roman"/>
          <w:sz w:val="20"/>
          <w:szCs w:val="20"/>
          <w:lang w:val="pt-BR"/>
        </w:rPr>
        <w:t xml:space="preserve"> Monte Carlo (MCMC) foi executada com 20.000.000 </w:t>
      </w:r>
      <w:r w:rsidR="001263A2">
        <w:rPr>
          <w:rFonts w:eastAsia="Times New Roman"/>
          <w:sz w:val="20"/>
          <w:szCs w:val="20"/>
          <w:lang w:val="pt-BR"/>
        </w:rPr>
        <w:t xml:space="preserve">gerações. </w:t>
      </w:r>
      <w:r w:rsidRPr="003B3E28">
        <w:rPr>
          <w:rFonts w:eastAsia="Times New Roman"/>
          <w:sz w:val="20"/>
          <w:szCs w:val="20"/>
          <w:lang w:val="pt-BR"/>
        </w:rPr>
        <w:t xml:space="preserve">Em seguida, </w:t>
      </w:r>
      <w:proofErr w:type="spellStart"/>
      <w:proofErr w:type="gramStart"/>
      <w:r w:rsidRPr="003B3E28">
        <w:rPr>
          <w:rFonts w:eastAsia="Times New Roman"/>
          <w:sz w:val="20"/>
          <w:szCs w:val="20"/>
          <w:lang w:val="pt-BR"/>
        </w:rPr>
        <w:t>treeAnnotator</w:t>
      </w:r>
      <w:proofErr w:type="spellEnd"/>
      <w:proofErr w:type="gramEnd"/>
      <w:r w:rsidRPr="003B3E28">
        <w:rPr>
          <w:rFonts w:eastAsia="Times New Roman"/>
          <w:sz w:val="20"/>
          <w:szCs w:val="20"/>
          <w:lang w:val="pt-BR"/>
        </w:rPr>
        <w:t xml:space="preserve"> v. 1.10.2 foi usado para resumir os resultados do BEAST em uma única árvore com </w:t>
      </w:r>
      <w:proofErr w:type="spellStart"/>
      <w:r w:rsidRPr="003B3E28">
        <w:rPr>
          <w:rFonts w:eastAsia="Times New Roman"/>
          <w:sz w:val="20"/>
          <w:szCs w:val="20"/>
          <w:lang w:val="pt-BR"/>
        </w:rPr>
        <w:t>burn</w:t>
      </w:r>
      <w:proofErr w:type="spellEnd"/>
      <w:r w:rsidRPr="003B3E28">
        <w:rPr>
          <w:rFonts w:eastAsia="Times New Roman"/>
          <w:sz w:val="20"/>
          <w:szCs w:val="20"/>
          <w:lang w:val="pt-BR"/>
        </w:rPr>
        <w:t xml:space="preserve">-in de 20% e um limite de probabilidade posterior de 0,5. </w:t>
      </w:r>
      <w:r w:rsidR="001263A2">
        <w:rPr>
          <w:rFonts w:eastAsia="Times New Roman"/>
          <w:sz w:val="20"/>
          <w:szCs w:val="20"/>
          <w:lang w:val="pt-BR"/>
        </w:rPr>
        <w:t>Por fim a</w:t>
      </w:r>
      <w:proofErr w:type="gramStart"/>
      <w:r w:rsidR="001263A2">
        <w:rPr>
          <w:rFonts w:eastAsia="Times New Roman"/>
          <w:sz w:val="20"/>
          <w:szCs w:val="20"/>
          <w:lang w:val="pt-BR"/>
        </w:rPr>
        <w:t xml:space="preserve"> </w:t>
      </w:r>
      <w:r w:rsidRPr="003B3E28">
        <w:rPr>
          <w:rFonts w:eastAsia="Times New Roman"/>
          <w:sz w:val="20"/>
          <w:szCs w:val="20"/>
          <w:lang w:val="pt-BR"/>
        </w:rPr>
        <w:t xml:space="preserve"> </w:t>
      </w:r>
      <w:proofErr w:type="gramEnd"/>
      <w:r w:rsidRPr="003B3E28">
        <w:rPr>
          <w:rFonts w:eastAsia="Times New Roman"/>
          <w:sz w:val="20"/>
          <w:szCs w:val="20"/>
          <w:lang w:val="pt-BR"/>
        </w:rPr>
        <w:t xml:space="preserve">árvore final  foi  visualizada e editada em </w:t>
      </w:r>
      <w:proofErr w:type="spellStart"/>
      <w:r w:rsidRPr="003B3E28">
        <w:rPr>
          <w:rFonts w:eastAsia="Times New Roman"/>
          <w:sz w:val="20"/>
          <w:szCs w:val="20"/>
          <w:lang w:val="pt-BR"/>
        </w:rPr>
        <w:t>FigTree</w:t>
      </w:r>
      <w:proofErr w:type="spellEnd"/>
      <w:r w:rsidRPr="003B3E28">
        <w:rPr>
          <w:rFonts w:eastAsia="Times New Roman"/>
          <w:sz w:val="20"/>
          <w:szCs w:val="20"/>
          <w:lang w:val="pt-BR"/>
        </w:rPr>
        <w:t xml:space="preserve"> v. 1.4.4  (</w:t>
      </w:r>
      <w:proofErr w:type="spellStart"/>
      <w:r w:rsidRPr="003B3E28">
        <w:rPr>
          <w:rFonts w:eastAsia="Times New Roman"/>
          <w:sz w:val="20"/>
          <w:szCs w:val="20"/>
          <w:lang w:val="pt-BR"/>
        </w:rPr>
        <w:t>Rambaut</w:t>
      </w:r>
      <w:proofErr w:type="spellEnd"/>
      <w:r w:rsidRPr="003B3E28">
        <w:rPr>
          <w:rFonts w:eastAsia="Times New Roman"/>
          <w:sz w:val="20"/>
          <w:szCs w:val="20"/>
          <w:lang w:val="pt-BR"/>
        </w:rPr>
        <w:t xml:space="preserve"> 2018).</w:t>
      </w:r>
    </w:p>
    <w:p w14:paraId="08359908" w14:textId="6143EDED" w:rsidR="00AB5B5F" w:rsidRDefault="003B3E28" w:rsidP="003B3E28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3B3E28">
        <w:rPr>
          <w:rFonts w:eastAsia="Times New Roman"/>
          <w:sz w:val="20"/>
          <w:szCs w:val="20"/>
          <w:lang w:val="pt-BR"/>
        </w:rPr>
        <w:t>Para as delimita</w:t>
      </w:r>
      <w:r w:rsidR="00A42598">
        <w:rPr>
          <w:rFonts w:eastAsia="Times New Roman"/>
          <w:sz w:val="20"/>
          <w:szCs w:val="20"/>
          <w:lang w:val="pt-BR"/>
        </w:rPr>
        <w:t xml:space="preserve">ções de linhagens, os genes </w:t>
      </w:r>
      <w:r w:rsidRPr="003B3E28">
        <w:rPr>
          <w:rFonts w:eastAsia="Times New Roman"/>
          <w:sz w:val="20"/>
          <w:szCs w:val="20"/>
          <w:lang w:val="pt-BR"/>
        </w:rPr>
        <w:t>foram</w:t>
      </w:r>
      <w:r w:rsidR="00A42598">
        <w:rPr>
          <w:rFonts w:eastAsia="Times New Roman"/>
          <w:sz w:val="20"/>
          <w:szCs w:val="20"/>
          <w:lang w:val="pt-BR"/>
        </w:rPr>
        <w:t xml:space="preserve"> submetidos a quatro delimitações</w:t>
      </w:r>
      <w:r w:rsidRPr="003B3E28">
        <w:rPr>
          <w:rFonts w:eastAsia="Times New Roman"/>
          <w:sz w:val="20"/>
          <w:szCs w:val="20"/>
          <w:lang w:val="pt-BR"/>
        </w:rPr>
        <w:t>: ABGD (</w:t>
      </w:r>
      <w:proofErr w:type="spellStart"/>
      <w:r w:rsidRPr="003B3E28">
        <w:rPr>
          <w:rFonts w:eastAsia="Times New Roman"/>
          <w:sz w:val="20"/>
          <w:szCs w:val="20"/>
          <w:lang w:val="pt-BR"/>
        </w:rPr>
        <w:t>Automatic</w:t>
      </w:r>
      <w:proofErr w:type="spellEnd"/>
      <w:r w:rsidRPr="003B3E28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3B3E28">
        <w:rPr>
          <w:rFonts w:eastAsia="Times New Roman"/>
          <w:sz w:val="20"/>
          <w:szCs w:val="20"/>
          <w:lang w:val="pt-BR"/>
        </w:rPr>
        <w:t>Barcode</w:t>
      </w:r>
      <w:proofErr w:type="spellEnd"/>
      <w:r w:rsidRPr="003B3E28">
        <w:rPr>
          <w:rFonts w:eastAsia="Times New Roman"/>
          <w:sz w:val="20"/>
          <w:szCs w:val="20"/>
          <w:lang w:val="pt-BR"/>
        </w:rPr>
        <w:t xml:space="preserve"> Gap Discovery)</w:t>
      </w:r>
      <w:r w:rsidR="00A42598">
        <w:rPr>
          <w:rFonts w:eastAsia="Times New Roman"/>
          <w:sz w:val="20"/>
          <w:szCs w:val="20"/>
          <w:lang w:val="pt-BR"/>
        </w:rPr>
        <w:t>,</w:t>
      </w:r>
      <w:r w:rsidRPr="003B3E28">
        <w:rPr>
          <w:rFonts w:eastAsia="Times New Roman"/>
          <w:sz w:val="20"/>
          <w:szCs w:val="20"/>
          <w:lang w:val="pt-BR"/>
        </w:rPr>
        <w:t xml:space="preserve"> GMYC (</w:t>
      </w:r>
      <w:proofErr w:type="spellStart"/>
      <w:r w:rsidRPr="003B3E28">
        <w:rPr>
          <w:rFonts w:eastAsia="Times New Roman"/>
          <w:sz w:val="20"/>
          <w:szCs w:val="20"/>
          <w:lang w:val="pt-BR"/>
        </w:rPr>
        <w:t>Generalized</w:t>
      </w:r>
      <w:proofErr w:type="spellEnd"/>
      <w:r w:rsidRPr="003B3E28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A42598">
        <w:rPr>
          <w:rFonts w:eastAsia="Times New Roman"/>
          <w:sz w:val="20"/>
          <w:szCs w:val="20"/>
          <w:lang w:val="pt-BR"/>
        </w:rPr>
        <w:t>Mixed</w:t>
      </w:r>
      <w:proofErr w:type="spellEnd"/>
      <w:r w:rsidR="00A42598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A42598">
        <w:rPr>
          <w:rFonts w:eastAsia="Times New Roman"/>
          <w:sz w:val="20"/>
          <w:szCs w:val="20"/>
          <w:lang w:val="pt-BR"/>
        </w:rPr>
        <w:t>Yule-Coalescent</w:t>
      </w:r>
      <w:proofErr w:type="spellEnd"/>
      <w:r w:rsidR="00A42598">
        <w:rPr>
          <w:rFonts w:eastAsia="Times New Roman"/>
          <w:sz w:val="20"/>
          <w:szCs w:val="20"/>
          <w:lang w:val="pt-BR"/>
        </w:rPr>
        <w:t xml:space="preserve">), PTP (Poisson </w:t>
      </w:r>
      <w:proofErr w:type="spellStart"/>
      <w:r w:rsidR="00A42598">
        <w:rPr>
          <w:rFonts w:eastAsia="Times New Roman"/>
          <w:sz w:val="20"/>
          <w:szCs w:val="20"/>
          <w:lang w:val="pt-BR"/>
        </w:rPr>
        <w:t>Tree</w:t>
      </w:r>
      <w:proofErr w:type="spellEnd"/>
      <w:r w:rsidR="00A42598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A42598">
        <w:rPr>
          <w:rFonts w:eastAsia="Times New Roman"/>
          <w:sz w:val="20"/>
          <w:szCs w:val="20"/>
          <w:lang w:val="pt-BR"/>
        </w:rPr>
        <w:t>Process</w:t>
      </w:r>
      <w:proofErr w:type="spellEnd"/>
      <w:r w:rsidR="00A42598">
        <w:rPr>
          <w:rFonts w:eastAsia="Times New Roman"/>
          <w:sz w:val="20"/>
          <w:szCs w:val="20"/>
          <w:lang w:val="pt-BR"/>
        </w:rPr>
        <w:t xml:space="preserve">) e </w:t>
      </w:r>
      <w:r w:rsidRPr="003B3E28">
        <w:rPr>
          <w:rFonts w:eastAsia="Times New Roman"/>
          <w:sz w:val="20"/>
          <w:szCs w:val="20"/>
          <w:lang w:val="pt-BR"/>
        </w:rPr>
        <w:t>BPP (</w:t>
      </w:r>
      <w:proofErr w:type="spellStart"/>
      <w:r w:rsidRPr="003B3E28">
        <w:rPr>
          <w:rFonts w:eastAsia="Times New Roman"/>
          <w:sz w:val="20"/>
          <w:szCs w:val="20"/>
          <w:lang w:val="pt-BR"/>
        </w:rPr>
        <w:t>Bayesian</w:t>
      </w:r>
      <w:proofErr w:type="spellEnd"/>
      <w:r w:rsidRPr="003B3E28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3B3E28">
        <w:rPr>
          <w:rFonts w:eastAsia="Times New Roman"/>
          <w:sz w:val="20"/>
          <w:szCs w:val="20"/>
          <w:lang w:val="pt-BR"/>
        </w:rPr>
        <w:t>Phylogenetics</w:t>
      </w:r>
      <w:proofErr w:type="spellEnd"/>
      <w:r w:rsidRPr="003B3E28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3B3E28">
        <w:rPr>
          <w:rFonts w:eastAsia="Times New Roman"/>
          <w:sz w:val="20"/>
          <w:szCs w:val="20"/>
          <w:lang w:val="pt-BR"/>
        </w:rPr>
        <w:t>and</w:t>
      </w:r>
      <w:proofErr w:type="spellEnd"/>
      <w:r w:rsidRPr="003B3E28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3B3E28">
        <w:rPr>
          <w:rFonts w:eastAsia="Times New Roman"/>
          <w:sz w:val="20"/>
          <w:szCs w:val="20"/>
          <w:lang w:val="pt-BR"/>
        </w:rPr>
        <w:t>Phyl</w:t>
      </w:r>
      <w:r w:rsidR="00A42598">
        <w:rPr>
          <w:rFonts w:eastAsia="Times New Roman"/>
          <w:sz w:val="20"/>
          <w:szCs w:val="20"/>
          <w:lang w:val="pt-BR"/>
        </w:rPr>
        <w:t>ogeography</w:t>
      </w:r>
      <w:proofErr w:type="spellEnd"/>
      <w:r w:rsidR="00A42598">
        <w:rPr>
          <w:rFonts w:eastAsia="Times New Roman"/>
          <w:sz w:val="20"/>
          <w:szCs w:val="20"/>
          <w:lang w:val="pt-BR"/>
        </w:rPr>
        <w:t xml:space="preserve">) (Yang </w:t>
      </w:r>
      <w:proofErr w:type="gramStart"/>
      <w:r w:rsidR="00A42598">
        <w:rPr>
          <w:rFonts w:eastAsia="Times New Roman"/>
          <w:sz w:val="20"/>
          <w:szCs w:val="20"/>
          <w:lang w:val="pt-BR"/>
        </w:rPr>
        <w:t>et</w:t>
      </w:r>
      <w:proofErr w:type="gramEnd"/>
      <w:r w:rsidR="00A42598">
        <w:rPr>
          <w:rFonts w:eastAsia="Times New Roman"/>
          <w:sz w:val="20"/>
          <w:szCs w:val="20"/>
          <w:lang w:val="pt-BR"/>
        </w:rPr>
        <w:t xml:space="preserve"> al. 2015). </w:t>
      </w:r>
      <w:r w:rsidRPr="003B3E28">
        <w:rPr>
          <w:rFonts w:eastAsia="Times New Roman"/>
          <w:sz w:val="20"/>
          <w:szCs w:val="20"/>
          <w:lang w:val="pt-BR"/>
        </w:rPr>
        <w:t>Uma árvore de máxima ver</w:t>
      </w:r>
      <w:r w:rsidR="004642A9">
        <w:rPr>
          <w:rFonts w:eastAsia="Times New Roman"/>
          <w:sz w:val="20"/>
          <w:szCs w:val="20"/>
          <w:lang w:val="pt-BR"/>
        </w:rPr>
        <w:t xml:space="preserve">ossimilhança gerada no MEGA 7.0, </w:t>
      </w:r>
      <w:r w:rsidRPr="003B3E28">
        <w:rPr>
          <w:rFonts w:eastAsia="Times New Roman"/>
          <w:sz w:val="20"/>
          <w:szCs w:val="20"/>
          <w:lang w:val="pt-BR"/>
        </w:rPr>
        <w:t>usada como entrada para PTP</w:t>
      </w:r>
      <w:r w:rsidR="00AF7405">
        <w:rPr>
          <w:rFonts w:eastAsia="Times New Roman"/>
          <w:sz w:val="20"/>
          <w:szCs w:val="20"/>
          <w:lang w:val="pt-BR"/>
        </w:rPr>
        <w:t xml:space="preserve">, </w:t>
      </w:r>
      <w:r w:rsidRPr="003B3E28">
        <w:rPr>
          <w:rFonts w:eastAsia="Times New Roman"/>
          <w:sz w:val="20"/>
          <w:szCs w:val="20"/>
          <w:lang w:val="pt-BR"/>
        </w:rPr>
        <w:t xml:space="preserve">utilizando os parâmetros padrão. Árvores </w:t>
      </w:r>
      <w:proofErr w:type="spellStart"/>
      <w:r w:rsidRPr="003B3E28">
        <w:rPr>
          <w:rFonts w:eastAsia="Times New Roman"/>
          <w:sz w:val="20"/>
          <w:szCs w:val="20"/>
          <w:lang w:val="pt-BR"/>
        </w:rPr>
        <w:t>ultramétricas</w:t>
      </w:r>
      <w:proofErr w:type="spellEnd"/>
      <w:r w:rsidRPr="003B3E28">
        <w:rPr>
          <w:rFonts w:eastAsia="Times New Roman"/>
          <w:sz w:val="20"/>
          <w:szCs w:val="20"/>
          <w:lang w:val="pt-BR"/>
        </w:rPr>
        <w:t xml:space="preserve"> geradas no BEAST por </w:t>
      </w:r>
      <w:r w:rsidR="00AF7405">
        <w:rPr>
          <w:rFonts w:eastAsia="Times New Roman"/>
          <w:sz w:val="20"/>
          <w:szCs w:val="20"/>
          <w:lang w:val="pt-BR"/>
        </w:rPr>
        <w:t>BI</w:t>
      </w:r>
      <w:r w:rsidRPr="003B3E28">
        <w:rPr>
          <w:rFonts w:eastAsia="Times New Roman"/>
          <w:sz w:val="20"/>
          <w:szCs w:val="20"/>
          <w:lang w:val="pt-BR"/>
        </w:rPr>
        <w:t xml:space="preserve"> a partir do conjunto </w:t>
      </w:r>
      <w:proofErr w:type="spellStart"/>
      <w:r w:rsidR="00AF7405">
        <w:rPr>
          <w:rFonts w:eastAsia="Times New Roman"/>
          <w:sz w:val="20"/>
          <w:szCs w:val="20"/>
          <w:lang w:val="pt-BR"/>
        </w:rPr>
        <w:t>multiloci</w:t>
      </w:r>
      <w:proofErr w:type="spellEnd"/>
      <w:r w:rsidR="00AF7405">
        <w:rPr>
          <w:rFonts w:eastAsia="Times New Roman"/>
          <w:sz w:val="20"/>
          <w:szCs w:val="20"/>
          <w:lang w:val="pt-BR"/>
        </w:rPr>
        <w:t xml:space="preserve"> foram</w:t>
      </w:r>
      <w:r w:rsidRPr="003B3E28">
        <w:rPr>
          <w:rFonts w:eastAsia="Times New Roman"/>
          <w:sz w:val="20"/>
          <w:szCs w:val="20"/>
          <w:lang w:val="pt-BR"/>
        </w:rPr>
        <w:t xml:space="preserve"> entrada para as delimitações do GMYC</w:t>
      </w:r>
      <w:r w:rsidR="00FC0A05">
        <w:rPr>
          <w:rFonts w:eastAsia="Times New Roman"/>
          <w:sz w:val="20"/>
          <w:szCs w:val="20"/>
          <w:lang w:val="pt-BR"/>
        </w:rPr>
        <w:t xml:space="preserve">. As análises baseadas em distância foram </w:t>
      </w:r>
      <w:r w:rsidRPr="003B3E28">
        <w:rPr>
          <w:rFonts w:eastAsia="Times New Roman"/>
          <w:sz w:val="20"/>
          <w:szCs w:val="20"/>
          <w:lang w:val="pt-BR"/>
        </w:rPr>
        <w:t>realizadas através do (</w:t>
      </w:r>
      <w:proofErr w:type="gramStart"/>
      <w:r w:rsidRPr="003B3E28">
        <w:rPr>
          <w:rFonts w:eastAsia="Times New Roman"/>
          <w:sz w:val="20"/>
          <w:szCs w:val="20"/>
          <w:lang w:val="pt-BR"/>
        </w:rPr>
        <w:t>https</w:t>
      </w:r>
      <w:proofErr w:type="gramEnd"/>
      <w:r w:rsidRPr="003B3E28">
        <w:rPr>
          <w:rFonts w:eastAsia="Times New Roman"/>
          <w:sz w:val="20"/>
          <w:szCs w:val="20"/>
          <w:lang w:val="pt-BR"/>
        </w:rPr>
        <w:t>://bioinfo.mnhn.fr/abi/public/abgd/abgdweb.html), com a lar</w:t>
      </w:r>
      <w:r w:rsidR="00AF7405">
        <w:rPr>
          <w:rFonts w:eastAsia="Times New Roman"/>
          <w:sz w:val="20"/>
          <w:szCs w:val="20"/>
          <w:lang w:val="pt-BR"/>
        </w:rPr>
        <w:t>gura de lacuna relativa de 1,0</w:t>
      </w:r>
      <w:r w:rsidRPr="003B3E28">
        <w:rPr>
          <w:rFonts w:eastAsia="Times New Roman"/>
          <w:sz w:val="20"/>
          <w:szCs w:val="20"/>
          <w:lang w:val="pt-BR"/>
        </w:rPr>
        <w:t>.</w:t>
      </w:r>
    </w:p>
    <w:p w14:paraId="74349C14" w14:textId="77777777" w:rsidR="00B555C8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2154A434" w14:textId="77777777" w:rsidR="00B555C8" w:rsidRDefault="00F67FA4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RESULTADOS E DISCUSSÃO</w:t>
      </w:r>
    </w:p>
    <w:p w14:paraId="472C18F6" w14:textId="4D5E236B" w:rsidR="00B555C8" w:rsidRPr="00FC0A05" w:rsidRDefault="00044982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As redes haplótipos geradas para ambos os genes, constituem os primeiros indícios de que a hipótese de um complexo de espé</w:t>
      </w:r>
      <w:r w:rsidR="003A75D1">
        <w:rPr>
          <w:rFonts w:eastAsia="Times New Roman"/>
          <w:sz w:val="20"/>
          <w:szCs w:val="20"/>
          <w:lang w:val="pt-BR"/>
        </w:rPr>
        <w:t xml:space="preserve">cies pode ser </w:t>
      </w:r>
      <w:r>
        <w:rPr>
          <w:rFonts w:eastAsia="Times New Roman"/>
          <w:sz w:val="20"/>
          <w:szCs w:val="20"/>
          <w:lang w:val="pt-BR"/>
        </w:rPr>
        <w:t xml:space="preserve">verdadeira. Para ambos os genes, as localidades onde os indivíduos foram identificados por Bento </w:t>
      </w:r>
      <w:proofErr w:type="gramStart"/>
      <w:r w:rsidRPr="00D453D5">
        <w:rPr>
          <w:rFonts w:eastAsia="Times New Roman"/>
          <w:i/>
          <w:sz w:val="20"/>
          <w:szCs w:val="20"/>
          <w:lang w:val="pt-BR"/>
        </w:rPr>
        <w:t>et</w:t>
      </w:r>
      <w:proofErr w:type="gramEnd"/>
      <w:r w:rsidRPr="00D453D5">
        <w:rPr>
          <w:rFonts w:eastAsia="Times New Roman"/>
          <w:i/>
          <w:sz w:val="20"/>
          <w:szCs w:val="20"/>
          <w:lang w:val="pt-BR"/>
        </w:rPr>
        <w:t xml:space="preserve"> al</w:t>
      </w:r>
      <w:r w:rsidR="00D453D5">
        <w:rPr>
          <w:rFonts w:eastAsia="Times New Roman"/>
          <w:sz w:val="20"/>
          <w:szCs w:val="20"/>
          <w:lang w:val="pt-BR"/>
        </w:rPr>
        <w:t xml:space="preserve"> (</w:t>
      </w:r>
      <w:r>
        <w:rPr>
          <w:rFonts w:eastAsia="Times New Roman"/>
          <w:sz w:val="20"/>
          <w:szCs w:val="20"/>
          <w:lang w:val="pt-BR"/>
        </w:rPr>
        <w:t>2022</w:t>
      </w:r>
      <w:r w:rsidR="00D453D5">
        <w:rPr>
          <w:rFonts w:eastAsia="Times New Roman"/>
          <w:sz w:val="20"/>
          <w:szCs w:val="20"/>
          <w:lang w:val="pt-BR"/>
        </w:rPr>
        <w:t>)</w:t>
      </w:r>
      <w:r>
        <w:rPr>
          <w:rFonts w:eastAsia="Times New Roman"/>
          <w:sz w:val="20"/>
          <w:szCs w:val="20"/>
          <w:lang w:val="pt-BR"/>
        </w:rPr>
        <w:t xml:space="preserve"> através do COXI como </w:t>
      </w:r>
      <w:r w:rsidRPr="00D453D5">
        <w:rPr>
          <w:rFonts w:eastAsia="Times New Roman"/>
          <w:i/>
          <w:sz w:val="20"/>
          <w:szCs w:val="20"/>
          <w:lang w:val="pt-BR"/>
        </w:rPr>
        <w:t>P. porakuara</w:t>
      </w:r>
      <w:r>
        <w:rPr>
          <w:rFonts w:eastAsia="Times New Roman"/>
          <w:sz w:val="20"/>
          <w:szCs w:val="20"/>
          <w:lang w:val="pt-BR"/>
        </w:rPr>
        <w:t>, apresentam ampla diversidade e amplo compartilhamento de haplótipos, e poucos pass</w:t>
      </w:r>
      <w:r w:rsidR="00D453D5">
        <w:rPr>
          <w:rFonts w:eastAsia="Times New Roman"/>
          <w:sz w:val="20"/>
          <w:szCs w:val="20"/>
          <w:lang w:val="pt-BR"/>
        </w:rPr>
        <w:t>os mutacionais entre as populações</w:t>
      </w:r>
      <w:r>
        <w:rPr>
          <w:rFonts w:eastAsia="Times New Roman"/>
          <w:sz w:val="20"/>
          <w:szCs w:val="20"/>
          <w:lang w:val="pt-BR"/>
        </w:rPr>
        <w:t>, sugerindo possível conectividade entre as mesmas. Já as outras quatro localidades, apresentam apenas um haplótipo cada, e elevado número de passos mutacionais entre elas</w:t>
      </w:r>
      <w:r w:rsidR="00D453D5">
        <w:rPr>
          <w:rFonts w:eastAsia="Times New Roman"/>
          <w:sz w:val="20"/>
          <w:szCs w:val="20"/>
          <w:lang w:val="pt-BR"/>
        </w:rPr>
        <w:t>,</w:t>
      </w:r>
      <w:r>
        <w:rPr>
          <w:rFonts w:eastAsia="Times New Roman"/>
          <w:sz w:val="20"/>
          <w:szCs w:val="20"/>
          <w:lang w:val="pt-BR"/>
        </w:rPr>
        <w:t xml:space="preserve"> e as localidades de </w:t>
      </w:r>
      <w:r w:rsidRPr="00D453D5">
        <w:rPr>
          <w:rFonts w:eastAsia="Times New Roman"/>
          <w:i/>
          <w:sz w:val="20"/>
          <w:szCs w:val="20"/>
          <w:lang w:val="pt-BR"/>
        </w:rPr>
        <w:t>P. porakuara</w:t>
      </w:r>
      <w:r>
        <w:rPr>
          <w:rFonts w:eastAsia="Times New Roman"/>
          <w:sz w:val="20"/>
          <w:szCs w:val="20"/>
          <w:lang w:val="pt-BR"/>
        </w:rPr>
        <w:t>, indicando isolamento a tempo suficiente para que mutações pudessem surgir e serem fixadas.</w:t>
      </w:r>
    </w:p>
    <w:p w14:paraId="4E239C2C" w14:textId="23A61BC6" w:rsidR="003E4048" w:rsidRDefault="00FC0A05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O </w:t>
      </w:r>
      <w:r w:rsidRPr="00FC0A05">
        <w:rPr>
          <w:rFonts w:eastAsia="Times New Roman"/>
          <w:sz w:val="20"/>
          <w:szCs w:val="20"/>
        </w:rPr>
        <w:t>Geneland recuperou estrutur</w:t>
      </w:r>
      <w:r>
        <w:rPr>
          <w:rFonts w:eastAsia="Times New Roman"/>
          <w:sz w:val="20"/>
          <w:szCs w:val="20"/>
        </w:rPr>
        <w:t xml:space="preserve">ação para cinco </w:t>
      </w:r>
      <w:r w:rsidRPr="00FC0A05">
        <w:rPr>
          <w:rFonts w:eastAsia="Times New Roman"/>
          <w:sz w:val="20"/>
          <w:szCs w:val="20"/>
        </w:rPr>
        <w:t>linhagens (K= 5), corroborando</w:t>
      </w:r>
      <w:proofErr w:type="gramStart"/>
      <w:r w:rsidRPr="00FC0A05">
        <w:rPr>
          <w:rFonts w:eastAsia="Times New Roman"/>
          <w:sz w:val="20"/>
          <w:szCs w:val="20"/>
        </w:rPr>
        <w:t xml:space="preserve">  </w:t>
      </w:r>
      <w:proofErr w:type="gramEnd"/>
      <w:r w:rsidRPr="00FC0A05">
        <w:rPr>
          <w:rFonts w:eastAsia="Times New Roman"/>
          <w:sz w:val="20"/>
          <w:szCs w:val="20"/>
        </w:rPr>
        <w:t>a hipótese de um complexo de espécies para o gênero</w:t>
      </w:r>
      <w:r>
        <w:rPr>
          <w:rFonts w:eastAsia="Times New Roman"/>
          <w:sz w:val="20"/>
          <w:szCs w:val="20"/>
          <w:lang w:val="pt-BR"/>
        </w:rPr>
        <w:t xml:space="preserve">. </w:t>
      </w:r>
      <w:r w:rsidRPr="00FC0A05">
        <w:rPr>
          <w:rFonts w:eastAsia="Times New Roman"/>
          <w:sz w:val="20"/>
          <w:szCs w:val="20"/>
          <w:lang w:val="pt-BR"/>
        </w:rPr>
        <w:t>As topologias recuperadas através das árvores inferência bayesiana</w:t>
      </w:r>
      <w:r w:rsidR="00D453D5">
        <w:rPr>
          <w:rFonts w:eastAsia="Times New Roman"/>
          <w:sz w:val="20"/>
          <w:szCs w:val="20"/>
          <w:lang w:val="pt-BR"/>
        </w:rPr>
        <w:t>s</w:t>
      </w:r>
      <w:r w:rsidRPr="00FC0A05">
        <w:rPr>
          <w:rFonts w:eastAsia="Times New Roman"/>
          <w:sz w:val="20"/>
          <w:szCs w:val="20"/>
          <w:lang w:val="pt-BR"/>
        </w:rPr>
        <w:t xml:space="preserve"> divergiram entre genes em pontos como: suporte dos ramos, e relações de parentesco entre as quatro linhagens de Potiberaba e </w:t>
      </w:r>
      <w:r w:rsidRPr="003E4048">
        <w:rPr>
          <w:rFonts w:eastAsia="Times New Roman"/>
          <w:i/>
          <w:sz w:val="20"/>
          <w:szCs w:val="20"/>
          <w:lang w:val="pt-BR"/>
        </w:rPr>
        <w:t>P. porakuara</w:t>
      </w:r>
      <w:r w:rsidRPr="00FC0A05">
        <w:rPr>
          <w:rFonts w:eastAsia="Times New Roman"/>
          <w:sz w:val="20"/>
          <w:szCs w:val="20"/>
          <w:lang w:val="pt-BR"/>
        </w:rPr>
        <w:t>. A topologia recuperada para o ge</w:t>
      </w:r>
      <w:r w:rsidR="00D453D5">
        <w:rPr>
          <w:rFonts w:eastAsia="Times New Roman"/>
          <w:sz w:val="20"/>
          <w:szCs w:val="20"/>
          <w:lang w:val="pt-BR"/>
        </w:rPr>
        <w:t xml:space="preserve">ne </w:t>
      </w:r>
      <w:r w:rsidR="00D453D5" w:rsidRPr="00D453D5">
        <w:rPr>
          <w:rFonts w:eastAsia="Times New Roman"/>
          <w:i/>
          <w:sz w:val="20"/>
          <w:szCs w:val="20"/>
          <w:lang w:val="pt-BR"/>
        </w:rPr>
        <w:t>COXI</w:t>
      </w:r>
      <w:r w:rsidRPr="00FC0A05">
        <w:rPr>
          <w:rFonts w:eastAsia="Times New Roman"/>
          <w:sz w:val="20"/>
          <w:szCs w:val="20"/>
          <w:lang w:val="pt-BR"/>
        </w:rPr>
        <w:t xml:space="preserve">, indicou que </w:t>
      </w:r>
      <w:r w:rsidRPr="003E4048">
        <w:rPr>
          <w:rFonts w:eastAsia="Times New Roman"/>
          <w:i/>
          <w:sz w:val="20"/>
          <w:szCs w:val="20"/>
          <w:lang w:val="pt-BR"/>
        </w:rPr>
        <w:t>P. porakuara</w:t>
      </w:r>
      <w:r w:rsidRPr="00FC0A05">
        <w:rPr>
          <w:rFonts w:eastAsia="Times New Roman"/>
          <w:sz w:val="20"/>
          <w:szCs w:val="20"/>
          <w:lang w:val="pt-BR"/>
        </w:rPr>
        <w:t xml:space="preserve">, assim como Potiberaba </w:t>
      </w:r>
      <w:proofErr w:type="gramStart"/>
      <w:r w:rsidRPr="00FC0A05">
        <w:rPr>
          <w:rFonts w:eastAsia="Times New Roman"/>
          <w:sz w:val="20"/>
          <w:szCs w:val="20"/>
          <w:lang w:val="pt-BR"/>
        </w:rPr>
        <w:t>sp</w:t>
      </w:r>
      <w:proofErr w:type="gramEnd"/>
      <w:r w:rsidRPr="00FC0A05">
        <w:rPr>
          <w:rFonts w:eastAsia="Times New Roman"/>
          <w:sz w:val="20"/>
          <w:szCs w:val="20"/>
          <w:lang w:val="pt-BR"/>
        </w:rPr>
        <w:t xml:space="preserve">. </w:t>
      </w:r>
      <w:proofErr w:type="gramStart"/>
      <w:r w:rsidRPr="00FC0A05">
        <w:rPr>
          <w:rFonts w:eastAsia="Times New Roman"/>
          <w:sz w:val="20"/>
          <w:szCs w:val="20"/>
          <w:lang w:val="pt-BR"/>
        </w:rPr>
        <w:t>nov.</w:t>
      </w:r>
      <w:proofErr w:type="gramEnd"/>
      <w:r w:rsidRPr="00FC0A05">
        <w:rPr>
          <w:rFonts w:eastAsia="Times New Roman"/>
          <w:sz w:val="20"/>
          <w:szCs w:val="20"/>
          <w:lang w:val="pt-BR"/>
        </w:rPr>
        <w:t xml:space="preserve"> 1, 2, 3 e 4, formam clados monofiléticos, com altos valores de suporte (acima de 90%) para os ramos, exceto para Po</w:t>
      </w:r>
      <w:r w:rsidR="00746B93">
        <w:rPr>
          <w:rFonts w:eastAsia="Times New Roman"/>
          <w:sz w:val="20"/>
          <w:szCs w:val="20"/>
          <w:lang w:val="pt-BR"/>
        </w:rPr>
        <w:t xml:space="preserve">tiberaba sp. </w:t>
      </w:r>
      <w:proofErr w:type="gramStart"/>
      <w:r w:rsidR="00746B93">
        <w:rPr>
          <w:rFonts w:eastAsia="Times New Roman"/>
          <w:sz w:val="20"/>
          <w:szCs w:val="20"/>
          <w:lang w:val="pt-BR"/>
        </w:rPr>
        <w:t>nov.</w:t>
      </w:r>
      <w:proofErr w:type="gramEnd"/>
      <w:r w:rsidR="00746B93">
        <w:rPr>
          <w:rFonts w:eastAsia="Times New Roman"/>
          <w:sz w:val="20"/>
          <w:szCs w:val="20"/>
          <w:lang w:val="pt-BR"/>
        </w:rPr>
        <w:t xml:space="preserve"> 1</w:t>
      </w:r>
      <w:r w:rsidRPr="00FC0A05">
        <w:rPr>
          <w:rFonts w:eastAsia="Times New Roman"/>
          <w:sz w:val="20"/>
          <w:szCs w:val="20"/>
          <w:lang w:val="pt-BR"/>
        </w:rPr>
        <w:t>.</w:t>
      </w:r>
      <w:r w:rsidR="003E4048">
        <w:rPr>
          <w:rFonts w:eastAsia="Times New Roman"/>
          <w:sz w:val="20"/>
          <w:szCs w:val="20"/>
          <w:lang w:val="pt-BR"/>
        </w:rPr>
        <w:t xml:space="preserve"> Tal resultado vai de encontro ao que foi proposto por Bento </w:t>
      </w:r>
      <w:proofErr w:type="gramStart"/>
      <w:r w:rsidR="003E4048" w:rsidRPr="00B066C5">
        <w:rPr>
          <w:rFonts w:eastAsia="Times New Roman"/>
          <w:i/>
          <w:sz w:val="20"/>
          <w:szCs w:val="20"/>
          <w:lang w:val="pt-BR"/>
        </w:rPr>
        <w:t>et</w:t>
      </w:r>
      <w:proofErr w:type="gramEnd"/>
      <w:r w:rsidR="003E4048" w:rsidRPr="00B066C5">
        <w:rPr>
          <w:rFonts w:eastAsia="Times New Roman"/>
          <w:i/>
          <w:sz w:val="20"/>
          <w:szCs w:val="20"/>
          <w:lang w:val="pt-BR"/>
        </w:rPr>
        <w:t xml:space="preserve"> al</w:t>
      </w:r>
      <w:r w:rsidR="003E4048">
        <w:rPr>
          <w:rFonts w:eastAsia="Times New Roman"/>
          <w:sz w:val="20"/>
          <w:szCs w:val="20"/>
          <w:lang w:val="pt-BR"/>
        </w:rPr>
        <w:t xml:space="preserve"> </w:t>
      </w:r>
      <w:r w:rsidR="00B066C5">
        <w:rPr>
          <w:rFonts w:eastAsia="Times New Roman"/>
          <w:sz w:val="20"/>
          <w:szCs w:val="20"/>
          <w:lang w:val="pt-BR"/>
        </w:rPr>
        <w:t>(2022)</w:t>
      </w:r>
      <w:r w:rsidR="003E4048">
        <w:rPr>
          <w:rFonts w:eastAsia="Times New Roman"/>
          <w:sz w:val="20"/>
          <w:szCs w:val="20"/>
          <w:lang w:val="pt-BR"/>
        </w:rPr>
        <w:t xml:space="preserve">, onde o mesmo marcador já havia indicado a presença de </w:t>
      </w:r>
      <w:r w:rsidR="001E3372">
        <w:rPr>
          <w:rFonts w:eastAsia="Times New Roman"/>
          <w:sz w:val="20"/>
          <w:szCs w:val="20"/>
          <w:lang w:val="pt-BR"/>
        </w:rPr>
        <w:t>mais de uma espécie</w:t>
      </w:r>
      <w:r w:rsidR="003E4048">
        <w:rPr>
          <w:rFonts w:eastAsia="Times New Roman"/>
          <w:sz w:val="20"/>
          <w:szCs w:val="20"/>
          <w:lang w:val="pt-BR"/>
        </w:rPr>
        <w:t xml:space="preserve"> ao longo da distribuição  de </w:t>
      </w:r>
      <w:r w:rsidR="003E4048" w:rsidRPr="001E3372">
        <w:rPr>
          <w:rFonts w:eastAsia="Times New Roman"/>
          <w:i/>
          <w:sz w:val="20"/>
          <w:szCs w:val="20"/>
          <w:lang w:val="pt-BR"/>
        </w:rPr>
        <w:t>P. porakuara</w:t>
      </w:r>
      <w:r w:rsidR="001E3372">
        <w:rPr>
          <w:rFonts w:eastAsia="Times New Roman"/>
          <w:sz w:val="20"/>
          <w:szCs w:val="20"/>
          <w:lang w:val="pt-BR"/>
        </w:rPr>
        <w:t>, através do incremento de</w:t>
      </w:r>
      <w:r w:rsidR="003E4048">
        <w:rPr>
          <w:rFonts w:eastAsia="Times New Roman"/>
          <w:sz w:val="20"/>
          <w:szCs w:val="20"/>
          <w:lang w:val="pt-BR"/>
        </w:rPr>
        <w:t xml:space="preserve"> sequencias</w:t>
      </w:r>
      <w:r w:rsidR="001E3372">
        <w:rPr>
          <w:rFonts w:eastAsia="Times New Roman"/>
          <w:sz w:val="20"/>
          <w:szCs w:val="20"/>
          <w:lang w:val="pt-BR"/>
        </w:rPr>
        <w:t xml:space="preserve"> da atuais e</w:t>
      </w:r>
      <w:r w:rsidR="003E4048">
        <w:rPr>
          <w:rFonts w:eastAsia="Times New Roman"/>
          <w:sz w:val="20"/>
          <w:szCs w:val="20"/>
          <w:lang w:val="pt-BR"/>
        </w:rPr>
        <w:t xml:space="preserve"> </w:t>
      </w:r>
      <w:r w:rsidR="001E3372">
        <w:rPr>
          <w:rFonts w:eastAsia="Times New Roman"/>
          <w:sz w:val="20"/>
          <w:szCs w:val="20"/>
          <w:lang w:val="pt-BR"/>
        </w:rPr>
        <w:t>de novas populações</w:t>
      </w:r>
      <w:r w:rsidR="003E4048">
        <w:rPr>
          <w:rFonts w:eastAsia="Times New Roman"/>
          <w:sz w:val="20"/>
          <w:szCs w:val="20"/>
          <w:lang w:val="pt-BR"/>
        </w:rPr>
        <w:t>, as divergências entre os grupos foram acentuadas.</w:t>
      </w:r>
    </w:p>
    <w:p w14:paraId="3354C50F" w14:textId="57CB3636" w:rsidR="00B555C8" w:rsidRDefault="00FC0A05" w:rsidP="003E4048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FC0A05">
        <w:rPr>
          <w:rFonts w:eastAsia="Times New Roman"/>
          <w:sz w:val="20"/>
          <w:szCs w:val="20"/>
          <w:lang w:val="pt-BR"/>
        </w:rPr>
        <w:t xml:space="preserve"> Para o gene nuclear </w:t>
      </w:r>
      <w:r w:rsidRPr="001E3372">
        <w:rPr>
          <w:rFonts w:eastAsia="Times New Roman"/>
          <w:i/>
          <w:sz w:val="20"/>
          <w:szCs w:val="20"/>
          <w:lang w:val="pt-BR"/>
        </w:rPr>
        <w:t>28S</w:t>
      </w:r>
      <w:r w:rsidRPr="00FC0A05">
        <w:rPr>
          <w:rFonts w:eastAsia="Times New Roman"/>
          <w:sz w:val="20"/>
          <w:szCs w:val="20"/>
          <w:lang w:val="pt-BR"/>
        </w:rPr>
        <w:t>, os clados que foram recuperados de modo geral não apresentaram suportes considerados significativos (acima de 0.90), exceto para separação de Potiberaba</w:t>
      </w:r>
      <w:r w:rsidR="003E4048">
        <w:rPr>
          <w:rFonts w:eastAsia="Times New Roman"/>
          <w:sz w:val="20"/>
          <w:szCs w:val="20"/>
          <w:lang w:val="pt-BR"/>
        </w:rPr>
        <w:t xml:space="preserve"> </w:t>
      </w:r>
      <w:proofErr w:type="gramStart"/>
      <w:r w:rsidR="003E4048">
        <w:rPr>
          <w:rFonts w:eastAsia="Times New Roman"/>
          <w:sz w:val="20"/>
          <w:szCs w:val="20"/>
          <w:lang w:val="pt-BR"/>
        </w:rPr>
        <w:t>sp</w:t>
      </w:r>
      <w:proofErr w:type="gramEnd"/>
      <w:r w:rsidR="003E4048">
        <w:rPr>
          <w:rFonts w:eastAsia="Times New Roman"/>
          <w:sz w:val="20"/>
          <w:szCs w:val="20"/>
          <w:lang w:val="pt-BR"/>
        </w:rPr>
        <w:t xml:space="preserve">. </w:t>
      </w:r>
      <w:proofErr w:type="gramStart"/>
      <w:r w:rsidR="003E4048">
        <w:rPr>
          <w:rFonts w:eastAsia="Times New Roman"/>
          <w:sz w:val="20"/>
          <w:szCs w:val="20"/>
          <w:lang w:val="pt-BR"/>
        </w:rPr>
        <w:t>nov.</w:t>
      </w:r>
      <w:proofErr w:type="gramEnd"/>
      <w:r w:rsidR="003E4048">
        <w:rPr>
          <w:rFonts w:eastAsia="Times New Roman"/>
          <w:sz w:val="20"/>
          <w:szCs w:val="20"/>
          <w:lang w:val="pt-BR"/>
        </w:rPr>
        <w:t xml:space="preserve"> 3 dos outros grupos. </w:t>
      </w:r>
      <w:r w:rsidR="003E4048" w:rsidRPr="003E4048">
        <w:rPr>
          <w:rFonts w:eastAsia="Times New Roman"/>
          <w:sz w:val="20"/>
          <w:szCs w:val="20"/>
          <w:lang w:val="pt-BR"/>
        </w:rPr>
        <w:t xml:space="preserve">Diferenças entre topologias e delimitações de linhagens entre marcadores de origens diferentes, como observado em Potiberaba </w:t>
      </w:r>
      <w:proofErr w:type="gramStart"/>
      <w:r w:rsidR="003E4048" w:rsidRPr="003E4048">
        <w:rPr>
          <w:rFonts w:eastAsia="Times New Roman"/>
          <w:sz w:val="20"/>
          <w:szCs w:val="20"/>
          <w:lang w:val="pt-BR"/>
        </w:rPr>
        <w:t>sp</w:t>
      </w:r>
      <w:proofErr w:type="gramEnd"/>
      <w:r w:rsidR="003E4048" w:rsidRPr="003E4048">
        <w:rPr>
          <w:rFonts w:eastAsia="Times New Roman"/>
          <w:sz w:val="20"/>
          <w:szCs w:val="20"/>
          <w:lang w:val="pt-BR"/>
        </w:rPr>
        <w:t xml:space="preserve">. </w:t>
      </w:r>
      <w:proofErr w:type="gramStart"/>
      <w:r w:rsidR="003E4048" w:rsidRPr="003E4048">
        <w:rPr>
          <w:rFonts w:eastAsia="Times New Roman"/>
          <w:sz w:val="20"/>
          <w:szCs w:val="20"/>
          <w:lang w:val="pt-BR"/>
        </w:rPr>
        <w:t>nov.</w:t>
      </w:r>
      <w:proofErr w:type="gramEnd"/>
      <w:r w:rsidR="003E4048" w:rsidRPr="003E4048">
        <w:rPr>
          <w:rFonts w:eastAsia="Times New Roman"/>
          <w:sz w:val="20"/>
          <w:szCs w:val="20"/>
          <w:lang w:val="pt-BR"/>
        </w:rPr>
        <w:t xml:space="preserve"> 4 é algo recorrente (</w:t>
      </w:r>
      <w:proofErr w:type="spellStart"/>
      <w:r w:rsidR="003E4048" w:rsidRPr="003E4048">
        <w:rPr>
          <w:rFonts w:eastAsia="Times New Roman"/>
          <w:sz w:val="20"/>
          <w:szCs w:val="20"/>
          <w:lang w:val="pt-BR"/>
        </w:rPr>
        <w:t>Esmaeili</w:t>
      </w:r>
      <w:proofErr w:type="spellEnd"/>
      <w:r w:rsidR="003E4048" w:rsidRPr="003E4048">
        <w:rPr>
          <w:rFonts w:eastAsia="Times New Roman"/>
          <w:sz w:val="20"/>
          <w:szCs w:val="20"/>
          <w:lang w:val="pt-BR"/>
        </w:rPr>
        <w:t xml:space="preserve"> </w:t>
      </w:r>
      <w:r w:rsidR="003E4048" w:rsidRPr="007B5514">
        <w:rPr>
          <w:rFonts w:eastAsia="Times New Roman"/>
          <w:i/>
          <w:sz w:val="20"/>
          <w:szCs w:val="20"/>
          <w:lang w:val="pt-BR"/>
        </w:rPr>
        <w:t>et al.</w:t>
      </w:r>
      <w:r w:rsidR="003E4048" w:rsidRPr="003E4048">
        <w:rPr>
          <w:rFonts w:eastAsia="Times New Roman"/>
          <w:sz w:val="20"/>
          <w:szCs w:val="20"/>
          <w:lang w:val="pt-BR"/>
        </w:rPr>
        <w:t xml:space="preserve"> 2015), uma vez que, genes nucleares e mitocondriais apresentam características</w:t>
      </w:r>
      <w:r w:rsidR="00986457">
        <w:rPr>
          <w:rFonts w:eastAsia="Times New Roman"/>
          <w:sz w:val="20"/>
          <w:szCs w:val="20"/>
          <w:lang w:val="pt-BR"/>
        </w:rPr>
        <w:t xml:space="preserve"> evolutivas distintas (</w:t>
      </w:r>
      <w:r w:rsidR="003E4048" w:rsidRPr="003E4048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3E4048" w:rsidRPr="003E4048">
        <w:rPr>
          <w:rFonts w:eastAsia="Times New Roman"/>
          <w:sz w:val="20"/>
          <w:szCs w:val="20"/>
          <w:lang w:val="pt-BR"/>
        </w:rPr>
        <w:t>Campilo</w:t>
      </w:r>
      <w:proofErr w:type="spellEnd"/>
      <w:r w:rsidR="003E4048" w:rsidRPr="003E4048">
        <w:rPr>
          <w:rFonts w:eastAsia="Times New Roman"/>
          <w:sz w:val="20"/>
          <w:szCs w:val="20"/>
          <w:lang w:val="pt-BR"/>
        </w:rPr>
        <w:t xml:space="preserve"> </w:t>
      </w:r>
      <w:r w:rsidR="003E4048" w:rsidRPr="00F329BE">
        <w:rPr>
          <w:rFonts w:eastAsia="Times New Roman"/>
          <w:i/>
          <w:sz w:val="20"/>
          <w:szCs w:val="20"/>
          <w:lang w:val="pt-BR"/>
        </w:rPr>
        <w:t>et al</w:t>
      </w:r>
      <w:r w:rsidR="003E4048" w:rsidRPr="003E4048">
        <w:rPr>
          <w:rFonts w:eastAsia="Times New Roman"/>
          <w:sz w:val="20"/>
          <w:szCs w:val="20"/>
          <w:lang w:val="pt-BR"/>
        </w:rPr>
        <w:t xml:space="preserve">. 2019). Marcadores nucleares necessitam de mais tempo para que mutações surjam e sejam fixadas, quando comparados com marcadores mitocondriais, necessitando de mais tempo para atingir o </w:t>
      </w:r>
      <w:proofErr w:type="spellStart"/>
      <w:r w:rsidR="003E4048" w:rsidRPr="003E4048">
        <w:rPr>
          <w:rFonts w:eastAsia="Times New Roman"/>
          <w:sz w:val="20"/>
          <w:szCs w:val="20"/>
          <w:lang w:val="pt-BR"/>
        </w:rPr>
        <w:t>monofiletismo</w:t>
      </w:r>
      <w:proofErr w:type="spellEnd"/>
      <w:r w:rsidR="003E4048" w:rsidRPr="003E4048">
        <w:rPr>
          <w:rFonts w:eastAsia="Times New Roman"/>
          <w:sz w:val="20"/>
          <w:szCs w:val="20"/>
          <w:lang w:val="pt-BR"/>
        </w:rPr>
        <w:t xml:space="preserve"> recíproco, recuperando principalmente eventos antigos de divergência (</w:t>
      </w:r>
      <w:proofErr w:type="spellStart"/>
      <w:r w:rsidR="003E4048" w:rsidRPr="003E4048">
        <w:rPr>
          <w:rFonts w:eastAsia="Times New Roman"/>
          <w:sz w:val="20"/>
          <w:szCs w:val="20"/>
          <w:lang w:val="pt-BR"/>
        </w:rPr>
        <w:t>Galtier</w:t>
      </w:r>
      <w:proofErr w:type="spellEnd"/>
      <w:r w:rsidR="003E4048" w:rsidRPr="003E4048">
        <w:rPr>
          <w:rFonts w:eastAsia="Times New Roman"/>
          <w:sz w:val="20"/>
          <w:szCs w:val="20"/>
          <w:lang w:val="pt-BR"/>
        </w:rPr>
        <w:t xml:space="preserve"> </w:t>
      </w:r>
      <w:proofErr w:type="gramStart"/>
      <w:r w:rsidR="003E4048" w:rsidRPr="00F329BE">
        <w:rPr>
          <w:rFonts w:eastAsia="Times New Roman"/>
          <w:i/>
          <w:sz w:val="20"/>
          <w:szCs w:val="20"/>
          <w:lang w:val="pt-BR"/>
        </w:rPr>
        <w:t>et</w:t>
      </w:r>
      <w:proofErr w:type="gramEnd"/>
      <w:r w:rsidR="003E4048" w:rsidRPr="00F329BE">
        <w:rPr>
          <w:rFonts w:eastAsia="Times New Roman"/>
          <w:i/>
          <w:sz w:val="20"/>
          <w:szCs w:val="20"/>
          <w:lang w:val="pt-BR"/>
        </w:rPr>
        <w:t xml:space="preserve"> al.</w:t>
      </w:r>
      <w:r w:rsidR="003E4048" w:rsidRPr="003E4048">
        <w:rPr>
          <w:rFonts w:eastAsia="Times New Roman"/>
          <w:sz w:val="20"/>
          <w:szCs w:val="20"/>
          <w:lang w:val="pt-BR"/>
        </w:rPr>
        <w:t xml:space="preserve"> 2009, </w:t>
      </w:r>
      <w:proofErr w:type="spellStart"/>
      <w:r w:rsidR="003E4048" w:rsidRPr="003E4048">
        <w:rPr>
          <w:rFonts w:eastAsia="Times New Roman"/>
          <w:sz w:val="20"/>
          <w:szCs w:val="20"/>
          <w:lang w:val="pt-BR"/>
        </w:rPr>
        <w:t>Mandal</w:t>
      </w:r>
      <w:proofErr w:type="spellEnd"/>
      <w:r w:rsidR="003E4048" w:rsidRPr="003E4048">
        <w:rPr>
          <w:rFonts w:eastAsia="Times New Roman"/>
          <w:sz w:val="20"/>
          <w:szCs w:val="20"/>
          <w:lang w:val="pt-BR"/>
        </w:rPr>
        <w:t xml:space="preserve"> </w:t>
      </w:r>
      <w:r w:rsidR="003E4048" w:rsidRPr="00F329BE">
        <w:rPr>
          <w:rFonts w:eastAsia="Times New Roman"/>
          <w:i/>
          <w:sz w:val="20"/>
          <w:szCs w:val="20"/>
          <w:lang w:val="pt-BR"/>
        </w:rPr>
        <w:t>et al.</w:t>
      </w:r>
      <w:r w:rsidR="003E4048" w:rsidRPr="003E4048">
        <w:rPr>
          <w:rFonts w:eastAsia="Times New Roman"/>
          <w:sz w:val="20"/>
          <w:szCs w:val="20"/>
          <w:lang w:val="pt-BR"/>
        </w:rPr>
        <w:t xml:space="preserve"> 2014, </w:t>
      </w:r>
      <w:proofErr w:type="spellStart"/>
      <w:r w:rsidR="003E4048" w:rsidRPr="003E4048">
        <w:rPr>
          <w:rFonts w:eastAsia="Times New Roman"/>
          <w:sz w:val="20"/>
          <w:szCs w:val="20"/>
          <w:lang w:val="pt-BR"/>
        </w:rPr>
        <w:t>Weigert</w:t>
      </w:r>
      <w:proofErr w:type="spellEnd"/>
      <w:r w:rsidR="003E4048" w:rsidRPr="003E4048">
        <w:rPr>
          <w:rFonts w:eastAsia="Times New Roman"/>
          <w:sz w:val="20"/>
          <w:szCs w:val="20"/>
          <w:lang w:val="pt-BR"/>
        </w:rPr>
        <w:t xml:space="preserve"> </w:t>
      </w:r>
      <w:r w:rsidR="003E4048" w:rsidRPr="00F329BE">
        <w:rPr>
          <w:rFonts w:eastAsia="Times New Roman"/>
          <w:i/>
          <w:sz w:val="20"/>
          <w:szCs w:val="20"/>
          <w:lang w:val="pt-BR"/>
        </w:rPr>
        <w:t>et al.</w:t>
      </w:r>
      <w:r w:rsidR="003E4048" w:rsidRPr="003E4048">
        <w:rPr>
          <w:rFonts w:eastAsia="Times New Roman"/>
          <w:sz w:val="20"/>
          <w:szCs w:val="20"/>
          <w:lang w:val="pt-BR"/>
        </w:rPr>
        <w:t xml:space="preserve">  2016, </w:t>
      </w:r>
      <w:proofErr w:type="spellStart"/>
      <w:r w:rsidR="003E4048" w:rsidRPr="003E4048">
        <w:rPr>
          <w:rFonts w:eastAsia="Times New Roman"/>
          <w:sz w:val="20"/>
          <w:szCs w:val="20"/>
          <w:lang w:val="pt-BR"/>
        </w:rPr>
        <w:t>Allio</w:t>
      </w:r>
      <w:proofErr w:type="spellEnd"/>
      <w:r w:rsidR="003E4048" w:rsidRPr="003E4048">
        <w:rPr>
          <w:rFonts w:eastAsia="Times New Roman"/>
          <w:sz w:val="20"/>
          <w:szCs w:val="20"/>
          <w:lang w:val="pt-BR"/>
        </w:rPr>
        <w:t xml:space="preserve">  </w:t>
      </w:r>
      <w:r w:rsidR="003E4048" w:rsidRPr="00F329BE">
        <w:rPr>
          <w:rFonts w:eastAsia="Times New Roman"/>
          <w:i/>
          <w:sz w:val="20"/>
          <w:szCs w:val="20"/>
          <w:lang w:val="pt-BR"/>
        </w:rPr>
        <w:t>et al.</w:t>
      </w:r>
      <w:r w:rsidR="003E4048" w:rsidRPr="003E4048">
        <w:rPr>
          <w:rFonts w:eastAsia="Times New Roman"/>
          <w:sz w:val="20"/>
          <w:szCs w:val="20"/>
          <w:lang w:val="pt-BR"/>
        </w:rPr>
        <w:t xml:space="preserve"> 2017), o que se acredita não ser aplicado a Potiberaba sp. </w:t>
      </w:r>
      <w:proofErr w:type="gramStart"/>
      <w:r w:rsidR="003E4048" w:rsidRPr="003E4048">
        <w:rPr>
          <w:rFonts w:eastAsia="Times New Roman"/>
          <w:sz w:val="20"/>
          <w:szCs w:val="20"/>
          <w:lang w:val="pt-BR"/>
        </w:rPr>
        <w:t>nov.</w:t>
      </w:r>
      <w:proofErr w:type="gramEnd"/>
      <w:r w:rsidR="003E4048" w:rsidRPr="003E4048">
        <w:rPr>
          <w:rFonts w:eastAsia="Times New Roman"/>
          <w:sz w:val="20"/>
          <w:szCs w:val="20"/>
          <w:lang w:val="pt-BR"/>
        </w:rPr>
        <w:t xml:space="preserve"> 4.</w:t>
      </w:r>
    </w:p>
    <w:p w14:paraId="1CCB7DB1" w14:textId="3E1C9753" w:rsidR="007C6046" w:rsidRDefault="00CF0FB2" w:rsidP="003E4048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As delimitações</w:t>
      </w:r>
      <w:r w:rsidR="003E4048" w:rsidRPr="003E4048">
        <w:rPr>
          <w:rFonts w:eastAsia="Times New Roman"/>
          <w:sz w:val="20"/>
          <w:szCs w:val="20"/>
          <w:lang w:val="pt-BR"/>
        </w:rPr>
        <w:t xml:space="preserve"> de linhagens de Potiberaba, para o gene mitocon</w:t>
      </w:r>
      <w:r w:rsidR="007C6046">
        <w:rPr>
          <w:rFonts w:eastAsia="Times New Roman"/>
          <w:sz w:val="20"/>
          <w:szCs w:val="20"/>
          <w:lang w:val="pt-BR"/>
        </w:rPr>
        <w:t xml:space="preserve">drial </w:t>
      </w:r>
      <w:r w:rsidR="007C6046" w:rsidRPr="007C6046">
        <w:rPr>
          <w:rFonts w:eastAsia="Times New Roman"/>
          <w:i/>
          <w:sz w:val="20"/>
          <w:szCs w:val="20"/>
          <w:lang w:val="pt-BR"/>
        </w:rPr>
        <w:t>COXI</w:t>
      </w:r>
      <w:r w:rsidR="003E4048" w:rsidRPr="003E4048">
        <w:rPr>
          <w:rFonts w:eastAsia="Times New Roman"/>
          <w:sz w:val="20"/>
          <w:szCs w:val="20"/>
          <w:lang w:val="pt-BR"/>
        </w:rPr>
        <w:t xml:space="preserve"> foram congruente</w:t>
      </w:r>
      <w:r>
        <w:rPr>
          <w:rFonts w:eastAsia="Times New Roman"/>
          <w:sz w:val="20"/>
          <w:szCs w:val="20"/>
          <w:lang w:val="pt-BR"/>
        </w:rPr>
        <w:t>s, exceto para ABGD, indicando</w:t>
      </w:r>
      <w:r w:rsidR="003E4048" w:rsidRPr="003E4048">
        <w:rPr>
          <w:rFonts w:eastAsia="Times New Roman"/>
          <w:sz w:val="20"/>
          <w:szCs w:val="20"/>
          <w:lang w:val="pt-BR"/>
        </w:rPr>
        <w:t xml:space="preserve"> a</w:t>
      </w:r>
      <w:r>
        <w:rPr>
          <w:rFonts w:eastAsia="Times New Roman"/>
          <w:sz w:val="20"/>
          <w:szCs w:val="20"/>
          <w:lang w:val="pt-BR"/>
        </w:rPr>
        <w:t xml:space="preserve"> existência de quatro linhagens.</w:t>
      </w:r>
      <w:r w:rsidR="003E4048" w:rsidRPr="003E4048">
        <w:rPr>
          <w:rFonts w:eastAsia="Times New Roman"/>
          <w:sz w:val="20"/>
          <w:szCs w:val="20"/>
          <w:lang w:val="pt-BR"/>
        </w:rPr>
        <w:t xml:space="preserve"> Já para o </w:t>
      </w:r>
      <w:r w:rsidR="003E4048" w:rsidRPr="007C6046">
        <w:rPr>
          <w:rFonts w:eastAsia="Times New Roman"/>
          <w:i/>
          <w:sz w:val="20"/>
          <w:szCs w:val="20"/>
          <w:lang w:val="pt-BR"/>
        </w:rPr>
        <w:t>28S</w:t>
      </w:r>
      <w:r w:rsidR="003E4048" w:rsidRPr="003E4048">
        <w:rPr>
          <w:rFonts w:eastAsia="Times New Roman"/>
          <w:sz w:val="20"/>
          <w:szCs w:val="20"/>
          <w:lang w:val="pt-BR"/>
        </w:rPr>
        <w:t>, os métodos não delimitaram</w:t>
      </w:r>
      <w:proofErr w:type="gramStart"/>
      <w:r w:rsidR="003E4048" w:rsidRPr="003E4048">
        <w:rPr>
          <w:rFonts w:eastAsia="Times New Roman"/>
          <w:sz w:val="20"/>
          <w:szCs w:val="20"/>
          <w:lang w:val="pt-BR"/>
        </w:rPr>
        <w:t xml:space="preserve">  </w:t>
      </w:r>
      <w:proofErr w:type="gramEnd"/>
      <w:r w:rsidR="003E4048" w:rsidRPr="003E4048">
        <w:rPr>
          <w:rFonts w:eastAsia="Times New Roman"/>
          <w:sz w:val="20"/>
          <w:szCs w:val="20"/>
          <w:lang w:val="pt-BR"/>
        </w:rPr>
        <w:t xml:space="preserve">Potiberaba sp. </w:t>
      </w:r>
      <w:proofErr w:type="gramStart"/>
      <w:r w:rsidR="003E4048" w:rsidRPr="003E4048">
        <w:rPr>
          <w:rFonts w:eastAsia="Times New Roman"/>
          <w:sz w:val="20"/>
          <w:szCs w:val="20"/>
          <w:lang w:val="pt-BR"/>
        </w:rPr>
        <w:t>nov.</w:t>
      </w:r>
      <w:proofErr w:type="gramEnd"/>
      <w:r w:rsidR="003E4048" w:rsidRPr="003E4048">
        <w:rPr>
          <w:rFonts w:eastAsia="Times New Roman"/>
          <w:sz w:val="20"/>
          <w:szCs w:val="20"/>
          <w:lang w:val="pt-BR"/>
        </w:rPr>
        <w:t xml:space="preserve"> 4 como uma linhagem distinta, sugerindo a existência de quatro, incluindo Potiberaba sp. </w:t>
      </w:r>
      <w:proofErr w:type="gramStart"/>
      <w:r w:rsidR="003E4048" w:rsidRPr="003E4048">
        <w:rPr>
          <w:rFonts w:eastAsia="Times New Roman"/>
          <w:sz w:val="20"/>
          <w:szCs w:val="20"/>
          <w:lang w:val="pt-BR"/>
        </w:rPr>
        <w:t>nov.</w:t>
      </w:r>
      <w:proofErr w:type="gramEnd"/>
      <w:r w:rsidR="003E4048" w:rsidRPr="003E4048">
        <w:rPr>
          <w:rFonts w:eastAsia="Times New Roman"/>
          <w:sz w:val="20"/>
          <w:szCs w:val="20"/>
          <w:lang w:val="pt-BR"/>
        </w:rPr>
        <w:t xml:space="preserve"> 4 dentro de </w:t>
      </w:r>
      <w:r w:rsidR="003E4048" w:rsidRPr="007C6046">
        <w:rPr>
          <w:rFonts w:eastAsia="Times New Roman"/>
          <w:i/>
          <w:sz w:val="20"/>
          <w:szCs w:val="20"/>
          <w:lang w:val="pt-BR"/>
        </w:rPr>
        <w:t>P. porakuara</w:t>
      </w:r>
      <w:r w:rsidR="003E4048" w:rsidRPr="003E4048">
        <w:rPr>
          <w:rFonts w:eastAsia="Times New Roman"/>
          <w:sz w:val="20"/>
          <w:szCs w:val="20"/>
          <w:lang w:val="pt-BR"/>
        </w:rPr>
        <w:t>.</w:t>
      </w:r>
      <w:r w:rsidR="007C6046">
        <w:rPr>
          <w:rFonts w:eastAsia="Times New Roman"/>
          <w:sz w:val="20"/>
          <w:szCs w:val="20"/>
          <w:lang w:val="pt-BR"/>
        </w:rPr>
        <w:t xml:space="preserve"> Similar ao que foi observado no </w:t>
      </w:r>
      <w:proofErr w:type="spellStart"/>
      <w:r w:rsidR="007C6046">
        <w:rPr>
          <w:rFonts w:eastAsia="Times New Roman"/>
          <w:sz w:val="20"/>
          <w:szCs w:val="20"/>
          <w:lang w:val="pt-BR"/>
        </w:rPr>
        <w:t>Geneland</w:t>
      </w:r>
      <w:proofErr w:type="spellEnd"/>
      <w:r w:rsidR="007C6046">
        <w:rPr>
          <w:rFonts w:eastAsia="Times New Roman"/>
          <w:sz w:val="20"/>
          <w:szCs w:val="20"/>
          <w:lang w:val="pt-BR"/>
        </w:rPr>
        <w:t xml:space="preserve">, a inclusão de </w:t>
      </w:r>
      <w:r w:rsidR="007C6046" w:rsidRPr="007C6046">
        <w:rPr>
          <w:rFonts w:eastAsia="Times New Roman"/>
          <w:sz w:val="20"/>
          <w:szCs w:val="20"/>
          <w:lang w:val="pt-BR"/>
        </w:rPr>
        <w:t xml:space="preserve">Potiberaba </w:t>
      </w:r>
      <w:proofErr w:type="gramStart"/>
      <w:r w:rsidR="007C6046" w:rsidRPr="007C6046">
        <w:rPr>
          <w:rFonts w:eastAsia="Times New Roman"/>
          <w:sz w:val="20"/>
          <w:szCs w:val="20"/>
          <w:lang w:val="pt-BR"/>
        </w:rPr>
        <w:t>sp</w:t>
      </w:r>
      <w:proofErr w:type="gramEnd"/>
      <w:r w:rsidR="007C6046" w:rsidRPr="007C6046">
        <w:rPr>
          <w:rFonts w:eastAsia="Times New Roman"/>
          <w:sz w:val="20"/>
          <w:szCs w:val="20"/>
          <w:lang w:val="pt-BR"/>
        </w:rPr>
        <w:t xml:space="preserve">. </w:t>
      </w:r>
      <w:proofErr w:type="gramStart"/>
      <w:r w:rsidR="007C6046" w:rsidRPr="007C6046">
        <w:rPr>
          <w:rFonts w:eastAsia="Times New Roman"/>
          <w:sz w:val="20"/>
          <w:szCs w:val="20"/>
          <w:lang w:val="pt-BR"/>
        </w:rPr>
        <w:t>nov.</w:t>
      </w:r>
      <w:proofErr w:type="gramEnd"/>
      <w:r w:rsidR="007C6046" w:rsidRPr="007C6046">
        <w:rPr>
          <w:rFonts w:eastAsia="Times New Roman"/>
          <w:sz w:val="20"/>
          <w:szCs w:val="20"/>
          <w:lang w:val="pt-BR"/>
        </w:rPr>
        <w:t xml:space="preserve"> 4</w:t>
      </w:r>
      <w:r w:rsidR="007C6046">
        <w:rPr>
          <w:rFonts w:eastAsia="Times New Roman"/>
          <w:sz w:val="20"/>
          <w:szCs w:val="20"/>
          <w:lang w:val="pt-BR"/>
        </w:rPr>
        <w:t xml:space="preserve"> dentro do </w:t>
      </w:r>
      <w:proofErr w:type="spellStart"/>
      <w:r w:rsidR="007C6046">
        <w:rPr>
          <w:rFonts w:eastAsia="Times New Roman"/>
          <w:sz w:val="20"/>
          <w:szCs w:val="20"/>
          <w:lang w:val="pt-BR"/>
        </w:rPr>
        <w:t>clado</w:t>
      </w:r>
      <w:proofErr w:type="spellEnd"/>
      <w:r w:rsidR="007C6046">
        <w:rPr>
          <w:rFonts w:eastAsia="Times New Roman"/>
          <w:sz w:val="20"/>
          <w:szCs w:val="20"/>
          <w:lang w:val="pt-BR"/>
        </w:rPr>
        <w:t xml:space="preserve"> de </w:t>
      </w:r>
      <w:proofErr w:type="spellStart"/>
      <w:r w:rsidR="007B5514">
        <w:rPr>
          <w:rFonts w:eastAsia="Times New Roman"/>
          <w:i/>
          <w:sz w:val="20"/>
          <w:szCs w:val="20"/>
          <w:lang w:val="pt-BR"/>
        </w:rPr>
        <w:t>P.</w:t>
      </w:r>
      <w:r w:rsidR="007C6046" w:rsidRPr="007C6046">
        <w:rPr>
          <w:rFonts w:eastAsia="Times New Roman"/>
          <w:i/>
          <w:sz w:val="20"/>
          <w:szCs w:val="20"/>
          <w:lang w:val="pt-BR"/>
        </w:rPr>
        <w:t>porakuara</w:t>
      </w:r>
      <w:proofErr w:type="spellEnd"/>
      <w:r w:rsidR="007C6046">
        <w:rPr>
          <w:rFonts w:eastAsia="Times New Roman"/>
          <w:sz w:val="20"/>
          <w:szCs w:val="20"/>
          <w:lang w:val="pt-BR"/>
        </w:rPr>
        <w:t xml:space="preserve"> pode ser reflexo de </w:t>
      </w:r>
      <w:r w:rsidR="007C6046">
        <w:rPr>
          <w:rFonts w:eastAsia="Times New Roman"/>
          <w:sz w:val="20"/>
          <w:szCs w:val="20"/>
          <w:lang w:val="pt-BR"/>
        </w:rPr>
        <w:lastRenderedPageBreak/>
        <w:t xml:space="preserve">um processo de especiação recente de </w:t>
      </w:r>
      <w:r w:rsidR="007C6046" w:rsidRPr="007C6046">
        <w:rPr>
          <w:rFonts w:eastAsia="Times New Roman"/>
          <w:sz w:val="20"/>
          <w:szCs w:val="20"/>
          <w:lang w:val="pt-BR"/>
        </w:rPr>
        <w:t xml:space="preserve">Potiberaba sp. </w:t>
      </w:r>
      <w:proofErr w:type="gramStart"/>
      <w:r w:rsidR="007C6046" w:rsidRPr="007C6046">
        <w:rPr>
          <w:rFonts w:eastAsia="Times New Roman"/>
          <w:sz w:val="20"/>
          <w:szCs w:val="20"/>
          <w:lang w:val="pt-BR"/>
        </w:rPr>
        <w:t>nov.</w:t>
      </w:r>
      <w:proofErr w:type="gramEnd"/>
      <w:r w:rsidR="007C6046" w:rsidRPr="007C6046">
        <w:rPr>
          <w:rFonts w:eastAsia="Times New Roman"/>
          <w:sz w:val="20"/>
          <w:szCs w:val="20"/>
          <w:lang w:val="pt-BR"/>
        </w:rPr>
        <w:t xml:space="preserve"> 4</w:t>
      </w:r>
      <w:r w:rsidR="007C6046">
        <w:rPr>
          <w:rFonts w:eastAsia="Times New Roman"/>
          <w:sz w:val="20"/>
          <w:szCs w:val="20"/>
          <w:lang w:val="pt-BR"/>
        </w:rPr>
        <w:t xml:space="preserve">, uma vez que, diferente das novas linhagens, </w:t>
      </w:r>
      <w:r w:rsidR="007C6046" w:rsidRPr="007C6046">
        <w:rPr>
          <w:rFonts w:eastAsia="Times New Roman"/>
          <w:sz w:val="20"/>
          <w:szCs w:val="20"/>
          <w:lang w:val="pt-BR"/>
        </w:rPr>
        <w:t xml:space="preserve">Potiberaba sp. </w:t>
      </w:r>
      <w:proofErr w:type="gramStart"/>
      <w:r w:rsidR="007C6046" w:rsidRPr="007C6046">
        <w:rPr>
          <w:rFonts w:eastAsia="Times New Roman"/>
          <w:sz w:val="20"/>
          <w:szCs w:val="20"/>
          <w:lang w:val="pt-BR"/>
        </w:rPr>
        <w:t>nov.</w:t>
      </w:r>
      <w:proofErr w:type="gramEnd"/>
      <w:r w:rsidR="007C6046" w:rsidRPr="007C6046">
        <w:rPr>
          <w:rFonts w:eastAsia="Times New Roman"/>
          <w:sz w:val="20"/>
          <w:szCs w:val="20"/>
          <w:lang w:val="pt-BR"/>
        </w:rPr>
        <w:t xml:space="preserve"> 4</w:t>
      </w:r>
      <w:r w:rsidR="007C6046">
        <w:rPr>
          <w:rFonts w:eastAsia="Times New Roman"/>
          <w:sz w:val="20"/>
          <w:szCs w:val="20"/>
          <w:lang w:val="pt-BR"/>
        </w:rPr>
        <w:t xml:space="preserve"> ocorre dentro da área de distribuição de </w:t>
      </w:r>
      <w:proofErr w:type="spellStart"/>
      <w:r w:rsidR="007C6046" w:rsidRPr="007C6046">
        <w:rPr>
          <w:rFonts w:eastAsia="Times New Roman"/>
          <w:i/>
          <w:sz w:val="20"/>
          <w:szCs w:val="20"/>
          <w:lang w:val="pt-BR"/>
        </w:rPr>
        <w:t>P.porakuara</w:t>
      </w:r>
      <w:proofErr w:type="spellEnd"/>
      <w:r w:rsidR="007C6046">
        <w:rPr>
          <w:rFonts w:eastAsia="Times New Roman"/>
          <w:sz w:val="20"/>
          <w:szCs w:val="20"/>
          <w:lang w:val="pt-BR"/>
        </w:rPr>
        <w:t xml:space="preserve"> entretanto, numa região que não permite fluxo de indivíduos com populações de </w:t>
      </w:r>
      <w:r w:rsidR="007C6046" w:rsidRPr="007C6046">
        <w:rPr>
          <w:rFonts w:eastAsia="Times New Roman"/>
          <w:i/>
          <w:sz w:val="20"/>
          <w:szCs w:val="20"/>
          <w:lang w:val="pt-BR"/>
        </w:rPr>
        <w:t>P. porakuara</w:t>
      </w:r>
      <w:r w:rsidR="007C6046">
        <w:rPr>
          <w:rFonts w:eastAsia="Times New Roman"/>
          <w:sz w:val="20"/>
          <w:szCs w:val="20"/>
          <w:lang w:val="pt-BR"/>
        </w:rPr>
        <w:t xml:space="preserve"> potencializando processos de especiação, dessa forma, a linhagem foi descrita como uma nova espécie, assim como Potiberaba sp. </w:t>
      </w:r>
      <w:proofErr w:type="gramStart"/>
      <w:r w:rsidR="007C6046">
        <w:rPr>
          <w:rFonts w:eastAsia="Times New Roman"/>
          <w:sz w:val="20"/>
          <w:szCs w:val="20"/>
          <w:lang w:val="pt-BR"/>
        </w:rPr>
        <w:t>nov.</w:t>
      </w:r>
      <w:proofErr w:type="gramEnd"/>
      <w:r w:rsidR="007C6046">
        <w:rPr>
          <w:rFonts w:eastAsia="Times New Roman"/>
          <w:sz w:val="20"/>
          <w:szCs w:val="20"/>
          <w:lang w:val="pt-BR"/>
        </w:rPr>
        <w:t xml:space="preserve"> 1, 2 e 3.</w:t>
      </w:r>
    </w:p>
    <w:p w14:paraId="5B45C9AB" w14:textId="55B4DA82" w:rsidR="003E4048" w:rsidRPr="003E4048" w:rsidRDefault="003E4048" w:rsidP="00746B93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14:paraId="08BD3EEB" w14:textId="79DEFF07" w:rsidR="00B555C8" w:rsidRPr="002F3B20" w:rsidRDefault="00B555C8" w:rsidP="002F3B20">
      <w:pPr>
        <w:spacing w:line="240" w:lineRule="auto"/>
        <w:rPr>
          <w:rFonts w:eastAsia="Times New Roman"/>
          <w:sz w:val="20"/>
          <w:szCs w:val="20"/>
          <w:lang w:val="pt-BR"/>
        </w:rPr>
      </w:pPr>
    </w:p>
    <w:p w14:paraId="2E69A131" w14:textId="7AC4BAAB" w:rsidR="006B5BFC" w:rsidRPr="006B5BFC" w:rsidRDefault="00F67FA4" w:rsidP="006B5BFC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</w:rPr>
        <w:t>CONCLUSÕES</w:t>
      </w:r>
    </w:p>
    <w:p w14:paraId="2559AABF" w14:textId="596B0C53" w:rsidR="006B5BFC" w:rsidRDefault="006B5BFC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O presente estudo ressaltou como a utilização de diferentes marcadores moleculares pode ser útil para resoluções de incertezas taxonomias, com implicações diretas em áreas como a taxonomia, proporcionando a descrição de novas espécies, bem como no âmbito da conservação, uma vez que, através do mesmo, foi possível entender a real distribuição de cada espécie, e assim, fornecer subsídios para posteriores ações de conservação. Além disso, o trabalho se mostra relevante ao indicar que a biodiversidade subterrânea da Caatinga pode esta sendo subestimada, quando apenas uma ferramenta é utilizada para detecção de espécies, necessitando cada vez mais da utilização da chamada taxonomia iterativa, agregando diferentes ferramentas analíticas para resultados cada vez mais robustos.</w:t>
      </w:r>
    </w:p>
    <w:p w14:paraId="7BF821F9" w14:textId="77777777" w:rsidR="006B5BFC" w:rsidRDefault="006B5BFC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49205099" w14:textId="77777777" w:rsidR="00B555C8" w:rsidRDefault="00B555C8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</w:p>
    <w:p w14:paraId="20A46CBF" w14:textId="77777777" w:rsidR="00551FC9" w:rsidRDefault="00F67FA4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</w:rPr>
        <w:t>REFERÊNCIAS</w:t>
      </w:r>
    </w:p>
    <w:p w14:paraId="12E1C872" w14:textId="7AD37336" w:rsidR="00551FC9" w:rsidRDefault="00551FC9" w:rsidP="00551FC9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proofErr w:type="spellStart"/>
      <w:r w:rsidRPr="0076209A">
        <w:rPr>
          <w:rFonts w:eastAsia="Times New Roman"/>
          <w:sz w:val="20"/>
          <w:szCs w:val="20"/>
          <w:lang w:val="pt-BR"/>
        </w:rPr>
        <w:t>Allio</w:t>
      </w:r>
      <w:proofErr w:type="spellEnd"/>
      <w:r>
        <w:rPr>
          <w:rFonts w:eastAsia="Times New Roman"/>
          <w:sz w:val="20"/>
          <w:szCs w:val="20"/>
          <w:lang w:val="pt-BR"/>
        </w:rPr>
        <w:t>, R</w:t>
      </w:r>
      <w:r w:rsidRPr="00DF743A">
        <w:rPr>
          <w:rFonts w:eastAsia="Times New Roman"/>
          <w:sz w:val="20"/>
          <w:szCs w:val="20"/>
          <w:lang w:val="pt-BR"/>
        </w:rPr>
        <w:t>.;</w:t>
      </w:r>
      <w:r>
        <w:rPr>
          <w:rFonts w:eastAsia="Times New Roman"/>
          <w:sz w:val="20"/>
          <w:szCs w:val="20"/>
          <w:lang w:val="pt-BR"/>
        </w:rPr>
        <w:t xml:space="preserve"> Stefano, </w:t>
      </w:r>
      <w:proofErr w:type="gramStart"/>
      <w:r>
        <w:rPr>
          <w:rFonts w:eastAsia="Times New Roman"/>
          <w:sz w:val="20"/>
          <w:szCs w:val="20"/>
          <w:lang w:val="pt-BR"/>
        </w:rPr>
        <w:t>D</w:t>
      </w:r>
      <w:r w:rsidRPr="00DF743A">
        <w:rPr>
          <w:rFonts w:eastAsia="Times New Roman"/>
          <w:sz w:val="20"/>
          <w:szCs w:val="20"/>
          <w:lang w:val="pt-BR"/>
        </w:rPr>
        <w:t>.</w:t>
      </w:r>
      <w:proofErr w:type="gramEnd"/>
      <w:r w:rsidRPr="00DF743A">
        <w:rPr>
          <w:rFonts w:eastAsia="Times New Roman"/>
          <w:sz w:val="20"/>
          <w:szCs w:val="20"/>
          <w:lang w:val="pt-BR"/>
        </w:rPr>
        <w:t>;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76209A">
        <w:rPr>
          <w:rFonts w:eastAsia="Times New Roman"/>
          <w:sz w:val="20"/>
          <w:szCs w:val="20"/>
          <w:lang w:val="pt-BR"/>
        </w:rPr>
        <w:t>Nicolas</w:t>
      </w:r>
      <w:r>
        <w:rPr>
          <w:rFonts w:eastAsia="Times New Roman"/>
          <w:sz w:val="20"/>
          <w:szCs w:val="20"/>
          <w:lang w:val="pt-BR"/>
        </w:rPr>
        <w:t>, G</w:t>
      </w:r>
      <w:r w:rsidRPr="00DF743A">
        <w:rPr>
          <w:rFonts w:eastAsia="Times New Roman"/>
          <w:sz w:val="20"/>
          <w:szCs w:val="20"/>
          <w:lang w:val="pt-BR"/>
        </w:rPr>
        <w:t>.;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76209A">
        <w:rPr>
          <w:rFonts w:eastAsia="Times New Roman"/>
          <w:sz w:val="20"/>
          <w:szCs w:val="20"/>
          <w:lang w:val="pt-BR"/>
        </w:rPr>
        <w:t>Benoit</w:t>
      </w:r>
      <w:r>
        <w:rPr>
          <w:rFonts w:eastAsia="Times New Roman"/>
          <w:sz w:val="20"/>
          <w:szCs w:val="20"/>
          <w:lang w:val="pt-BR"/>
        </w:rPr>
        <w:t>, N. 2017</w:t>
      </w:r>
      <w:r w:rsidRPr="0076209A">
        <w:rPr>
          <w:rFonts w:eastAsia="Times New Roman"/>
          <w:sz w:val="20"/>
          <w:szCs w:val="20"/>
          <w:lang w:val="pt-BR"/>
        </w:rPr>
        <w:t>. "</w:t>
      </w:r>
      <w:proofErr w:type="spellStart"/>
      <w:r w:rsidRPr="0076209A">
        <w:rPr>
          <w:rFonts w:eastAsia="Times New Roman"/>
          <w:sz w:val="20"/>
          <w:szCs w:val="20"/>
          <w:lang w:val="pt-BR"/>
        </w:rPr>
        <w:t>Large</w:t>
      </w:r>
      <w:proofErr w:type="spellEnd"/>
      <w:r w:rsidRPr="0076209A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76209A">
        <w:rPr>
          <w:rFonts w:eastAsia="Times New Roman"/>
          <w:sz w:val="20"/>
          <w:szCs w:val="20"/>
          <w:lang w:val="pt-BR"/>
        </w:rPr>
        <w:t>variation</w:t>
      </w:r>
      <w:proofErr w:type="spellEnd"/>
      <w:r w:rsidRPr="0076209A">
        <w:rPr>
          <w:rFonts w:eastAsia="Times New Roman"/>
          <w:sz w:val="20"/>
          <w:szCs w:val="20"/>
          <w:lang w:val="pt-BR"/>
        </w:rPr>
        <w:t xml:space="preserve"> in </w:t>
      </w:r>
      <w:proofErr w:type="spellStart"/>
      <w:r w:rsidRPr="0076209A">
        <w:rPr>
          <w:rFonts w:eastAsia="Times New Roman"/>
          <w:sz w:val="20"/>
          <w:szCs w:val="20"/>
          <w:lang w:val="pt-BR"/>
        </w:rPr>
        <w:t>the</w:t>
      </w:r>
      <w:proofErr w:type="spellEnd"/>
      <w:r w:rsidRPr="0076209A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76209A">
        <w:rPr>
          <w:rFonts w:eastAsia="Times New Roman"/>
          <w:sz w:val="20"/>
          <w:szCs w:val="20"/>
          <w:lang w:val="pt-BR"/>
        </w:rPr>
        <w:t>ratio</w:t>
      </w:r>
      <w:proofErr w:type="spellEnd"/>
      <w:r w:rsidRPr="0076209A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76209A">
        <w:rPr>
          <w:rFonts w:eastAsia="Times New Roman"/>
          <w:sz w:val="20"/>
          <w:szCs w:val="20"/>
          <w:lang w:val="pt-BR"/>
        </w:rPr>
        <w:t>of</w:t>
      </w:r>
      <w:proofErr w:type="spellEnd"/>
      <w:r w:rsidRPr="0076209A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76209A">
        <w:rPr>
          <w:rFonts w:eastAsia="Times New Roman"/>
          <w:sz w:val="20"/>
          <w:szCs w:val="20"/>
          <w:lang w:val="pt-BR"/>
        </w:rPr>
        <w:t>mitochondrial</w:t>
      </w:r>
      <w:proofErr w:type="spellEnd"/>
      <w:r w:rsidRPr="0076209A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76209A">
        <w:rPr>
          <w:rFonts w:eastAsia="Times New Roman"/>
          <w:sz w:val="20"/>
          <w:szCs w:val="20"/>
          <w:lang w:val="pt-BR"/>
        </w:rPr>
        <w:t>to</w:t>
      </w:r>
      <w:proofErr w:type="spellEnd"/>
      <w:r w:rsidRPr="0076209A">
        <w:rPr>
          <w:rFonts w:eastAsia="Times New Roman"/>
          <w:sz w:val="20"/>
          <w:szCs w:val="20"/>
          <w:lang w:val="pt-BR"/>
        </w:rPr>
        <w:t xml:space="preserve"> nuclear </w:t>
      </w:r>
      <w:proofErr w:type="spellStart"/>
      <w:r w:rsidRPr="0076209A">
        <w:rPr>
          <w:rFonts w:eastAsia="Times New Roman"/>
          <w:sz w:val="20"/>
          <w:szCs w:val="20"/>
          <w:lang w:val="pt-BR"/>
        </w:rPr>
        <w:t>mutation</w:t>
      </w:r>
      <w:proofErr w:type="spellEnd"/>
      <w:r w:rsidRPr="0076209A">
        <w:rPr>
          <w:rFonts w:eastAsia="Times New Roman"/>
          <w:sz w:val="20"/>
          <w:szCs w:val="20"/>
          <w:lang w:val="pt-BR"/>
        </w:rPr>
        <w:t xml:space="preserve"> rate </w:t>
      </w:r>
      <w:proofErr w:type="spellStart"/>
      <w:r w:rsidRPr="0076209A">
        <w:rPr>
          <w:rFonts w:eastAsia="Times New Roman"/>
          <w:sz w:val="20"/>
          <w:szCs w:val="20"/>
          <w:lang w:val="pt-BR"/>
        </w:rPr>
        <w:t>across</w:t>
      </w:r>
      <w:proofErr w:type="spellEnd"/>
      <w:r w:rsidRPr="0076209A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76209A">
        <w:rPr>
          <w:rFonts w:eastAsia="Times New Roman"/>
          <w:sz w:val="20"/>
          <w:szCs w:val="20"/>
          <w:lang w:val="pt-BR"/>
        </w:rPr>
        <w:t>animals</w:t>
      </w:r>
      <w:proofErr w:type="spellEnd"/>
      <w:r w:rsidRPr="0076209A">
        <w:rPr>
          <w:rFonts w:eastAsia="Times New Roman"/>
          <w:sz w:val="20"/>
          <w:szCs w:val="20"/>
          <w:lang w:val="pt-BR"/>
        </w:rPr>
        <w:t xml:space="preserve">: </w:t>
      </w:r>
      <w:proofErr w:type="spellStart"/>
      <w:r w:rsidRPr="0076209A">
        <w:rPr>
          <w:rFonts w:eastAsia="Times New Roman"/>
          <w:sz w:val="20"/>
          <w:szCs w:val="20"/>
          <w:lang w:val="pt-BR"/>
        </w:rPr>
        <w:t>implications</w:t>
      </w:r>
      <w:proofErr w:type="spellEnd"/>
      <w:r w:rsidRPr="0076209A">
        <w:rPr>
          <w:rFonts w:eastAsia="Times New Roman"/>
          <w:sz w:val="20"/>
          <w:szCs w:val="20"/>
          <w:lang w:val="pt-BR"/>
        </w:rPr>
        <w:t xml:space="preserve"> for </w:t>
      </w:r>
      <w:proofErr w:type="spellStart"/>
      <w:r w:rsidRPr="0076209A">
        <w:rPr>
          <w:rFonts w:eastAsia="Times New Roman"/>
          <w:sz w:val="20"/>
          <w:szCs w:val="20"/>
          <w:lang w:val="pt-BR"/>
        </w:rPr>
        <w:t>genetic</w:t>
      </w:r>
      <w:proofErr w:type="spellEnd"/>
      <w:r w:rsidRPr="0076209A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76209A">
        <w:rPr>
          <w:rFonts w:eastAsia="Times New Roman"/>
          <w:sz w:val="20"/>
          <w:szCs w:val="20"/>
          <w:lang w:val="pt-BR"/>
        </w:rPr>
        <w:t>diversity</w:t>
      </w:r>
      <w:proofErr w:type="spellEnd"/>
      <w:r w:rsidRPr="0076209A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76209A">
        <w:rPr>
          <w:rFonts w:eastAsia="Times New Roman"/>
          <w:sz w:val="20"/>
          <w:szCs w:val="20"/>
          <w:lang w:val="pt-BR"/>
        </w:rPr>
        <w:t>and</w:t>
      </w:r>
      <w:proofErr w:type="spellEnd"/>
      <w:r w:rsidRPr="0076209A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76209A">
        <w:rPr>
          <w:rFonts w:eastAsia="Times New Roman"/>
          <w:sz w:val="20"/>
          <w:szCs w:val="20"/>
          <w:lang w:val="pt-BR"/>
        </w:rPr>
        <w:t>the</w:t>
      </w:r>
      <w:proofErr w:type="spellEnd"/>
      <w:r w:rsidRPr="0076209A">
        <w:rPr>
          <w:rFonts w:eastAsia="Times New Roman"/>
          <w:sz w:val="20"/>
          <w:szCs w:val="20"/>
          <w:lang w:val="pt-BR"/>
        </w:rPr>
        <w:t xml:space="preserve"> use </w:t>
      </w:r>
      <w:proofErr w:type="spellStart"/>
      <w:r w:rsidRPr="0076209A">
        <w:rPr>
          <w:rFonts w:eastAsia="Times New Roman"/>
          <w:sz w:val="20"/>
          <w:szCs w:val="20"/>
          <w:lang w:val="pt-BR"/>
        </w:rPr>
        <w:t>of</w:t>
      </w:r>
      <w:proofErr w:type="spellEnd"/>
      <w:r w:rsidRPr="0076209A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76209A">
        <w:rPr>
          <w:rFonts w:eastAsia="Times New Roman"/>
          <w:sz w:val="20"/>
          <w:szCs w:val="20"/>
          <w:lang w:val="pt-BR"/>
        </w:rPr>
        <w:t>mitochondrial</w:t>
      </w:r>
      <w:proofErr w:type="spellEnd"/>
      <w:r w:rsidRPr="0076209A">
        <w:rPr>
          <w:rFonts w:eastAsia="Times New Roman"/>
          <w:sz w:val="20"/>
          <w:szCs w:val="20"/>
          <w:lang w:val="pt-BR"/>
        </w:rPr>
        <w:t xml:space="preserve"> DNA as a molecular </w:t>
      </w:r>
      <w:proofErr w:type="spellStart"/>
      <w:r w:rsidRPr="0076209A">
        <w:rPr>
          <w:rFonts w:eastAsia="Times New Roman"/>
          <w:sz w:val="20"/>
          <w:szCs w:val="20"/>
          <w:lang w:val="pt-BR"/>
        </w:rPr>
        <w:t>marker</w:t>
      </w:r>
      <w:proofErr w:type="spellEnd"/>
      <w:r w:rsidRPr="0076209A">
        <w:rPr>
          <w:rFonts w:eastAsia="Times New Roman"/>
          <w:sz w:val="20"/>
          <w:szCs w:val="20"/>
          <w:lang w:val="pt-BR"/>
        </w:rPr>
        <w:t>." Mole</w:t>
      </w:r>
      <w:r>
        <w:rPr>
          <w:rFonts w:eastAsia="Times New Roman"/>
          <w:sz w:val="20"/>
          <w:szCs w:val="20"/>
          <w:lang w:val="pt-BR"/>
        </w:rPr>
        <w:t xml:space="preserve">cular </w:t>
      </w:r>
      <w:proofErr w:type="spellStart"/>
      <w:r>
        <w:rPr>
          <w:rFonts w:eastAsia="Times New Roman"/>
          <w:sz w:val="20"/>
          <w:szCs w:val="20"/>
          <w:lang w:val="pt-BR"/>
        </w:rPr>
        <w:t>Biology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>
        <w:rPr>
          <w:rFonts w:eastAsia="Times New Roman"/>
          <w:sz w:val="20"/>
          <w:szCs w:val="20"/>
          <w:lang w:val="pt-BR"/>
        </w:rPr>
        <w:t>and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>
        <w:rPr>
          <w:rFonts w:eastAsia="Times New Roman"/>
          <w:sz w:val="20"/>
          <w:szCs w:val="20"/>
          <w:lang w:val="pt-BR"/>
        </w:rPr>
        <w:t>Evolution</w:t>
      </w:r>
      <w:proofErr w:type="spellEnd"/>
      <w:r>
        <w:rPr>
          <w:rFonts w:eastAsia="Times New Roman"/>
          <w:sz w:val="20"/>
          <w:szCs w:val="20"/>
          <w:lang w:val="pt-BR"/>
        </w:rPr>
        <w:t>, 11 (2):</w:t>
      </w:r>
      <w:r w:rsidRPr="0076209A">
        <w:rPr>
          <w:rFonts w:eastAsia="Times New Roman"/>
          <w:sz w:val="20"/>
          <w:szCs w:val="20"/>
          <w:lang w:val="pt-BR"/>
        </w:rPr>
        <w:t xml:space="preserve"> 2762-2772.</w:t>
      </w:r>
    </w:p>
    <w:p w14:paraId="239FB32C" w14:textId="77777777" w:rsidR="00551FC9" w:rsidRDefault="00551FC9" w:rsidP="00551FC9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proofErr w:type="spellStart"/>
      <w:r w:rsidRPr="00986457">
        <w:rPr>
          <w:rFonts w:eastAsia="Times New Roman"/>
          <w:sz w:val="20"/>
          <w:szCs w:val="20"/>
          <w:lang w:val="pt-BR"/>
        </w:rPr>
        <w:t>Campillo</w:t>
      </w:r>
      <w:proofErr w:type="spellEnd"/>
      <w:r>
        <w:rPr>
          <w:rFonts w:eastAsia="Times New Roman"/>
          <w:sz w:val="20"/>
          <w:szCs w:val="20"/>
          <w:lang w:val="pt-BR"/>
        </w:rPr>
        <w:t>,</w:t>
      </w:r>
      <w:r w:rsidRPr="00986457">
        <w:rPr>
          <w:rFonts w:eastAsia="Times New Roman"/>
          <w:sz w:val="20"/>
          <w:szCs w:val="20"/>
          <w:lang w:val="pt-BR"/>
        </w:rPr>
        <w:t xml:space="preserve"> L</w:t>
      </w:r>
      <w:r>
        <w:rPr>
          <w:rFonts w:eastAsia="Times New Roman"/>
          <w:sz w:val="20"/>
          <w:szCs w:val="20"/>
          <w:lang w:val="pt-BR"/>
        </w:rPr>
        <w:t>.C</w:t>
      </w:r>
      <w:r w:rsidRPr="0080272C">
        <w:rPr>
          <w:rFonts w:eastAsia="Times New Roman"/>
          <w:sz w:val="20"/>
          <w:szCs w:val="20"/>
          <w:lang w:val="pt-BR"/>
        </w:rPr>
        <w:t>.;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986457">
        <w:rPr>
          <w:rFonts w:eastAsia="Times New Roman"/>
          <w:sz w:val="20"/>
          <w:szCs w:val="20"/>
          <w:lang w:val="pt-BR"/>
        </w:rPr>
        <w:t>Kevin</w:t>
      </w:r>
      <w:r>
        <w:rPr>
          <w:rFonts w:eastAsia="Times New Roman"/>
          <w:sz w:val="20"/>
          <w:szCs w:val="20"/>
          <w:lang w:val="pt-BR"/>
        </w:rPr>
        <w:t>,</w:t>
      </w:r>
      <w:r w:rsidRPr="00986457">
        <w:rPr>
          <w:rFonts w:eastAsia="Times New Roman"/>
          <w:sz w:val="20"/>
          <w:szCs w:val="20"/>
          <w:lang w:val="pt-BR"/>
        </w:rPr>
        <w:t xml:space="preserve"> J</w:t>
      </w:r>
      <w:r>
        <w:rPr>
          <w:rFonts w:eastAsia="Times New Roman"/>
          <w:sz w:val="20"/>
          <w:szCs w:val="20"/>
          <w:lang w:val="pt-BR"/>
        </w:rPr>
        <w:t>.B</w:t>
      </w:r>
      <w:r w:rsidRPr="0080272C">
        <w:rPr>
          <w:rFonts w:eastAsia="Times New Roman"/>
          <w:sz w:val="20"/>
          <w:szCs w:val="20"/>
          <w:lang w:val="pt-BR"/>
        </w:rPr>
        <w:t>.;</w:t>
      </w:r>
      <w:r w:rsidRPr="00986457">
        <w:rPr>
          <w:rFonts w:eastAsia="Times New Roman"/>
          <w:sz w:val="20"/>
          <w:szCs w:val="20"/>
          <w:lang w:val="pt-BR"/>
        </w:rPr>
        <w:t xml:space="preserve"> Robert</w:t>
      </w:r>
      <w:r>
        <w:rPr>
          <w:rFonts w:eastAsia="Times New Roman"/>
          <w:sz w:val="20"/>
          <w:szCs w:val="20"/>
          <w:lang w:val="pt-BR"/>
        </w:rPr>
        <w:t>,</w:t>
      </w:r>
      <w:r w:rsidRPr="00986457">
        <w:rPr>
          <w:rFonts w:eastAsia="Times New Roman"/>
          <w:sz w:val="20"/>
          <w:szCs w:val="20"/>
          <w:lang w:val="pt-BR"/>
        </w:rPr>
        <w:t xml:space="preserve"> G</w:t>
      </w:r>
      <w:r>
        <w:rPr>
          <w:rFonts w:eastAsia="Times New Roman"/>
          <w:sz w:val="20"/>
          <w:szCs w:val="20"/>
          <w:lang w:val="pt-BR"/>
        </w:rPr>
        <w:t>.M</w:t>
      </w:r>
      <w:r w:rsidRPr="0080272C">
        <w:rPr>
          <w:rFonts w:eastAsia="Times New Roman"/>
          <w:sz w:val="20"/>
          <w:szCs w:val="20"/>
          <w:lang w:val="pt-BR"/>
        </w:rPr>
        <w:t>.;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986457">
        <w:rPr>
          <w:rFonts w:eastAsia="Times New Roman"/>
          <w:sz w:val="20"/>
          <w:szCs w:val="20"/>
          <w:lang w:val="pt-BR"/>
        </w:rPr>
        <w:t>Joseph</w:t>
      </w:r>
      <w:r>
        <w:rPr>
          <w:rFonts w:eastAsia="Times New Roman"/>
          <w:sz w:val="20"/>
          <w:szCs w:val="20"/>
          <w:lang w:val="pt-BR"/>
        </w:rPr>
        <w:t xml:space="preserve">, </w:t>
      </w:r>
      <w:proofErr w:type="gramStart"/>
      <w:r>
        <w:rPr>
          <w:rFonts w:eastAsia="Times New Roman"/>
          <w:sz w:val="20"/>
          <w:szCs w:val="20"/>
          <w:lang w:val="pt-BR"/>
        </w:rPr>
        <w:t>D.</w:t>
      </w:r>
      <w:proofErr w:type="gramEnd"/>
      <w:r>
        <w:rPr>
          <w:rFonts w:eastAsia="Times New Roman"/>
          <w:sz w:val="20"/>
          <w:szCs w:val="20"/>
          <w:lang w:val="pt-BR"/>
        </w:rPr>
        <w:t xml:space="preserve"> 2019</w:t>
      </w:r>
      <w:r w:rsidRPr="00986457">
        <w:rPr>
          <w:rFonts w:eastAsia="Times New Roman"/>
          <w:sz w:val="20"/>
          <w:szCs w:val="20"/>
          <w:lang w:val="pt-BR"/>
        </w:rPr>
        <w:t xml:space="preserve">.  </w:t>
      </w:r>
      <w:proofErr w:type="spellStart"/>
      <w:r w:rsidRPr="00986457">
        <w:rPr>
          <w:rFonts w:eastAsia="Times New Roman"/>
          <w:sz w:val="20"/>
          <w:szCs w:val="20"/>
          <w:lang w:val="pt-BR"/>
        </w:rPr>
        <w:t>Manthey</w:t>
      </w:r>
      <w:proofErr w:type="spellEnd"/>
      <w:r w:rsidRPr="00986457">
        <w:rPr>
          <w:rFonts w:eastAsia="Times New Roman"/>
          <w:sz w:val="20"/>
          <w:szCs w:val="20"/>
          <w:lang w:val="pt-BR"/>
        </w:rPr>
        <w:t>. "</w:t>
      </w:r>
      <w:proofErr w:type="spellStart"/>
      <w:r w:rsidRPr="00986457">
        <w:rPr>
          <w:rFonts w:eastAsia="Times New Roman"/>
          <w:sz w:val="20"/>
          <w:szCs w:val="20"/>
          <w:lang w:val="pt-BR"/>
        </w:rPr>
        <w:t>Mitochondrial</w:t>
      </w:r>
      <w:proofErr w:type="spellEnd"/>
      <w:r w:rsidRPr="00986457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986457">
        <w:rPr>
          <w:rFonts w:eastAsia="Times New Roman"/>
          <w:sz w:val="20"/>
          <w:szCs w:val="20"/>
          <w:lang w:val="pt-BR"/>
        </w:rPr>
        <w:t>genomes</w:t>
      </w:r>
      <w:proofErr w:type="spellEnd"/>
      <w:r w:rsidRPr="00986457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986457">
        <w:rPr>
          <w:rFonts w:eastAsia="Times New Roman"/>
          <w:sz w:val="20"/>
          <w:szCs w:val="20"/>
          <w:lang w:val="pt-BR"/>
        </w:rPr>
        <w:t>of</w:t>
      </w:r>
      <w:proofErr w:type="spellEnd"/>
      <w:r w:rsidRPr="00986457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986457">
        <w:rPr>
          <w:rFonts w:eastAsia="Times New Roman"/>
          <w:sz w:val="20"/>
          <w:szCs w:val="20"/>
          <w:lang w:val="pt-BR"/>
        </w:rPr>
        <w:t>the</w:t>
      </w:r>
      <w:proofErr w:type="spellEnd"/>
      <w:r w:rsidRPr="00986457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proofErr w:type="gramStart"/>
      <w:r w:rsidRPr="00986457">
        <w:rPr>
          <w:rFonts w:eastAsia="Times New Roman"/>
          <w:sz w:val="20"/>
          <w:szCs w:val="20"/>
          <w:lang w:val="pt-BR"/>
        </w:rPr>
        <w:t>bird</w:t>
      </w:r>
      <w:proofErr w:type="spellEnd"/>
      <w:proofErr w:type="gramEnd"/>
      <w:r w:rsidRPr="00986457">
        <w:rPr>
          <w:rFonts w:eastAsia="Times New Roman"/>
          <w:sz w:val="20"/>
          <w:szCs w:val="20"/>
          <w:lang w:val="pt-BR"/>
        </w:rPr>
        <w:t xml:space="preserve"> genus Piranga: Rates </w:t>
      </w:r>
      <w:proofErr w:type="spellStart"/>
      <w:r w:rsidRPr="00986457">
        <w:rPr>
          <w:rFonts w:eastAsia="Times New Roman"/>
          <w:sz w:val="20"/>
          <w:szCs w:val="20"/>
          <w:lang w:val="pt-BR"/>
        </w:rPr>
        <w:t>of</w:t>
      </w:r>
      <w:proofErr w:type="spellEnd"/>
      <w:r w:rsidRPr="00986457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986457">
        <w:rPr>
          <w:rFonts w:eastAsia="Times New Roman"/>
          <w:sz w:val="20"/>
          <w:szCs w:val="20"/>
          <w:lang w:val="pt-BR"/>
        </w:rPr>
        <w:t>sequence</w:t>
      </w:r>
      <w:proofErr w:type="spellEnd"/>
      <w:r w:rsidRPr="00986457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986457">
        <w:rPr>
          <w:rFonts w:eastAsia="Times New Roman"/>
          <w:sz w:val="20"/>
          <w:szCs w:val="20"/>
          <w:lang w:val="pt-BR"/>
        </w:rPr>
        <w:t>evolution</w:t>
      </w:r>
      <w:proofErr w:type="spellEnd"/>
      <w:r w:rsidRPr="00986457">
        <w:rPr>
          <w:rFonts w:eastAsia="Times New Roman"/>
          <w:sz w:val="20"/>
          <w:szCs w:val="20"/>
          <w:lang w:val="pt-BR"/>
        </w:rPr>
        <w:t xml:space="preserve">, </w:t>
      </w:r>
      <w:proofErr w:type="spellStart"/>
      <w:r w:rsidRPr="00986457">
        <w:rPr>
          <w:rFonts w:eastAsia="Times New Roman"/>
          <w:sz w:val="20"/>
          <w:szCs w:val="20"/>
          <w:lang w:val="pt-BR"/>
        </w:rPr>
        <w:t>and</w:t>
      </w:r>
      <w:proofErr w:type="spellEnd"/>
      <w:r w:rsidRPr="00986457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986457">
        <w:rPr>
          <w:rFonts w:eastAsia="Times New Roman"/>
          <w:sz w:val="20"/>
          <w:szCs w:val="20"/>
          <w:lang w:val="pt-BR"/>
        </w:rPr>
        <w:t>discordance</w:t>
      </w:r>
      <w:proofErr w:type="spellEnd"/>
      <w:r w:rsidRPr="00986457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986457">
        <w:rPr>
          <w:rFonts w:eastAsia="Times New Roman"/>
          <w:sz w:val="20"/>
          <w:szCs w:val="20"/>
          <w:lang w:val="pt-BR"/>
        </w:rPr>
        <w:t>between</w:t>
      </w:r>
      <w:proofErr w:type="spellEnd"/>
      <w:r w:rsidRPr="00986457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986457">
        <w:rPr>
          <w:rFonts w:eastAsia="Times New Roman"/>
          <w:sz w:val="20"/>
          <w:szCs w:val="20"/>
          <w:lang w:val="pt-BR"/>
        </w:rPr>
        <w:t>mitochondrial</w:t>
      </w:r>
      <w:proofErr w:type="spellEnd"/>
      <w:r w:rsidRPr="00986457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986457">
        <w:rPr>
          <w:rFonts w:eastAsia="Times New Roman"/>
          <w:sz w:val="20"/>
          <w:szCs w:val="20"/>
          <w:lang w:val="pt-BR"/>
        </w:rPr>
        <w:t>and</w:t>
      </w:r>
      <w:proofErr w:type="spellEnd"/>
      <w:r w:rsidRPr="00986457">
        <w:rPr>
          <w:rFonts w:eastAsia="Times New Roman"/>
          <w:sz w:val="20"/>
          <w:szCs w:val="20"/>
          <w:lang w:val="pt-BR"/>
        </w:rPr>
        <w:t xml:space="preserve"> nuclear </w:t>
      </w:r>
      <w:proofErr w:type="spellStart"/>
      <w:r w:rsidRPr="00986457">
        <w:rPr>
          <w:rFonts w:eastAsia="Times New Roman"/>
          <w:sz w:val="20"/>
          <w:szCs w:val="20"/>
          <w:lang w:val="pt-BR"/>
        </w:rPr>
        <w:t>markers</w:t>
      </w:r>
      <w:proofErr w:type="spellEnd"/>
      <w:r w:rsidRPr="00986457">
        <w:rPr>
          <w:rFonts w:eastAsia="Times New Roman"/>
          <w:sz w:val="20"/>
          <w:szCs w:val="20"/>
          <w:lang w:val="pt-BR"/>
        </w:rPr>
        <w:t>."</w:t>
      </w:r>
      <w:r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>
        <w:rPr>
          <w:rFonts w:eastAsia="Times New Roman"/>
          <w:sz w:val="20"/>
          <w:szCs w:val="20"/>
          <w:lang w:val="pt-BR"/>
        </w:rPr>
        <w:t>Mitochondrial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DNA </w:t>
      </w:r>
      <w:proofErr w:type="spellStart"/>
      <w:r>
        <w:rPr>
          <w:rFonts w:eastAsia="Times New Roman"/>
          <w:sz w:val="20"/>
          <w:szCs w:val="20"/>
          <w:lang w:val="pt-BR"/>
        </w:rPr>
        <w:t>Part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B 4, 2 (6): </w:t>
      </w:r>
      <w:r w:rsidRPr="00986457">
        <w:rPr>
          <w:rFonts w:eastAsia="Times New Roman"/>
          <w:sz w:val="20"/>
          <w:szCs w:val="20"/>
          <w:lang w:val="pt-BR"/>
        </w:rPr>
        <w:t>2566-2569.</w:t>
      </w:r>
    </w:p>
    <w:p w14:paraId="3ACA6AAB" w14:textId="77777777" w:rsidR="00551FC9" w:rsidRDefault="00551FC9" w:rsidP="00551FC9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proofErr w:type="spellStart"/>
      <w:r w:rsidRPr="0015085F">
        <w:rPr>
          <w:rFonts w:eastAsia="Times New Roman"/>
          <w:sz w:val="20"/>
          <w:szCs w:val="20"/>
          <w:lang w:val="pt-BR"/>
        </w:rPr>
        <w:t>Culver</w:t>
      </w:r>
      <w:proofErr w:type="spellEnd"/>
      <w:r w:rsidRPr="0015085F">
        <w:rPr>
          <w:rFonts w:eastAsia="Times New Roman"/>
          <w:sz w:val="20"/>
          <w:szCs w:val="20"/>
          <w:lang w:val="pt-BR"/>
        </w:rPr>
        <w:t xml:space="preserve"> D</w:t>
      </w:r>
      <w:r>
        <w:rPr>
          <w:rFonts w:eastAsia="Times New Roman"/>
          <w:sz w:val="20"/>
          <w:szCs w:val="20"/>
          <w:lang w:val="pt-BR"/>
        </w:rPr>
        <w:t>.C. 1982.</w:t>
      </w:r>
      <w:r w:rsidRPr="0015085F">
        <w:rPr>
          <w:rFonts w:eastAsia="Times New Roman"/>
          <w:sz w:val="20"/>
          <w:szCs w:val="20"/>
          <w:lang w:val="pt-BR"/>
        </w:rPr>
        <w:t xml:space="preserve"> Cave Life. </w:t>
      </w:r>
      <w:proofErr w:type="spellStart"/>
      <w:r w:rsidRPr="0015085F">
        <w:rPr>
          <w:rFonts w:eastAsia="Times New Roman"/>
          <w:sz w:val="20"/>
          <w:szCs w:val="20"/>
          <w:lang w:val="pt-BR"/>
        </w:rPr>
        <w:t>Evolution</w:t>
      </w:r>
      <w:proofErr w:type="spellEnd"/>
      <w:r w:rsidRPr="0015085F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15085F">
        <w:rPr>
          <w:rFonts w:eastAsia="Times New Roman"/>
          <w:sz w:val="20"/>
          <w:szCs w:val="20"/>
          <w:lang w:val="pt-BR"/>
        </w:rPr>
        <w:t>and</w:t>
      </w:r>
      <w:proofErr w:type="spellEnd"/>
      <w:r w:rsidRPr="0015085F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15085F">
        <w:rPr>
          <w:rFonts w:eastAsia="Times New Roman"/>
          <w:sz w:val="20"/>
          <w:szCs w:val="20"/>
          <w:lang w:val="pt-BR"/>
        </w:rPr>
        <w:t>Ecology</w:t>
      </w:r>
      <w:proofErr w:type="spellEnd"/>
      <w:r w:rsidRPr="0015085F">
        <w:rPr>
          <w:rFonts w:eastAsia="Times New Roman"/>
          <w:sz w:val="20"/>
          <w:szCs w:val="20"/>
          <w:lang w:val="pt-BR"/>
        </w:rPr>
        <w:t xml:space="preserve">: Cambridge, Harvard </w:t>
      </w:r>
      <w:proofErr w:type="spellStart"/>
      <w:r w:rsidRPr="0015085F">
        <w:rPr>
          <w:rFonts w:eastAsia="Times New Roman"/>
          <w:sz w:val="20"/>
          <w:szCs w:val="20"/>
          <w:lang w:val="pt-BR"/>
        </w:rPr>
        <w:t>University</w:t>
      </w:r>
      <w:proofErr w:type="spellEnd"/>
      <w:r w:rsidRPr="0015085F">
        <w:rPr>
          <w:rFonts w:eastAsia="Times New Roman"/>
          <w:sz w:val="20"/>
          <w:szCs w:val="20"/>
          <w:lang w:val="pt-BR"/>
        </w:rPr>
        <w:t xml:space="preserve"> Press.</w:t>
      </w:r>
    </w:p>
    <w:p w14:paraId="546C1E21" w14:textId="1DDD43AB" w:rsidR="006A766D" w:rsidRDefault="00551FC9" w:rsidP="00746B93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proofErr w:type="spellStart"/>
      <w:r w:rsidRPr="007B5514">
        <w:rPr>
          <w:rFonts w:eastAsia="Times New Roman"/>
          <w:sz w:val="20"/>
          <w:szCs w:val="20"/>
          <w:lang w:val="pt-BR"/>
        </w:rPr>
        <w:t>Esmaeili-Rineh</w:t>
      </w:r>
      <w:proofErr w:type="spellEnd"/>
      <w:r>
        <w:rPr>
          <w:rFonts w:eastAsia="Times New Roman"/>
          <w:sz w:val="20"/>
          <w:szCs w:val="20"/>
          <w:lang w:val="pt-BR"/>
        </w:rPr>
        <w:t>, S</w:t>
      </w:r>
      <w:r w:rsidRPr="0080272C">
        <w:rPr>
          <w:rFonts w:eastAsia="Times New Roman"/>
          <w:sz w:val="20"/>
          <w:szCs w:val="20"/>
          <w:lang w:val="pt-BR"/>
        </w:rPr>
        <w:t>.;</w:t>
      </w:r>
      <w:r w:rsidRPr="007B5514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7B5514">
        <w:rPr>
          <w:rFonts w:eastAsia="Times New Roman"/>
          <w:sz w:val="20"/>
          <w:szCs w:val="20"/>
          <w:lang w:val="pt-BR"/>
        </w:rPr>
        <w:t>Alireza</w:t>
      </w:r>
      <w:proofErr w:type="spellEnd"/>
      <w:r>
        <w:rPr>
          <w:rFonts w:eastAsia="Times New Roman"/>
          <w:sz w:val="20"/>
          <w:szCs w:val="20"/>
          <w:lang w:val="pt-BR"/>
        </w:rPr>
        <w:t>, S</w:t>
      </w:r>
      <w:r w:rsidRPr="0080272C">
        <w:rPr>
          <w:rFonts w:eastAsia="Times New Roman"/>
          <w:sz w:val="20"/>
          <w:szCs w:val="20"/>
          <w:lang w:val="pt-BR"/>
        </w:rPr>
        <w:t>.;</w:t>
      </w:r>
      <w:r w:rsidRPr="007B5514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7B5514">
        <w:rPr>
          <w:rFonts w:eastAsia="Times New Roman"/>
          <w:sz w:val="20"/>
          <w:szCs w:val="20"/>
          <w:lang w:val="pt-BR"/>
        </w:rPr>
        <w:t>Teo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, </w:t>
      </w:r>
      <w:proofErr w:type="gramStart"/>
      <w:r>
        <w:rPr>
          <w:rFonts w:eastAsia="Times New Roman"/>
          <w:sz w:val="20"/>
          <w:szCs w:val="20"/>
          <w:lang w:val="pt-BR"/>
        </w:rPr>
        <w:t>D</w:t>
      </w:r>
      <w:r w:rsidRPr="0080272C">
        <w:rPr>
          <w:rFonts w:eastAsia="Times New Roman"/>
          <w:sz w:val="20"/>
          <w:szCs w:val="20"/>
          <w:lang w:val="pt-BR"/>
        </w:rPr>
        <w:t>.</w:t>
      </w:r>
      <w:proofErr w:type="gramEnd"/>
      <w:r w:rsidRPr="0080272C">
        <w:rPr>
          <w:rFonts w:eastAsia="Times New Roman"/>
          <w:sz w:val="20"/>
          <w:szCs w:val="20"/>
          <w:lang w:val="pt-BR"/>
        </w:rPr>
        <w:t>;</w:t>
      </w:r>
      <w:r w:rsidRPr="007B5514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7B5514">
        <w:rPr>
          <w:rFonts w:eastAsia="Times New Roman"/>
          <w:sz w:val="20"/>
          <w:szCs w:val="20"/>
          <w:lang w:val="pt-BR"/>
        </w:rPr>
        <w:t>Ajda</w:t>
      </w:r>
      <w:proofErr w:type="spellEnd"/>
      <w:r>
        <w:rPr>
          <w:rFonts w:eastAsia="Times New Roman"/>
          <w:sz w:val="20"/>
          <w:szCs w:val="20"/>
          <w:lang w:val="pt-BR"/>
        </w:rPr>
        <w:t>, M</w:t>
      </w:r>
      <w:r w:rsidRPr="0080272C">
        <w:rPr>
          <w:rFonts w:eastAsia="Times New Roman"/>
          <w:sz w:val="20"/>
          <w:szCs w:val="20"/>
          <w:lang w:val="pt-BR"/>
        </w:rPr>
        <w:t>.;</w:t>
      </w:r>
      <w:r w:rsidRPr="007B5514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7B5514">
        <w:rPr>
          <w:rFonts w:eastAsia="Times New Roman"/>
          <w:sz w:val="20"/>
          <w:szCs w:val="20"/>
          <w:lang w:val="pt-BR"/>
        </w:rPr>
        <w:t>Cene</w:t>
      </w:r>
      <w:proofErr w:type="spellEnd"/>
      <w:r>
        <w:rPr>
          <w:rFonts w:eastAsia="Times New Roman"/>
          <w:sz w:val="20"/>
          <w:szCs w:val="20"/>
          <w:lang w:val="pt-BR"/>
        </w:rPr>
        <w:t>, F. 2015</w:t>
      </w:r>
      <w:r w:rsidRPr="007B5514">
        <w:rPr>
          <w:rFonts w:eastAsia="Times New Roman"/>
          <w:sz w:val="20"/>
          <w:szCs w:val="20"/>
          <w:lang w:val="pt-BR"/>
        </w:rPr>
        <w:t xml:space="preserve">. "Molecular </w:t>
      </w:r>
      <w:proofErr w:type="spellStart"/>
      <w:r w:rsidRPr="007B5514">
        <w:rPr>
          <w:rFonts w:eastAsia="Times New Roman"/>
          <w:sz w:val="20"/>
          <w:szCs w:val="20"/>
          <w:lang w:val="pt-BR"/>
        </w:rPr>
        <w:t>phylogeny</w:t>
      </w:r>
      <w:proofErr w:type="spellEnd"/>
      <w:r w:rsidRPr="007B5514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7B5514">
        <w:rPr>
          <w:rFonts w:eastAsia="Times New Roman"/>
          <w:sz w:val="20"/>
          <w:szCs w:val="20"/>
          <w:lang w:val="pt-BR"/>
        </w:rPr>
        <w:t>of</w:t>
      </w:r>
      <w:proofErr w:type="spellEnd"/>
      <w:r w:rsidRPr="007B5514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7B5514">
        <w:rPr>
          <w:rFonts w:eastAsia="Times New Roman"/>
          <w:sz w:val="20"/>
          <w:szCs w:val="20"/>
          <w:lang w:val="pt-BR"/>
        </w:rPr>
        <w:t>the</w:t>
      </w:r>
      <w:proofErr w:type="spellEnd"/>
      <w:r w:rsidRPr="007B5514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7B5514">
        <w:rPr>
          <w:rFonts w:eastAsia="Times New Roman"/>
          <w:sz w:val="20"/>
          <w:szCs w:val="20"/>
          <w:lang w:val="pt-BR"/>
        </w:rPr>
        <w:t>subterranean</w:t>
      </w:r>
      <w:proofErr w:type="spellEnd"/>
      <w:r w:rsidRPr="007B5514">
        <w:rPr>
          <w:rFonts w:eastAsia="Times New Roman"/>
          <w:sz w:val="20"/>
          <w:szCs w:val="20"/>
          <w:lang w:val="pt-BR"/>
        </w:rPr>
        <w:t xml:space="preserve"> genus </w:t>
      </w:r>
      <w:proofErr w:type="spellStart"/>
      <w:r w:rsidRPr="007B5514">
        <w:rPr>
          <w:rFonts w:eastAsia="Times New Roman"/>
          <w:sz w:val="20"/>
          <w:szCs w:val="20"/>
          <w:lang w:val="pt-BR"/>
        </w:rPr>
        <w:t>Niphargus</w:t>
      </w:r>
      <w:proofErr w:type="spellEnd"/>
      <w:r w:rsidRPr="007B5514">
        <w:rPr>
          <w:rFonts w:eastAsia="Times New Roman"/>
          <w:sz w:val="20"/>
          <w:szCs w:val="20"/>
          <w:lang w:val="pt-BR"/>
        </w:rPr>
        <w:t xml:space="preserve"> (</w:t>
      </w:r>
      <w:proofErr w:type="spellStart"/>
      <w:r w:rsidRPr="007B5514">
        <w:rPr>
          <w:rFonts w:eastAsia="Times New Roman"/>
          <w:sz w:val="20"/>
          <w:szCs w:val="20"/>
          <w:lang w:val="pt-BR"/>
        </w:rPr>
        <w:t>Crustacea</w:t>
      </w:r>
      <w:proofErr w:type="spellEnd"/>
      <w:r w:rsidRPr="007B5514">
        <w:rPr>
          <w:rFonts w:eastAsia="Times New Roman"/>
          <w:sz w:val="20"/>
          <w:szCs w:val="20"/>
          <w:lang w:val="pt-BR"/>
        </w:rPr>
        <w:t xml:space="preserve">: </w:t>
      </w:r>
      <w:proofErr w:type="spellStart"/>
      <w:r w:rsidRPr="007B5514">
        <w:rPr>
          <w:rFonts w:eastAsia="Times New Roman"/>
          <w:sz w:val="20"/>
          <w:szCs w:val="20"/>
          <w:lang w:val="pt-BR"/>
        </w:rPr>
        <w:t>Amphipoda</w:t>
      </w:r>
      <w:proofErr w:type="spellEnd"/>
      <w:r w:rsidRPr="007B5514">
        <w:rPr>
          <w:rFonts w:eastAsia="Times New Roman"/>
          <w:sz w:val="20"/>
          <w:szCs w:val="20"/>
          <w:lang w:val="pt-BR"/>
        </w:rPr>
        <w:t xml:space="preserve">) in </w:t>
      </w:r>
      <w:proofErr w:type="spellStart"/>
      <w:r w:rsidRPr="007B5514">
        <w:rPr>
          <w:rFonts w:eastAsia="Times New Roman"/>
          <w:sz w:val="20"/>
          <w:szCs w:val="20"/>
          <w:lang w:val="pt-BR"/>
        </w:rPr>
        <w:t>the</w:t>
      </w:r>
      <w:proofErr w:type="spellEnd"/>
      <w:r w:rsidRPr="007B5514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7B5514">
        <w:rPr>
          <w:rFonts w:eastAsia="Times New Roman"/>
          <w:sz w:val="20"/>
          <w:szCs w:val="20"/>
          <w:lang w:val="pt-BR"/>
        </w:rPr>
        <w:t>Middle</w:t>
      </w:r>
      <w:proofErr w:type="spellEnd"/>
      <w:r w:rsidRPr="007B5514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7B5514">
        <w:rPr>
          <w:rFonts w:eastAsia="Times New Roman"/>
          <w:sz w:val="20"/>
          <w:szCs w:val="20"/>
          <w:lang w:val="pt-BR"/>
        </w:rPr>
        <w:t>East</w:t>
      </w:r>
      <w:proofErr w:type="spellEnd"/>
      <w:r w:rsidRPr="007B5514">
        <w:rPr>
          <w:rFonts w:eastAsia="Times New Roman"/>
          <w:sz w:val="20"/>
          <w:szCs w:val="20"/>
          <w:lang w:val="pt-BR"/>
        </w:rPr>
        <w:t xml:space="preserve">: a </w:t>
      </w:r>
      <w:proofErr w:type="spellStart"/>
      <w:r w:rsidRPr="007B5514">
        <w:rPr>
          <w:rFonts w:eastAsia="Times New Roman"/>
          <w:sz w:val="20"/>
          <w:szCs w:val="20"/>
          <w:lang w:val="pt-BR"/>
        </w:rPr>
        <w:t>comparison</w:t>
      </w:r>
      <w:proofErr w:type="spellEnd"/>
      <w:r w:rsidRPr="007B5514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7B5514">
        <w:rPr>
          <w:rFonts w:eastAsia="Times New Roman"/>
          <w:sz w:val="20"/>
          <w:szCs w:val="20"/>
          <w:lang w:val="pt-BR"/>
        </w:rPr>
        <w:t>with</w:t>
      </w:r>
      <w:proofErr w:type="spellEnd"/>
      <w:r w:rsidRPr="007B5514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7B5514">
        <w:rPr>
          <w:rFonts w:eastAsia="Times New Roman"/>
          <w:sz w:val="20"/>
          <w:szCs w:val="20"/>
          <w:lang w:val="pt-BR"/>
        </w:rPr>
        <w:t>European</w:t>
      </w:r>
      <w:proofErr w:type="spellEnd"/>
      <w:r w:rsidRPr="007B5514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7B5514">
        <w:rPr>
          <w:rFonts w:eastAsia="Times New Roman"/>
          <w:sz w:val="20"/>
          <w:szCs w:val="20"/>
          <w:lang w:val="pt-BR"/>
        </w:rPr>
        <w:t>Niphargids</w:t>
      </w:r>
      <w:proofErr w:type="spellEnd"/>
      <w:r w:rsidRPr="007B5514">
        <w:rPr>
          <w:rFonts w:eastAsia="Times New Roman"/>
          <w:sz w:val="20"/>
          <w:szCs w:val="20"/>
          <w:lang w:val="pt-BR"/>
        </w:rPr>
        <w:t xml:space="preserve">." </w:t>
      </w:r>
      <w:proofErr w:type="spellStart"/>
      <w:r w:rsidRPr="007B5514">
        <w:rPr>
          <w:rFonts w:eastAsia="Times New Roman"/>
          <w:sz w:val="20"/>
          <w:szCs w:val="20"/>
          <w:lang w:val="pt-BR"/>
        </w:rPr>
        <w:t>Zoological</w:t>
      </w:r>
      <w:proofErr w:type="spellEnd"/>
      <w:r w:rsidRPr="007B5514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7B5514">
        <w:rPr>
          <w:rFonts w:eastAsia="Times New Roman"/>
          <w:sz w:val="20"/>
          <w:szCs w:val="20"/>
          <w:lang w:val="pt-BR"/>
        </w:rPr>
        <w:t>Jou</w:t>
      </w:r>
      <w:r>
        <w:rPr>
          <w:rFonts w:eastAsia="Times New Roman"/>
          <w:sz w:val="20"/>
          <w:szCs w:val="20"/>
          <w:lang w:val="pt-BR"/>
        </w:rPr>
        <w:t>rnal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>
        <w:rPr>
          <w:rFonts w:eastAsia="Times New Roman"/>
          <w:sz w:val="20"/>
          <w:szCs w:val="20"/>
          <w:lang w:val="pt-BR"/>
        </w:rPr>
        <w:t>of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>
        <w:rPr>
          <w:rFonts w:eastAsia="Times New Roman"/>
          <w:sz w:val="20"/>
          <w:szCs w:val="20"/>
          <w:lang w:val="pt-BR"/>
        </w:rPr>
        <w:t>the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>
        <w:rPr>
          <w:rFonts w:eastAsia="Times New Roman"/>
          <w:sz w:val="20"/>
          <w:szCs w:val="20"/>
          <w:lang w:val="pt-BR"/>
        </w:rPr>
        <w:t>Linnean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>
        <w:rPr>
          <w:rFonts w:eastAsia="Times New Roman"/>
          <w:sz w:val="20"/>
          <w:szCs w:val="20"/>
          <w:lang w:val="pt-BR"/>
        </w:rPr>
        <w:t>Society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, </w:t>
      </w:r>
      <w:proofErr w:type="gramStart"/>
      <w:r>
        <w:rPr>
          <w:rFonts w:eastAsia="Times New Roman"/>
          <w:sz w:val="20"/>
          <w:szCs w:val="20"/>
          <w:lang w:val="pt-BR"/>
        </w:rPr>
        <w:t>4</w:t>
      </w:r>
      <w:proofErr w:type="gramEnd"/>
      <w:r>
        <w:rPr>
          <w:rFonts w:eastAsia="Times New Roman"/>
          <w:sz w:val="20"/>
          <w:szCs w:val="20"/>
          <w:lang w:val="pt-BR"/>
        </w:rPr>
        <w:t xml:space="preserve"> (175): </w:t>
      </w:r>
      <w:r w:rsidRPr="007B5514">
        <w:rPr>
          <w:rFonts w:eastAsia="Times New Roman"/>
          <w:sz w:val="20"/>
          <w:szCs w:val="20"/>
          <w:lang w:val="pt-BR"/>
        </w:rPr>
        <w:t>812-826</w:t>
      </w:r>
      <w:r>
        <w:rPr>
          <w:rFonts w:eastAsia="Times New Roman"/>
          <w:sz w:val="20"/>
          <w:szCs w:val="20"/>
          <w:lang w:val="pt-BR"/>
        </w:rPr>
        <w:t>.</w:t>
      </w:r>
    </w:p>
    <w:p w14:paraId="52CCB486" w14:textId="7CA7AA98" w:rsidR="006A766D" w:rsidRDefault="00C109C9" w:rsidP="00746B93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Ferreira, R.L</w:t>
      </w:r>
      <w:r w:rsidR="006A766D" w:rsidRPr="006A766D">
        <w:rPr>
          <w:rFonts w:eastAsia="Times New Roman"/>
          <w:sz w:val="20"/>
          <w:szCs w:val="20"/>
          <w:lang w:val="pt-BR"/>
        </w:rPr>
        <w:t>.</w:t>
      </w:r>
      <w:r>
        <w:rPr>
          <w:rFonts w:eastAsia="Times New Roman"/>
          <w:sz w:val="20"/>
          <w:szCs w:val="20"/>
          <w:lang w:val="pt-BR"/>
        </w:rPr>
        <w:t xml:space="preserve"> 2010.</w:t>
      </w:r>
      <w:r w:rsidR="006A766D" w:rsidRPr="006A766D">
        <w:rPr>
          <w:rFonts w:eastAsia="Times New Roman"/>
          <w:sz w:val="20"/>
          <w:szCs w:val="20"/>
          <w:lang w:val="pt-BR"/>
        </w:rPr>
        <w:t xml:space="preserve"> Fauna subterrânea do estado do Rio Grande do Norte: caracterização e impactos. Revista Brasileira de Espeleolo</w:t>
      </w:r>
      <w:r>
        <w:rPr>
          <w:rFonts w:eastAsia="Times New Roman"/>
          <w:sz w:val="20"/>
          <w:szCs w:val="20"/>
          <w:lang w:val="pt-BR"/>
        </w:rPr>
        <w:t xml:space="preserve">gia, </w:t>
      </w:r>
      <w:proofErr w:type="gramStart"/>
      <w:r>
        <w:rPr>
          <w:rFonts w:eastAsia="Times New Roman"/>
          <w:sz w:val="20"/>
          <w:szCs w:val="20"/>
          <w:lang w:val="pt-BR"/>
        </w:rPr>
        <w:t>1</w:t>
      </w:r>
      <w:proofErr w:type="gramEnd"/>
      <w:r>
        <w:rPr>
          <w:rFonts w:eastAsia="Times New Roman"/>
          <w:sz w:val="20"/>
          <w:szCs w:val="20"/>
          <w:lang w:val="pt-BR"/>
        </w:rPr>
        <w:t xml:space="preserve"> (1): 25-51</w:t>
      </w:r>
      <w:r w:rsidR="00551FC9">
        <w:rPr>
          <w:rFonts w:eastAsia="Times New Roman"/>
          <w:sz w:val="20"/>
          <w:szCs w:val="20"/>
          <w:lang w:val="pt-BR"/>
        </w:rPr>
        <w:t>.</w:t>
      </w:r>
    </w:p>
    <w:p w14:paraId="47487916" w14:textId="77777777" w:rsidR="00551FC9" w:rsidRDefault="00551FC9" w:rsidP="00551FC9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proofErr w:type="spellStart"/>
      <w:r>
        <w:rPr>
          <w:rFonts w:eastAsia="Times New Roman"/>
          <w:sz w:val="20"/>
          <w:szCs w:val="20"/>
          <w:lang w:val="pt-BR"/>
        </w:rPr>
        <w:t>Fiser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, C.; </w:t>
      </w:r>
      <w:proofErr w:type="spellStart"/>
      <w:r>
        <w:rPr>
          <w:rFonts w:eastAsia="Times New Roman"/>
          <w:sz w:val="20"/>
          <w:szCs w:val="20"/>
          <w:lang w:val="pt-BR"/>
        </w:rPr>
        <w:t>Zagmajster</w:t>
      </w:r>
      <w:proofErr w:type="spellEnd"/>
      <w:r>
        <w:rPr>
          <w:rFonts w:eastAsia="Times New Roman"/>
          <w:sz w:val="20"/>
          <w:szCs w:val="20"/>
          <w:lang w:val="pt-BR"/>
        </w:rPr>
        <w:t>, M.; Ferreira, R.</w:t>
      </w:r>
      <w:r w:rsidRPr="00175D8A">
        <w:rPr>
          <w:rFonts w:eastAsia="Times New Roman"/>
          <w:sz w:val="20"/>
          <w:szCs w:val="20"/>
          <w:lang w:val="pt-BR"/>
        </w:rPr>
        <w:t>L.</w:t>
      </w:r>
      <w:r>
        <w:rPr>
          <w:rFonts w:eastAsia="Times New Roman"/>
          <w:sz w:val="20"/>
          <w:szCs w:val="20"/>
          <w:lang w:val="pt-BR"/>
        </w:rPr>
        <w:t xml:space="preserve"> 2013.</w:t>
      </w:r>
      <w:r w:rsidRPr="00175D8A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175D8A">
        <w:rPr>
          <w:rFonts w:eastAsia="Times New Roman"/>
          <w:sz w:val="20"/>
          <w:szCs w:val="20"/>
          <w:lang w:val="pt-BR"/>
        </w:rPr>
        <w:t>Two</w:t>
      </w:r>
      <w:proofErr w:type="spellEnd"/>
      <w:r w:rsidRPr="00175D8A">
        <w:rPr>
          <w:rFonts w:eastAsia="Times New Roman"/>
          <w:sz w:val="20"/>
          <w:szCs w:val="20"/>
          <w:lang w:val="pt-BR"/>
        </w:rPr>
        <w:t xml:space="preserve"> new </w:t>
      </w:r>
      <w:proofErr w:type="spellStart"/>
      <w:r w:rsidRPr="00175D8A">
        <w:rPr>
          <w:rFonts w:eastAsia="Times New Roman"/>
          <w:sz w:val="20"/>
          <w:szCs w:val="20"/>
          <w:lang w:val="pt-BR"/>
        </w:rPr>
        <w:t>Amphipod</w:t>
      </w:r>
      <w:proofErr w:type="spellEnd"/>
      <w:r w:rsidRPr="00175D8A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175D8A">
        <w:rPr>
          <w:rFonts w:eastAsia="Times New Roman"/>
          <w:sz w:val="20"/>
          <w:szCs w:val="20"/>
          <w:lang w:val="pt-BR"/>
        </w:rPr>
        <w:t>families</w:t>
      </w:r>
      <w:proofErr w:type="spellEnd"/>
      <w:r w:rsidRPr="00175D8A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175D8A">
        <w:rPr>
          <w:rFonts w:eastAsia="Times New Roman"/>
          <w:sz w:val="20"/>
          <w:szCs w:val="20"/>
          <w:lang w:val="pt-BR"/>
        </w:rPr>
        <w:t>recorded</w:t>
      </w:r>
      <w:proofErr w:type="spellEnd"/>
      <w:r w:rsidRPr="00175D8A">
        <w:rPr>
          <w:rFonts w:eastAsia="Times New Roman"/>
          <w:sz w:val="20"/>
          <w:szCs w:val="20"/>
          <w:lang w:val="pt-BR"/>
        </w:rPr>
        <w:t xml:space="preserve"> in South </w:t>
      </w:r>
      <w:proofErr w:type="spellStart"/>
      <w:r w:rsidRPr="00175D8A">
        <w:rPr>
          <w:rFonts w:eastAsia="Times New Roman"/>
          <w:sz w:val="20"/>
          <w:szCs w:val="20"/>
          <w:lang w:val="pt-BR"/>
        </w:rPr>
        <w:t>America</w:t>
      </w:r>
      <w:proofErr w:type="spellEnd"/>
      <w:r w:rsidRPr="00175D8A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175D8A">
        <w:rPr>
          <w:rFonts w:eastAsia="Times New Roman"/>
          <w:sz w:val="20"/>
          <w:szCs w:val="20"/>
          <w:lang w:val="pt-BR"/>
        </w:rPr>
        <w:t>shed</w:t>
      </w:r>
      <w:proofErr w:type="spellEnd"/>
      <w:r w:rsidRPr="00175D8A">
        <w:rPr>
          <w:rFonts w:eastAsia="Times New Roman"/>
          <w:sz w:val="20"/>
          <w:szCs w:val="20"/>
          <w:lang w:val="pt-BR"/>
        </w:rPr>
        <w:t xml:space="preserve"> light </w:t>
      </w:r>
      <w:proofErr w:type="spellStart"/>
      <w:r w:rsidRPr="00175D8A">
        <w:rPr>
          <w:rFonts w:eastAsia="Times New Roman"/>
          <w:sz w:val="20"/>
          <w:szCs w:val="20"/>
          <w:lang w:val="pt-BR"/>
        </w:rPr>
        <w:t>on</w:t>
      </w:r>
      <w:proofErr w:type="spellEnd"/>
      <w:r w:rsidRPr="00175D8A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175D8A">
        <w:rPr>
          <w:rFonts w:eastAsia="Times New Roman"/>
          <w:sz w:val="20"/>
          <w:szCs w:val="20"/>
          <w:lang w:val="pt-BR"/>
        </w:rPr>
        <w:t>an</w:t>
      </w:r>
      <w:proofErr w:type="spellEnd"/>
      <w:r w:rsidRPr="00175D8A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175D8A">
        <w:rPr>
          <w:rFonts w:eastAsia="Times New Roman"/>
          <w:sz w:val="20"/>
          <w:szCs w:val="20"/>
          <w:lang w:val="pt-BR"/>
        </w:rPr>
        <w:t>old</w:t>
      </w:r>
      <w:proofErr w:type="spellEnd"/>
      <w:r w:rsidRPr="00175D8A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175D8A">
        <w:rPr>
          <w:rFonts w:eastAsia="Times New Roman"/>
          <w:sz w:val="20"/>
          <w:szCs w:val="20"/>
          <w:lang w:val="pt-BR"/>
        </w:rPr>
        <w:t>biogeographical</w:t>
      </w:r>
      <w:proofErr w:type="spellEnd"/>
      <w:r w:rsidRPr="00175D8A">
        <w:rPr>
          <w:rFonts w:eastAsia="Times New Roman"/>
          <w:sz w:val="20"/>
          <w:szCs w:val="20"/>
          <w:lang w:val="pt-BR"/>
        </w:rPr>
        <w:t xml:space="preserve"> enigma. </w:t>
      </w:r>
      <w:proofErr w:type="spellStart"/>
      <w:r w:rsidRPr="00175D8A">
        <w:rPr>
          <w:rFonts w:eastAsia="Times New Roman"/>
          <w:sz w:val="20"/>
          <w:szCs w:val="20"/>
          <w:lang w:val="pt-BR"/>
        </w:rPr>
        <w:t>Systematics</w:t>
      </w:r>
      <w:proofErr w:type="spellEnd"/>
      <w:r w:rsidRPr="00175D8A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175D8A">
        <w:rPr>
          <w:rFonts w:eastAsia="Times New Roman"/>
          <w:sz w:val="20"/>
          <w:szCs w:val="20"/>
          <w:lang w:val="pt-BR"/>
        </w:rPr>
        <w:t>and</w:t>
      </w:r>
      <w:proofErr w:type="spellEnd"/>
      <w:r w:rsidRPr="00175D8A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175D8A">
        <w:rPr>
          <w:rFonts w:eastAsia="Times New Roman"/>
          <w:sz w:val="20"/>
          <w:szCs w:val="20"/>
          <w:lang w:val="pt-BR"/>
        </w:rPr>
        <w:t>Biodive</w:t>
      </w:r>
      <w:r>
        <w:rPr>
          <w:rFonts w:eastAsia="Times New Roman"/>
          <w:sz w:val="20"/>
          <w:szCs w:val="20"/>
          <w:lang w:val="pt-BR"/>
        </w:rPr>
        <w:t>rsity</w:t>
      </w:r>
      <w:proofErr w:type="spellEnd"/>
      <w:r>
        <w:rPr>
          <w:rFonts w:eastAsia="Times New Roman"/>
          <w:sz w:val="20"/>
          <w:szCs w:val="20"/>
          <w:lang w:val="pt-BR"/>
        </w:rPr>
        <w:t>, 11 (2): 117-139.</w:t>
      </w:r>
    </w:p>
    <w:p w14:paraId="16DDE261" w14:textId="77777777" w:rsidR="00551FC9" w:rsidRDefault="00551FC9" w:rsidP="00551FC9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proofErr w:type="spellStart"/>
      <w:r w:rsidRPr="00102A3D">
        <w:rPr>
          <w:rFonts w:eastAsia="Times New Roman"/>
          <w:sz w:val="20"/>
          <w:szCs w:val="20"/>
          <w:lang w:val="pt-BR"/>
        </w:rPr>
        <w:t>Galtier</w:t>
      </w:r>
      <w:proofErr w:type="spellEnd"/>
      <w:r>
        <w:rPr>
          <w:rFonts w:eastAsia="Times New Roman"/>
          <w:sz w:val="20"/>
          <w:szCs w:val="20"/>
          <w:lang w:val="pt-BR"/>
        </w:rPr>
        <w:t>, N</w:t>
      </w:r>
      <w:r w:rsidRPr="0080272C">
        <w:rPr>
          <w:rFonts w:eastAsia="Times New Roman"/>
          <w:sz w:val="20"/>
          <w:szCs w:val="20"/>
          <w:lang w:val="pt-BR"/>
        </w:rPr>
        <w:t>.;</w:t>
      </w:r>
      <w:r>
        <w:rPr>
          <w:rFonts w:eastAsia="Times New Roman"/>
          <w:sz w:val="20"/>
          <w:szCs w:val="20"/>
          <w:lang w:val="pt-BR"/>
        </w:rPr>
        <w:t xml:space="preserve"> Benoit, N. S</w:t>
      </w:r>
      <w:r w:rsidRPr="0080272C">
        <w:rPr>
          <w:rFonts w:eastAsia="Times New Roman"/>
          <w:sz w:val="20"/>
          <w:szCs w:val="20"/>
          <w:lang w:val="pt-BR"/>
        </w:rPr>
        <w:t>.;</w:t>
      </w:r>
      <w:r w:rsidRPr="00102A3D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102A3D">
        <w:rPr>
          <w:rFonts w:eastAsia="Times New Roman"/>
          <w:sz w:val="20"/>
          <w:szCs w:val="20"/>
          <w:lang w:val="pt-BR"/>
        </w:rPr>
        <w:t>Glémin</w:t>
      </w:r>
      <w:proofErr w:type="spellEnd"/>
      <w:r w:rsidRPr="00102A3D">
        <w:rPr>
          <w:rFonts w:eastAsia="Times New Roman"/>
          <w:sz w:val="20"/>
          <w:szCs w:val="20"/>
          <w:lang w:val="pt-BR"/>
        </w:rPr>
        <w:t xml:space="preserve"> G</w:t>
      </w:r>
      <w:r>
        <w:rPr>
          <w:rFonts w:eastAsia="Times New Roman"/>
          <w:sz w:val="20"/>
          <w:szCs w:val="20"/>
          <w:lang w:val="pt-BR"/>
        </w:rPr>
        <w:t>.</w:t>
      </w:r>
      <w:r w:rsidRPr="00102A3D">
        <w:rPr>
          <w:rFonts w:eastAsia="Times New Roman"/>
          <w:sz w:val="20"/>
          <w:szCs w:val="20"/>
          <w:lang w:val="pt-BR"/>
        </w:rPr>
        <w:t>D</w:t>
      </w:r>
      <w:r>
        <w:rPr>
          <w:rFonts w:eastAsia="Times New Roman"/>
          <w:sz w:val="20"/>
          <w:szCs w:val="20"/>
          <w:lang w:val="pt-BR"/>
        </w:rPr>
        <w:t>.D. 2009</w:t>
      </w:r>
      <w:r w:rsidRPr="00102A3D">
        <w:rPr>
          <w:rFonts w:eastAsia="Times New Roman"/>
          <w:sz w:val="20"/>
          <w:szCs w:val="20"/>
          <w:lang w:val="pt-BR"/>
        </w:rPr>
        <w:t>. "</w:t>
      </w:r>
      <w:proofErr w:type="spellStart"/>
      <w:r w:rsidRPr="00102A3D">
        <w:rPr>
          <w:rFonts w:eastAsia="Times New Roman"/>
          <w:sz w:val="20"/>
          <w:szCs w:val="20"/>
          <w:lang w:val="pt-BR"/>
        </w:rPr>
        <w:t>Mitochondrial</w:t>
      </w:r>
      <w:proofErr w:type="spellEnd"/>
      <w:r w:rsidRPr="00102A3D">
        <w:rPr>
          <w:rFonts w:eastAsia="Times New Roman"/>
          <w:sz w:val="20"/>
          <w:szCs w:val="20"/>
          <w:lang w:val="pt-BR"/>
        </w:rPr>
        <w:t xml:space="preserve"> DNA as a </w:t>
      </w:r>
      <w:proofErr w:type="spellStart"/>
      <w:r w:rsidRPr="00102A3D">
        <w:rPr>
          <w:rFonts w:eastAsia="Times New Roman"/>
          <w:sz w:val="20"/>
          <w:szCs w:val="20"/>
          <w:lang w:val="pt-BR"/>
        </w:rPr>
        <w:t>marker</w:t>
      </w:r>
      <w:proofErr w:type="spellEnd"/>
      <w:r w:rsidRPr="00102A3D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102A3D">
        <w:rPr>
          <w:rFonts w:eastAsia="Times New Roman"/>
          <w:sz w:val="20"/>
          <w:szCs w:val="20"/>
          <w:lang w:val="pt-BR"/>
        </w:rPr>
        <w:t>of</w:t>
      </w:r>
      <w:proofErr w:type="spellEnd"/>
      <w:r w:rsidRPr="00102A3D">
        <w:rPr>
          <w:rFonts w:eastAsia="Times New Roman"/>
          <w:sz w:val="20"/>
          <w:szCs w:val="20"/>
          <w:lang w:val="pt-BR"/>
        </w:rPr>
        <w:t xml:space="preserve"> molecular </w:t>
      </w:r>
      <w:proofErr w:type="spellStart"/>
      <w:r w:rsidRPr="00102A3D">
        <w:rPr>
          <w:rFonts w:eastAsia="Times New Roman"/>
          <w:sz w:val="20"/>
          <w:szCs w:val="20"/>
          <w:lang w:val="pt-BR"/>
        </w:rPr>
        <w:t>diversity</w:t>
      </w:r>
      <w:proofErr w:type="spellEnd"/>
      <w:r w:rsidRPr="00102A3D">
        <w:rPr>
          <w:rFonts w:eastAsia="Times New Roman"/>
          <w:sz w:val="20"/>
          <w:szCs w:val="20"/>
          <w:lang w:val="pt-BR"/>
        </w:rPr>
        <w:t xml:space="preserve">: a </w:t>
      </w:r>
      <w:proofErr w:type="spellStart"/>
      <w:r w:rsidRPr="00102A3D">
        <w:rPr>
          <w:rFonts w:eastAsia="Times New Roman"/>
          <w:sz w:val="20"/>
          <w:szCs w:val="20"/>
          <w:lang w:val="pt-BR"/>
        </w:rPr>
        <w:t>reap</w:t>
      </w:r>
      <w:r>
        <w:rPr>
          <w:rFonts w:eastAsia="Times New Roman"/>
          <w:sz w:val="20"/>
          <w:szCs w:val="20"/>
          <w:lang w:val="pt-BR"/>
        </w:rPr>
        <w:t>praisal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." Molecular </w:t>
      </w:r>
      <w:proofErr w:type="spellStart"/>
      <w:r>
        <w:rPr>
          <w:rFonts w:eastAsia="Times New Roman"/>
          <w:sz w:val="20"/>
          <w:szCs w:val="20"/>
          <w:lang w:val="pt-BR"/>
        </w:rPr>
        <w:t>ecology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, 18 (22): </w:t>
      </w:r>
      <w:r w:rsidRPr="00102A3D">
        <w:rPr>
          <w:rFonts w:eastAsia="Times New Roman"/>
          <w:sz w:val="20"/>
          <w:szCs w:val="20"/>
          <w:lang w:val="pt-BR"/>
        </w:rPr>
        <w:t>4541-4550.</w:t>
      </w:r>
    </w:p>
    <w:p w14:paraId="3723767D" w14:textId="53625BC1" w:rsidR="0036329C" w:rsidRDefault="00551FC9" w:rsidP="00746B93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Jones R</w:t>
      </w:r>
      <w:r w:rsidRPr="00C11329">
        <w:rPr>
          <w:rFonts w:eastAsia="Times New Roman"/>
          <w:sz w:val="20"/>
          <w:szCs w:val="20"/>
          <w:lang w:val="pt-BR"/>
        </w:rPr>
        <w:t>.;</w:t>
      </w:r>
      <w:r w:rsidRPr="00553476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553476">
        <w:rPr>
          <w:rFonts w:eastAsia="Times New Roman"/>
          <w:sz w:val="20"/>
          <w:szCs w:val="20"/>
          <w:lang w:val="pt-BR"/>
        </w:rPr>
        <w:t>Culver</w:t>
      </w:r>
      <w:proofErr w:type="spellEnd"/>
      <w:r w:rsidRPr="00553476">
        <w:rPr>
          <w:rFonts w:eastAsia="Times New Roman"/>
          <w:sz w:val="20"/>
          <w:szCs w:val="20"/>
          <w:lang w:val="pt-BR"/>
        </w:rPr>
        <w:t xml:space="preserve"> D</w:t>
      </w:r>
      <w:r>
        <w:rPr>
          <w:rFonts w:eastAsia="Times New Roman"/>
          <w:sz w:val="20"/>
          <w:szCs w:val="20"/>
          <w:lang w:val="pt-BR"/>
        </w:rPr>
        <w:t>.C</w:t>
      </w:r>
      <w:r w:rsidRPr="00C11329">
        <w:rPr>
          <w:rFonts w:eastAsia="Times New Roman"/>
          <w:sz w:val="20"/>
          <w:szCs w:val="20"/>
          <w:lang w:val="pt-BR"/>
        </w:rPr>
        <w:t>.;</w:t>
      </w:r>
      <w:r w:rsidRPr="00553476">
        <w:rPr>
          <w:rFonts w:eastAsia="Times New Roman"/>
          <w:sz w:val="20"/>
          <w:szCs w:val="20"/>
          <w:lang w:val="pt-BR"/>
        </w:rPr>
        <w:t xml:space="preserve"> Kane T</w:t>
      </w:r>
      <w:r>
        <w:rPr>
          <w:rFonts w:eastAsia="Times New Roman"/>
          <w:sz w:val="20"/>
          <w:szCs w:val="20"/>
          <w:lang w:val="pt-BR"/>
        </w:rPr>
        <w:t>.C. 1992</w:t>
      </w:r>
      <w:r w:rsidRPr="00553476">
        <w:rPr>
          <w:rFonts w:eastAsia="Times New Roman"/>
          <w:sz w:val="20"/>
          <w:szCs w:val="20"/>
          <w:lang w:val="pt-BR"/>
        </w:rPr>
        <w:t xml:space="preserve">. Are </w:t>
      </w:r>
      <w:proofErr w:type="spellStart"/>
      <w:r w:rsidRPr="00553476">
        <w:rPr>
          <w:rFonts w:eastAsia="Times New Roman"/>
          <w:sz w:val="20"/>
          <w:szCs w:val="20"/>
          <w:lang w:val="pt-BR"/>
        </w:rPr>
        <w:t>parallel</w:t>
      </w:r>
      <w:proofErr w:type="spellEnd"/>
      <w:r w:rsidRPr="00553476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553476">
        <w:rPr>
          <w:rFonts w:eastAsia="Times New Roman"/>
          <w:sz w:val="20"/>
          <w:szCs w:val="20"/>
          <w:lang w:val="pt-BR"/>
        </w:rPr>
        <w:t>morphologies</w:t>
      </w:r>
      <w:proofErr w:type="spellEnd"/>
      <w:r w:rsidRPr="00553476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553476">
        <w:rPr>
          <w:rFonts w:eastAsia="Times New Roman"/>
          <w:sz w:val="20"/>
          <w:szCs w:val="20"/>
          <w:lang w:val="pt-BR"/>
        </w:rPr>
        <w:t>of</w:t>
      </w:r>
      <w:proofErr w:type="spellEnd"/>
      <w:r w:rsidRPr="00553476">
        <w:rPr>
          <w:rFonts w:eastAsia="Times New Roman"/>
          <w:sz w:val="20"/>
          <w:szCs w:val="20"/>
          <w:lang w:val="pt-BR"/>
        </w:rPr>
        <w:t xml:space="preserve"> cave </w:t>
      </w:r>
      <w:proofErr w:type="spellStart"/>
      <w:r w:rsidRPr="00553476">
        <w:rPr>
          <w:rFonts w:eastAsia="Times New Roman"/>
          <w:sz w:val="20"/>
          <w:szCs w:val="20"/>
          <w:lang w:val="pt-BR"/>
        </w:rPr>
        <w:t>organisms</w:t>
      </w:r>
      <w:proofErr w:type="spellEnd"/>
      <w:r w:rsidRPr="00553476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553476">
        <w:rPr>
          <w:rFonts w:eastAsia="Times New Roman"/>
          <w:sz w:val="20"/>
          <w:szCs w:val="20"/>
          <w:lang w:val="pt-BR"/>
        </w:rPr>
        <w:t>the</w:t>
      </w:r>
      <w:proofErr w:type="spellEnd"/>
      <w:r w:rsidRPr="00553476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553476">
        <w:rPr>
          <w:rFonts w:eastAsia="Times New Roman"/>
          <w:sz w:val="20"/>
          <w:szCs w:val="20"/>
          <w:lang w:val="pt-BR"/>
        </w:rPr>
        <w:t>result</w:t>
      </w:r>
      <w:proofErr w:type="spellEnd"/>
      <w:r w:rsidRPr="00553476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553476">
        <w:rPr>
          <w:rFonts w:eastAsia="Times New Roman"/>
          <w:sz w:val="20"/>
          <w:szCs w:val="20"/>
          <w:lang w:val="pt-BR"/>
        </w:rPr>
        <w:t>of</w:t>
      </w:r>
      <w:proofErr w:type="spellEnd"/>
      <w:r w:rsidRPr="00553476">
        <w:rPr>
          <w:rFonts w:eastAsia="Times New Roman"/>
          <w:sz w:val="20"/>
          <w:szCs w:val="20"/>
          <w:lang w:val="pt-BR"/>
        </w:rPr>
        <w:t xml:space="preserve"> similar </w:t>
      </w:r>
      <w:proofErr w:type="spellStart"/>
      <w:r w:rsidRPr="00553476">
        <w:rPr>
          <w:rFonts w:eastAsia="Times New Roman"/>
          <w:sz w:val="20"/>
          <w:szCs w:val="20"/>
          <w:lang w:val="pt-BR"/>
        </w:rPr>
        <w:t>sele</w:t>
      </w:r>
      <w:r>
        <w:rPr>
          <w:rFonts w:eastAsia="Times New Roman"/>
          <w:sz w:val="20"/>
          <w:szCs w:val="20"/>
          <w:lang w:val="pt-BR"/>
        </w:rPr>
        <w:t>ction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>
        <w:rPr>
          <w:rFonts w:eastAsia="Times New Roman"/>
          <w:sz w:val="20"/>
          <w:szCs w:val="20"/>
          <w:lang w:val="pt-BR"/>
        </w:rPr>
        <w:t>pressures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? </w:t>
      </w:r>
      <w:proofErr w:type="spellStart"/>
      <w:r>
        <w:rPr>
          <w:rFonts w:eastAsia="Times New Roman"/>
          <w:sz w:val="20"/>
          <w:szCs w:val="20"/>
          <w:lang w:val="pt-BR"/>
        </w:rPr>
        <w:t>Evolution</w:t>
      </w:r>
      <w:proofErr w:type="spellEnd"/>
      <w:r>
        <w:rPr>
          <w:rFonts w:eastAsia="Times New Roman"/>
          <w:sz w:val="20"/>
          <w:szCs w:val="20"/>
          <w:lang w:val="pt-BR"/>
        </w:rPr>
        <w:t>, 46 (</w:t>
      </w:r>
      <w:r w:rsidRPr="00553476">
        <w:rPr>
          <w:rFonts w:eastAsia="Times New Roman"/>
          <w:sz w:val="20"/>
          <w:szCs w:val="20"/>
          <w:lang w:val="pt-BR"/>
        </w:rPr>
        <w:t>4</w:t>
      </w:r>
      <w:r>
        <w:rPr>
          <w:rFonts w:eastAsia="Times New Roman"/>
          <w:sz w:val="20"/>
          <w:szCs w:val="20"/>
          <w:lang w:val="pt-BR"/>
        </w:rPr>
        <w:t xml:space="preserve">): </w:t>
      </w:r>
      <w:r w:rsidRPr="00553476">
        <w:rPr>
          <w:rFonts w:eastAsia="Times New Roman"/>
          <w:sz w:val="20"/>
          <w:szCs w:val="20"/>
          <w:lang w:val="pt-BR"/>
        </w:rPr>
        <w:t>353–365.</w:t>
      </w:r>
    </w:p>
    <w:p w14:paraId="668573B2" w14:textId="71CAC8CE" w:rsidR="0036329C" w:rsidRDefault="00C109C9" w:rsidP="00746B93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proofErr w:type="spellStart"/>
      <w:r>
        <w:rPr>
          <w:rFonts w:eastAsia="Times New Roman"/>
          <w:sz w:val="20"/>
          <w:szCs w:val="20"/>
          <w:lang w:val="pt-BR"/>
        </w:rPr>
        <w:t>Kury</w:t>
      </w:r>
      <w:proofErr w:type="spellEnd"/>
      <w:r>
        <w:rPr>
          <w:rFonts w:eastAsia="Times New Roman"/>
          <w:sz w:val="20"/>
          <w:szCs w:val="20"/>
          <w:lang w:val="pt-BR"/>
        </w:rPr>
        <w:t>, L.A.S.; Trajano, E</w:t>
      </w:r>
      <w:r w:rsidR="0036329C" w:rsidRPr="0036329C">
        <w:rPr>
          <w:rFonts w:eastAsia="Times New Roman"/>
          <w:sz w:val="20"/>
          <w:szCs w:val="20"/>
          <w:lang w:val="pt-BR"/>
        </w:rPr>
        <w:t>.</w:t>
      </w:r>
      <w:r>
        <w:rPr>
          <w:rFonts w:eastAsia="Times New Roman"/>
          <w:sz w:val="20"/>
          <w:szCs w:val="20"/>
          <w:lang w:val="pt-BR"/>
        </w:rPr>
        <w:t xml:space="preserve"> 1997.</w:t>
      </w:r>
      <w:r w:rsidR="0036329C" w:rsidRPr="0036329C">
        <w:rPr>
          <w:rFonts w:eastAsia="Times New Roman"/>
          <w:sz w:val="20"/>
          <w:szCs w:val="20"/>
          <w:lang w:val="pt-BR"/>
        </w:rPr>
        <w:t xml:space="preserve"> Estudo sistemático dos </w:t>
      </w:r>
      <w:proofErr w:type="spellStart"/>
      <w:r w:rsidR="0036329C" w:rsidRPr="0036329C">
        <w:rPr>
          <w:rFonts w:eastAsia="Times New Roman"/>
          <w:sz w:val="20"/>
          <w:szCs w:val="20"/>
          <w:lang w:val="pt-BR"/>
        </w:rPr>
        <w:t>Oniscidea</w:t>
      </w:r>
      <w:proofErr w:type="spellEnd"/>
      <w:r w:rsidR="0036329C" w:rsidRPr="0036329C">
        <w:rPr>
          <w:rFonts w:eastAsia="Times New Roman"/>
          <w:sz w:val="20"/>
          <w:szCs w:val="20"/>
          <w:lang w:val="pt-BR"/>
        </w:rPr>
        <w:t xml:space="preserve"> (</w:t>
      </w:r>
      <w:proofErr w:type="spellStart"/>
      <w:r w:rsidR="0036329C" w:rsidRPr="0036329C">
        <w:rPr>
          <w:rFonts w:eastAsia="Times New Roman"/>
          <w:sz w:val="20"/>
          <w:szCs w:val="20"/>
          <w:lang w:val="pt-BR"/>
        </w:rPr>
        <w:t>Crustacea</w:t>
      </w:r>
      <w:proofErr w:type="spellEnd"/>
      <w:r w:rsidR="0036329C" w:rsidRPr="0036329C">
        <w:rPr>
          <w:rFonts w:eastAsia="Times New Roman"/>
          <w:sz w:val="20"/>
          <w:szCs w:val="20"/>
          <w:lang w:val="pt-BR"/>
        </w:rPr>
        <w:t xml:space="preserve">, </w:t>
      </w:r>
      <w:proofErr w:type="spellStart"/>
      <w:r w:rsidR="0036329C" w:rsidRPr="0036329C">
        <w:rPr>
          <w:rFonts w:eastAsia="Times New Roman"/>
          <w:sz w:val="20"/>
          <w:szCs w:val="20"/>
          <w:lang w:val="pt-BR"/>
        </w:rPr>
        <w:t>Isopoda</w:t>
      </w:r>
      <w:proofErr w:type="spellEnd"/>
      <w:r w:rsidR="0036329C" w:rsidRPr="0036329C">
        <w:rPr>
          <w:rFonts w:eastAsia="Times New Roman"/>
          <w:sz w:val="20"/>
          <w:szCs w:val="20"/>
          <w:lang w:val="pt-BR"/>
        </w:rPr>
        <w:t>)</w:t>
      </w:r>
      <w:r>
        <w:rPr>
          <w:rFonts w:eastAsia="Times New Roman"/>
          <w:sz w:val="20"/>
          <w:szCs w:val="20"/>
          <w:lang w:val="pt-BR"/>
        </w:rPr>
        <w:t xml:space="preserve"> cavernícolas brasileiros.</w:t>
      </w:r>
    </w:p>
    <w:p w14:paraId="2707462F" w14:textId="77777777" w:rsidR="00551FC9" w:rsidRDefault="00551FC9" w:rsidP="00551FC9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 w:rsidRPr="00E063C9">
        <w:rPr>
          <w:rFonts w:eastAsia="Times New Roman"/>
          <w:sz w:val="20"/>
          <w:szCs w:val="20"/>
          <w:lang w:val="pt-BR"/>
        </w:rPr>
        <w:t>Leigh J</w:t>
      </w:r>
      <w:r>
        <w:rPr>
          <w:rFonts w:eastAsia="Times New Roman"/>
          <w:sz w:val="20"/>
          <w:szCs w:val="20"/>
          <w:lang w:val="pt-BR"/>
        </w:rPr>
        <w:t>.W</w:t>
      </w:r>
      <w:r w:rsidRPr="00083DE4">
        <w:rPr>
          <w:rFonts w:eastAsia="Times New Roman"/>
          <w:sz w:val="20"/>
          <w:szCs w:val="20"/>
          <w:lang w:val="pt-BR"/>
        </w:rPr>
        <w:t>.;</w:t>
      </w:r>
      <w:r>
        <w:rPr>
          <w:rFonts w:eastAsia="Times New Roman"/>
          <w:sz w:val="20"/>
          <w:szCs w:val="20"/>
          <w:lang w:val="pt-BR"/>
        </w:rPr>
        <w:t xml:space="preserve"> Bryant </w:t>
      </w:r>
      <w:proofErr w:type="gramStart"/>
      <w:r>
        <w:rPr>
          <w:rFonts w:eastAsia="Times New Roman"/>
          <w:sz w:val="20"/>
          <w:szCs w:val="20"/>
          <w:lang w:val="pt-BR"/>
        </w:rPr>
        <w:t>D.</w:t>
      </w:r>
      <w:proofErr w:type="gramEnd"/>
      <w:r>
        <w:rPr>
          <w:rFonts w:eastAsia="Times New Roman"/>
          <w:sz w:val="20"/>
          <w:szCs w:val="20"/>
          <w:lang w:val="pt-BR"/>
        </w:rPr>
        <w:t xml:space="preserve"> 2015</w:t>
      </w:r>
      <w:r w:rsidRPr="00E063C9">
        <w:rPr>
          <w:rFonts w:eastAsia="Times New Roman"/>
          <w:sz w:val="20"/>
          <w:szCs w:val="20"/>
          <w:lang w:val="pt-BR"/>
        </w:rPr>
        <w:t xml:space="preserve">. </w:t>
      </w:r>
      <w:proofErr w:type="spellStart"/>
      <w:proofErr w:type="gramStart"/>
      <w:r w:rsidRPr="00E063C9">
        <w:rPr>
          <w:rFonts w:eastAsia="Times New Roman"/>
          <w:sz w:val="20"/>
          <w:szCs w:val="20"/>
          <w:lang w:val="pt-BR"/>
        </w:rPr>
        <w:t>popart</w:t>
      </w:r>
      <w:proofErr w:type="spellEnd"/>
      <w:proofErr w:type="gramEnd"/>
      <w:r w:rsidRPr="00E063C9">
        <w:rPr>
          <w:rFonts w:eastAsia="Times New Roman"/>
          <w:sz w:val="20"/>
          <w:szCs w:val="20"/>
          <w:lang w:val="pt-BR"/>
        </w:rPr>
        <w:t xml:space="preserve">: </w:t>
      </w:r>
      <w:proofErr w:type="spellStart"/>
      <w:r w:rsidRPr="00E063C9">
        <w:rPr>
          <w:rFonts w:eastAsia="Times New Roman"/>
          <w:sz w:val="20"/>
          <w:szCs w:val="20"/>
          <w:lang w:val="pt-BR"/>
        </w:rPr>
        <w:t>full-feature</w:t>
      </w:r>
      <w:proofErr w:type="spellEnd"/>
      <w:r w:rsidRPr="00E063C9">
        <w:rPr>
          <w:rFonts w:eastAsia="Times New Roman"/>
          <w:sz w:val="20"/>
          <w:szCs w:val="20"/>
          <w:lang w:val="pt-BR"/>
        </w:rPr>
        <w:t xml:space="preserve"> software for </w:t>
      </w:r>
      <w:proofErr w:type="spellStart"/>
      <w:r w:rsidRPr="00E063C9">
        <w:rPr>
          <w:rFonts w:eastAsia="Times New Roman"/>
          <w:sz w:val="20"/>
          <w:szCs w:val="20"/>
          <w:lang w:val="pt-BR"/>
        </w:rPr>
        <w:t>haplotype</w:t>
      </w:r>
      <w:proofErr w:type="spellEnd"/>
      <w:r w:rsidRPr="00E063C9">
        <w:rPr>
          <w:rFonts w:eastAsia="Times New Roman"/>
          <w:sz w:val="20"/>
          <w:szCs w:val="20"/>
          <w:lang w:val="pt-BR"/>
        </w:rPr>
        <w:t xml:space="preserve"> network </w:t>
      </w:r>
      <w:proofErr w:type="spellStart"/>
      <w:r w:rsidRPr="00E063C9">
        <w:rPr>
          <w:rFonts w:eastAsia="Times New Roman"/>
          <w:sz w:val="20"/>
          <w:szCs w:val="20"/>
          <w:lang w:val="pt-BR"/>
        </w:rPr>
        <w:t>construction</w:t>
      </w:r>
      <w:proofErr w:type="spellEnd"/>
      <w:r w:rsidRPr="00E063C9">
        <w:rPr>
          <w:rFonts w:eastAsia="Times New Roman"/>
          <w:sz w:val="20"/>
          <w:szCs w:val="20"/>
          <w:lang w:val="pt-BR"/>
        </w:rPr>
        <w:t xml:space="preserve">. </w:t>
      </w:r>
      <w:proofErr w:type="spellStart"/>
      <w:r w:rsidRPr="00E063C9">
        <w:rPr>
          <w:rFonts w:eastAsia="Times New Roman"/>
          <w:sz w:val="20"/>
          <w:szCs w:val="20"/>
          <w:lang w:val="pt-BR"/>
        </w:rPr>
        <w:t>Metho</w:t>
      </w:r>
      <w:r>
        <w:rPr>
          <w:rFonts w:eastAsia="Times New Roman"/>
          <w:sz w:val="20"/>
          <w:szCs w:val="20"/>
          <w:lang w:val="pt-BR"/>
        </w:rPr>
        <w:t>ds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in </w:t>
      </w:r>
      <w:proofErr w:type="spellStart"/>
      <w:r>
        <w:rPr>
          <w:rFonts w:eastAsia="Times New Roman"/>
          <w:sz w:val="20"/>
          <w:szCs w:val="20"/>
          <w:lang w:val="pt-BR"/>
        </w:rPr>
        <w:t>Ecology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>
        <w:rPr>
          <w:rFonts w:eastAsia="Times New Roman"/>
          <w:sz w:val="20"/>
          <w:szCs w:val="20"/>
          <w:lang w:val="pt-BR"/>
        </w:rPr>
        <w:t>and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>
        <w:rPr>
          <w:rFonts w:eastAsia="Times New Roman"/>
          <w:sz w:val="20"/>
          <w:szCs w:val="20"/>
          <w:lang w:val="pt-BR"/>
        </w:rPr>
        <w:t>Evolution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, </w:t>
      </w:r>
      <w:proofErr w:type="gramStart"/>
      <w:r>
        <w:rPr>
          <w:rFonts w:eastAsia="Times New Roman"/>
          <w:sz w:val="20"/>
          <w:szCs w:val="20"/>
          <w:lang w:val="pt-BR"/>
        </w:rPr>
        <w:t>4</w:t>
      </w:r>
      <w:proofErr w:type="gramEnd"/>
      <w:r>
        <w:rPr>
          <w:rFonts w:eastAsia="Times New Roman"/>
          <w:sz w:val="20"/>
          <w:szCs w:val="20"/>
          <w:lang w:val="pt-BR"/>
        </w:rPr>
        <w:t xml:space="preserve"> (6): </w:t>
      </w:r>
      <w:r w:rsidRPr="00E063C9">
        <w:rPr>
          <w:rFonts w:eastAsia="Times New Roman"/>
          <w:sz w:val="20"/>
          <w:szCs w:val="20"/>
          <w:lang w:val="pt-BR"/>
        </w:rPr>
        <w:t>1110–1116.</w:t>
      </w:r>
    </w:p>
    <w:p w14:paraId="517CDE01" w14:textId="6446612D" w:rsidR="00551FC9" w:rsidRDefault="00551FC9" w:rsidP="00551FC9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 w:rsidRPr="00227C18">
        <w:rPr>
          <w:rFonts w:eastAsia="Times New Roman"/>
          <w:sz w:val="20"/>
          <w:szCs w:val="20"/>
          <w:lang w:val="pt-BR"/>
        </w:rPr>
        <w:t>Lins</w:t>
      </w:r>
      <w:r>
        <w:rPr>
          <w:rFonts w:eastAsia="Times New Roman"/>
          <w:sz w:val="20"/>
          <w:szCs w:val="20"/>
          <w:lang w:val="pt-BR"/>
        </w:rPr>
        <w:t>, L</w:t>
      </w:r>
      <w:r w:rsidRPr="00BB72F3">
        <w:rPr>
          <w:rFonts w:eastAsia="Times New Roman"/>
          <w:sz w:val="20"/>
          <w:szCs w:val="20"/>
          <w:lang w:val="pt-BR"/>
        </w:rPr>
        <w:t>.;</w:t>
      </w:r>
      <w:r w:rsidRPr="00227C18">
        <w:rPr>
          <w:rFonts w:eastAsia="Times New Roman"/>
          <w:sz w:val="20"/>
          <w:szCs w:val="20"/>
          <w:lang w:val="pt-BR"/>
        </w:rPr>
        <w:t xml:space="preserve"> Simon</w:t>
      </w:r>
      <w:r>
        <w:rPr>
          <w:rFonts w:eastAsia="Times New Roman"/>
          <w:sz w:val="20"/>
          <w:szCs w:val="20"/>
          <w:lang w:val="pt-BR"/>
        </w:rPr>
        <w:t>,</w:t>
      </w:r>
      <w:r w:rsidRPr="00227C18">
        <w:rPr>
          <w:rFonts w:eastAsia="Times New Roman"/>
          <w:sz w:val="20"/>
          <w:szCs w:val="20"/>
          <w:lang w:val="pt-BR"/>
        </w:rPr>
        <w:t xml:space="preserve"> Y</w:t>
      </w:r>
      <w:r>
        <w:rPr>
          <w:rFonts w:eastAsia="Times New Roman"/>
          <w:sz w:val="20"/>
          <w:szCs w:val="20"/>
          <w:lang w:val="pt-BR"/>
        </w:rPr>
        <w:t>.W</w:t>
      </w:r>
      <w:r w:rsidRPr="00BB72F3">
        <w:rPr>
          <w:rFonts w:eastAsia="Times New Roman"/>
          <w:sz w:val="20"/>
          <w:szCs w:val="20"/>
          <w:lang w:val="pt-BR"/>
        </w:rPr>
        <w:t>.;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227C18">
        <w:rPr>
          <w:rFonts w:eastAsia="Times New Roman"/>
          <w:sz w:val="20"/>
          <w:szCs w:val="20"/>
          <w:lang w:val="pt-BR"/>
        </w:rPr>
        <w:t>Nathan</w:t>
      </w:r>
      <w:r>
        <w:rPr>
          <w:rFonts w:eastAsia="Times New Roman"/>
          <w:sz w:val="20"/>
          <w:szCs w:val="20"/>
          <w:lang w:val="pt-BR"/>
        </w:rPr>
        <w:t>,</w:t>
      </w:r>
      <w:r w:rsidRPr="00227C18">
        <w:rPr>
          <w:rFonts w:eastAsia="Times New Roman"/>
          <w:sz w:val="20"/>
          <w:szCs w:val="20"/>
          <w:lang w:val="pt-BR"/>
        </w:rPr>
        <w:t xml:space="preserve"> L</w:t>
      </w:r>
      <w:r>
        <w:rPr>
          <w:rFonts w:eastAsia="Times New Roman"/>
          <w:sz w:val="20"/>
          <w:szCs w:val="20"/>
          <w:lang w:val="pt-BR"/>
        </w:rPr>
        <w:t>.O. 2017</w:t>
      </w:r>
      <w:r w:rsidRPr="00227C18">
        <w:rPr>
          <w:rFonts w:eastAsia="Times New Roman"/>
          <w:sz w:val="20"/>
          <w:szCs w:val="20"/>
          <w:lang w:val="pt-BR"/>
        </w:rPr>
        <w:t xml:space="preserve">. </w:t>
      </w:r>
      <w:proofErr w:type="spellStart"/>
      <w:r w:rsidRPr="00227C18">
        <w:rPr>
          <w:rFonts w:eastAsia="Times New Roman"/>
          <w:sz w:val="20"/>
          <w:szCs w:val="20"/>
          <w:lang w:val="pt-BR"/>
        </w:rPr>
        <w:t>An</w:t>
      </w:r>
      <w:proofErr w:type="spellEnd"/>
      <w:r w:rsidRPr="00227C18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227C18">
        <w:rPr>
          <w:rFonts w:eastAsia="Times New Roman"/>
          <w:sz w:val="20"/>
          <w:szCs w:val="20"/>
          <w:lang w:val="pt-BR"/>
        </w:rPr>
        <w:t>evolutionary</w:t>
      </w:r>
      <w:proofErr w:type="spellEnd"/>
      <w:r w:rsidRPr="00227C18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227C18">
        <w:rPr>
          <w:rFonts w:eastAsia="Times New Roman"/>
          <w:sz w:val="20"/>
          <w:szCs w:val="20"/>
          <w:lang w:val="pt-BR"/>
        </w:rPr>
        <w:t>timescale</w:t>
      </w:r>
      <w:proofErr w:type="spellEnd"/>
      <w:r w:rsidRPr="00227C18">
        <w:rPr>
          <w:rFonts w:eastAsia="Times New Roman"/>
          <w:sz w:val="20"/>
          <w:szCs w:val="20"/>
          <w:lang w:val="pt-BR"/>
        </w:rPr>
        <w:t xml:space="preserve"> for </w:t>
      </w:r>
      <w:proofErr w:type="spellStart"/>
      <w:r w:rsidRPr="00227C18">
        <w:rPr>
          <w:rFonts w:eastAsia="Times New Roman"/>
          <w:sz w:val="20"/>
          <w:szCs w:val="20"/>
          <w:lang w:val="pt-BR"/>
        </w:rPr>
        <w:t>terrestrial</w:t>
      </w:r>
      <w:proofErr w:type="spellEnd"/>
      <w:r w:rsidRPr="00227C18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227C18">
        <w:rPr>
          <w:rFonts w:eastAsia="Times New Roman"/>
          <w:sz w:val="20"/>
          <w:szCs w:val="20"/>
          <w:lang w:val="pt-BR"/>
        </w:rPr>
        <w:t>isopods</w:t>
      </w:r>
      <w:proofErr w:type="spellEnd"/>
      <w:r w:rsidRPr="00227C18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227C18">
        <w:rPr>
          <w:rFonts w:eastAsia="Times New Roman"/>
          <w:sz w:val="20"/>
          <w:szCs w:val="20"/>
          <w:lang w:val="pt-BR"/>
        </w:rPr>
        <w:t>and</w:t>
      </w:r>
      <w:proofErr w:type="spellEnd"/>
      <w:r w:rsidRPr="00227C18">
        <w:rPr>
          <w:rFonts w:eastAsia="Times New Roman"/>
          <w:sz w:val="20"/>
          <w:szCs w:val="20"/>
          <w:lang w:val="pt-BR"/>
        </w:rPr>
        <w:t xml:space="preserve"> a </w:t>
      </w:r>
      <w:proofErr w:type="spellStart"/>
      <w:r w:rsidRPr="00227C18">
        <w:rPr>
          <w:rFonts w:eastAsia="Times New Roman"/>
          <w:sz w:val="20"/>
          <w:szCs w:val="20"/>
          <w:lang w:val="pt-BR"/>
        </w:rPr>
        <w:t>lack</w:t>
      </w:r>
      <w:proofErr w:type="spellEnd"/>
      <w:r w:rsidRPr="00227C18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227C18">
        <w:rPr>
          <w:rFonts w:eastAsia="Times New Roman"/>
          <w:sz w:val="20"/>
          <w:szCs w:val="20"/>
          <w:lang w:val="pt-BR"/>
        </w:rPr>
        <w:t>of</w:t>
      </w:r>
      <w:proofErr w:type="spellEnd"/>
      <w:r w:rsidRPr="00227C18">
        <w:rPr>
          <w:rFonts w:eastAsia="Times New Roman"/>
          <w:sz w:val="20"/>
          <w:szCs w:val="20"/>
          <w:lang w:val="pt-BR"/>
        </w:rPr>
        <w:t xml:space="preserve"> molecular </w:t>
      </w:r>
      <w:proofErr w:type="spellStart"/>
      <w:r w:rsidRPr="00227C18">
        <w:rPr>
          <w:rFonts w:eastAsia="Times New Roman"/>
          <w:sz w:val="20"/>
          <w:szCs w:val="20"/>
          <w:lang w:val="pt-BR"/>
        </w:rPr>
        <w:t>support</w:t>
      </w:r>
      <w:proofErr w:type="spellEnd"/>
      <w:r w:rsidRPr="00227C18">
        <w:rPr>
          <w:rFonts w:eastAsia="Times New Roman"/>
          <w:sz w:val="20"/>
          <w:szCs w:val="20"/>
          <w:lang w:val="pt-BR"/>
        </w:rPr>
        <w:t xml:space="preserve"> for </w:t>
      </w:r>
      <w:proofErr w:type="spellStart"/>
      <w:r w:rsidRPr="00227C18">
        <w:rPr>
          <w:rFonts w:eastAsia="Times New Roman"/>
          <w:sz w:val="20"/>
          <w:szCs w:val="20"/>
          <w:lang w:val="pt-BR"/>
        </w:rPr>
        <w:t>the</w:t>
      </w:r>
      <w:proofErr w:type="spellEnd"/>
      <w:r w:rsidRPr="00227C18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227C18">
        <w:rPr>
          <w:rFonts w:eastAsia="Times New Roman"/>
          <w:sz w:val="20"/>
          <w:szCs w:val="20"/>
          <w:lang w:val="pt-BR"/>
        </w:rPr>
        <w:t>monophyly</w:t>
      </w:r>
      <w:proofErr w:type="spellEnd"/>
      <w:r w:rsidRPr="00227C18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227C18">
        <w:rPr>
          <w:rFonts w:eastAsia="Times New Roman"/>
          <w:sz w:val="20"/>
          <w:szCs w:val="20"/>
          <w:lang w:val="pt-BR"/>
        </w:rPr>
        <w:t>of</w:t>
      </w:r>
      <w:proofErr w:type="spellEnd"/>
      <w:r w:rsidRPr="00227C18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227C18">
        <w:rPr>
          <w:rFonts w:eastAsia="Times New Roman"/>
          <w:sz w:val="20"/>
          <w:szCs w:val="20"/>
          <w:lang w:val="pt-BR"/>
        </w:rPr>
        <w:t>Oniscidea</w:t>
      </w:r>
      <w:proofErr w:type="spellEnd"/>
      <w:r w:rsidRPr="00227C18">
        <w:rPr>
          <w:rFonts w:eastAsia="Times New Roman"/>
          <w:sz w:val="20"/>
          <w:szCs w:val="20"/>
          <w:lang w:val="pt-BR"/>
        </w:rPr>
        <w:t xml:space="preserve"> (</w:t>
      </w:r>
      <w:proofErr w:type="spellStart"/>
      <w:r w:rsidRPr="00227C18">
        <w:rPr>
          <w:rFonts w:eastAsia="Times New Roman"/>
          <w:sz w:val="20"/>
          <w:szCs w:val="20"/>
          <w:lang w:val="pt-BR"/>
        </w:rPr>
        <w:t>Crustacea</w:t>
      </w:r>
      <w:proofErr w:type="spellEnd"/>
      <w:r w:rsidRPr="00227C18">
        <w:rPr>
          <w:rFonts w:eastAsia="Times New Roman"/>
          <w:sz w:val="20"/>
          <w:szCs w:val="20"/>
          <w:lang w:val="pt-BR"/>
        </w:rPr>
        <w:t xml:space="preserve">: </w:t>
      </w:r>
      <w:proofErr w:type="spellStart"/>
      <w:r w:rsidRPr="00227C18">
        <w:rPr>
          <w:rFonts w:eastAsia="Times New Roman"/>
          <w:sz w:val="20"/>
          <w:szCs w:val="20"/>
          <w:lang w:val="pt-BR"/>
        </w:rPr>
        <w:t>Isopoda</w:t>
      </w:r>
      <w:proofErr w:type="spellEnd"/>
      <w:r w:rsidRPr="00227C18">
        <w:rPr>
          <w:rFonts w:eastAsia="Times New Roman"/>
          <w:sz w:val="20"/>
          <w:szCs w:val="20"/>
          <w:lang w:val="pt-BR"/>
        </w:rPr>
        <w:t xml:space="preserve">). </w:t>
      </w:r>
      <w:proofErr w:type="spellStart"/>
      <w:r w:rsidRPr="00227C18">
        <w:rPr>
          <w:rFonts w:eastAsia="Times New Roman"/>
          <w:sz w:val="20"/>
          <w:szCs w:val="20"/>
          <w:lang w:val="pt-BR"/>
        </w:rPr>
        <w:t>Orga</w:t>
      </w:r>
      <w:r>
        <w:rPr>
          <w:rFonts w:eastAsia="Times New Roman"/>
          <w:sz w:val="20"/>
          <w:szCs w:val="20"/>
          <w:lang w:val="pt-BR"/>
        </w:rPr>
        <w:t>nisms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>
        <w:rPr>
          <w:rFonts w:eastAsia="Times New Roman"/>
          <w:sz w:val="20"/>
          <w:szCs w:val="20"/>
          <w:lang w:val="pt-BR"/>
        </w:rPr>
        <w:t>Diversity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&amp; </w:t>
      </w:r>
      <w:proofErr w:type="spellStart"/>
      <w:r>
        <w:rPr>
          <w:rFonts w:eastAsia="Times New Roman"/>
          <w:sz w:val="20"/>
          <w:szCs w:val="20"/>
          <w:lang w:val="pt-BR"/>
        </w:rPr>
        <w:t>Evolution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, 17 (4): </w:t>
      </w:r>
      <w:r w:rsidRPr="00227C18">
        <w:rPr>
          <w:rFonts w:eastAsia="Times New Roman"/>
          <w:sz w:val="20"/>
          <w:szCs w:val="20"/>
          <w:lang w:val="pt-BR"/>
        </w:rPr>
        <w:t>813-820.</w:t>
      </w:r>
    </w:p>
    <w:p w14:paraId="21F93471" w14:textId="77777777" w:rsidR="00551FC9" w:rsidRDefault="00551FC9" w:rsidP="00551FC9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proofErr w:type="spellStart"/>
      <w:r w:rsidRPr="00102A3D">
        <w:rPr>
          <w:rFonts w:eastAsia="Times New Roman"/>
          <w:sz w:val="20"/>
          <w:szCs w:val="20"/>
          <w:lang w:val="pt-BR"/>
        </w:rPr>
        <w:t>Mandal</w:t>
      </w:r>
      <w:proofErr w:type="spellEnd"/>
      <w:r>
        <w:rPr>
          <w:rFonts w:eastAsia="Times New Roman"/>
          <w:sz w:val="20"/>
          <w:szCs w:val="20"/>
          <w:lang w:val="pt-BR"/>
        </w:rPr>
        <w:t>, S</w:t>
      </w:r>
      <w:r w:rsidRPr="001B7C65">
        <w:rPr>
          <w:rFonts w:eastAsia="Times New Roman"/>
          <w:sz w:val="20"/>
          <w:szCs w:val="20"/>
          <w:lang w:val="pt-BR"/>
        </w:rPr>
        <w:t>.;</w:t>
      </w:r>
      <w:r w:rsidRPr="00102A3D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102A3D">
        <w:rPr>
          <w:rFonts w:eastAsia="Times New Roman"/>
          <w:sz w:val="20"/>
          <w:szCs w:val="20"/>
          <w:lang w:val="pt-BR"/>
        </w:rPr>
        <w:t>Liansangmawii</w:t>
      </w:r>
      <w:proofErr w:type="spellEnd"/>
      <w:r>
        <w:rPr>
          <w:rFonts w:eastAsia="Times New Roman"/>
          <w:sz w:val="20"/>
          <w:szCs w:val="20"/>
          <w:lang w:val="pt-BR"/>
        </w:rPr>
        <w:t>, C</w:t>
      </w:r>
      <w:r w:rsidRPr="001B7C65">
        <w:rPr>
          <w:rFonts w:eastAsia="Times New Roman"/>
          <w:sz w:val="20"/>
          <w:szCs w:val="20"/>
          <w:lang w:val="pt-BR"/>
        </w:rPr>
        <w:t>.;</w:t>
      </w:r>
      <w:r w:rsidRPr="00102A3D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102A3D">
        <w:rPr>
          <w:rFonts w:eastAsia="Times New Roman"/>
          <w:sz w:val="20"/>
          <w:szCs w:val="20"/>
          <w:lang w:val="pt-BR"/>
        </w:rPr>
        <w:t>Guruswami</w:t>
      </w:r>
      <w:proofErr w:type="spellEnd"/>
      <w:r>
        <w:rPr>
          <w:rFonts w:eastAsia="Times New Roman"/>
          <w:sz w:val="20"/>
          <w:szCs w:val="20"/>
          <w:lang w:val="pt-BR"/>
        </w:rPr>
        <w:t>, G</w:t>
      </w:r>
      <w:r w:rsidRPr="001B7C65">
        <w:rPr>
          <w:rFonts w:eastAsia="Times New Roman"/>
          <w:sz w:val="20"/>
          <w:szCs w:val="20"/>
          <w:lang w:val="pt-BR"/>
        </w:rPr>
        <w:t>.;</w:t>
      </w:r>
      <w:proofErr w:type="gramStart"/>
      <w:r w:rsidRPr="00102A3D">
        <w:rPr>
          <w:rFonts w:eastAsia="Times New Roman"/>
          <w:sz w:val="20"/>
          <w:szCs w:val="20"/>
          <w:lang w:val="pt-BR"/>
        </w:rPr>
        <w:t xml:space="preserve">  </w:t>
      </w:r>
      <w:proofErr w:type="spellStart"/>
      <w:proofErr w:type="gramEnd"/>
      <w:r w:rsidRPr="00102A3D">
        <w:rPr>
          <w:rFonts w:eastAsia="Times New Roman"/>
          <w:sz w:val="20"/>
          <w:szCs w:val="20"/>
          <w:lang w:val="pt-BR"/>
        </w:rPr>
        <w:t>Nachimuthu</w:t>
      </w:r>
      <w:proofErr w:type="spellEnd"/>
      <w:r>
        <w:rPr>
          <w:rFonts w:eastAsia="Times New Roman"/>
          <w:sz w:val="20"/>
          <w:szCs w:val="20"/>
          <w:lang w:val="pt-BR"/>
        </w:rPr>
        <w:t>,</w:t>
      </w:r>
      <w:r w:rsidRPr="00102A3D">
        <w:rPr>
          <w:rFonts w:eastAsia="Times New Roman"/>
          <w:sz w:val="20"/>
          <w:szCs w:val="20"/>
          <w:lang w:val="pt-BR"/>
        </w:rPr>
        <w:t xml:space="preserve"> S</w:t>
      </w:r>
      <w:r>
        <w:rPr>
          <w:rFonts w:eastAsia="Times New Roman"/>
          <w:sz w:val="20"/>
          <w:szCs w:val="20"/>
          <w:lang w:val="pt-BR"/>
        </w:rPr>
        <w:t>.K. 2014</w:t>
      </w:r>
      <w:r w:rsidRPr="00102A3D">
        <w:rPr>
          <w:rFonts w:eastAsia="Times New Roman"/>
          <w:sz w:val="20"/>
          <w:szCs w:val="20"/>
          <w:lang w:val="pt-BR"/>
        </w:rPr>
        <w:t>. "</w:t>
      </w:r>
      <w:proofErr w:type="spellStart"/>
      <w:r w:rsidRPr="00102A3D">
        <w:rPr>
          <w:rFonts w:eastAsia="Times New Roman"/>
          <w:sz w:val="20"/>
          <w:szCs w:val="20"/>
          <w:lang w:val="pt-BR"/>
        </w:rPr>
        <w:t>Mitochondrial</w:t>
      </w:r>
      <w:proofErr w:type="spellEnd"/>
      <w:r w:rsidRPr="00102A3D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102A3D">
        <w:rPr>
          <w:rFonts w:eastAsia="Times New Roman"/>
          <w:sz w:val="20"/>
          <w:szCs w:val="20"/>
          <w:lang w:val="pt-BR"/>
        </w:rPr>
        <w:t>markers</w:t>
      </w:r>
      <w:proofErr w:type="spellEnd"/>
      <w:r w:rsidRPr="00102A3D">
        <w:rPr>
          <w:rFonts w:eastAsia="Times New Roman"/>
          <w:sz w:val="20"/>
          <w:szCs w:val="20"/>
          <w:lang w:val="pt-BR"/>
        </w:rPr>
        <w:t xml:space="preserve"> for </w:t>
      </w:r>
      <w:proofErr w:type="spellStart"/>
      <w:r w:rsidRPr="00102A3D">
        <w:rPr>
          <w:rFonts w:eastAsia="Times New Roman"/>
          <w:sz w:val="20"/>
          <w:szCs w:val="20"/>
          <w:lang w:val="pt-BR"/>
        </w:rPr>
        <w:t>identification</w:t>
      </w:r>
      <w:proofErr w:type="spellEnd"/>
      <w:r w:rsidRPr="00102A3D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102A3D">
        <w:rPr>
          <w:rFonts w:eastAsia="Times New Roman"/>
          <w:sz w:val="20"/>
          <w:szCs w:val="20"/>
          <w:lang w:val="pt-BR"/>
        </w:rPr>
        <w:t>and</w:t>
      </w:r>
      <w:proofErr w:type="spellEnd"/>
      <w:r w:rsidRPr="00102A3D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102A3D">
        <w:rPr>
          <w:rFonts w:eastAsia="Times New Roman"/>
          <w:sz w:val="20"/>
          <w:szCs w:val="20"/>
          <w:lang w:val="pt-BR"/>
        </w:rPr>
        <w:t>phylogenetic</w:t>
      </w:r>
      <w:proofErr w:type="spellEnd"/>
      <w:r w:rsidRPr="00102A3D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102A3D">
        <w:rPr>
          <w:rFonts w:eastAsia="Times New Roman"/>
          <w:sz w:val="20"/>
          <w:szCs w:val="20"/>
          <w:lang w:val="pt-BR"/>
        </w:rPr>
        <w:t>studies</w:t>
      </w:r>
      <w:proofErr w:type="spellEnd"/>
      <w:r w:rsidRPr="00102A3D">
        <w:rPr>
          <w:rFonts w:eastAsia="Times New Roman"/>
          <w:sz w:val="20"/>
          <w:szCs w:val="20"/>
          <w:lang w:val="pt-BR"/>
        </w:rPr>
        <w:t xml:space="preserve"> in </w:t>
      </w:r>
      <w:proofErr w:type="spellStart"/>
      <w:r w:rsidRPr="00102A3D">
        <w:rPr>
          <w:rFonts w:eastAsia="Times New Roman"/>
          <w:sz w:val="20"/>
          <w:szCs w:val="20"/>
          <w:lang w:val="pt-BR"/>
        </w:rPr>
        <w:t>i</w:t>
      </w:r>
      <w:r>
        <w:rPr>
          <w:rFonts w:eastAsia="Times New Roman"/>
          <w:sz w:val="20"/>
          <w:szCs w:val="20"/>
          <w:lang w:val="pt-BR"/>
        </w:rPr>
        <w:t>nsects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–A </w:t>
      </w:r>
      <w:proofErr w:type="spellStart"/>
      <w:r>
        <w:rPr>
          <w:rFonts w:eastAsia="Times New Roman"/>
          <w:sz w:val="20"/>
          <w:szCs w:val="20"/>
          <w:lang w:val="pt-BR"/>
        </w:rPr>
        <w:t>Review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." DNA </w:t>
      </w:r>
      <w:proofErr w:type="spellStart"/>
      <w:r>
        <w:rPr>
          <w:rFonts w:eastAsia="Times New Roman"/>
          <w:sz w:val="20"/>
          <w:szCs w:val="20"/>
          <w:lang w:val="pt-BR"/>
        </w:rPr>
        <w:t>Barcodes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, </w:t>
      </w:r>
      <w:proofErr w:type="gramStart"/>
      <w:r>
        <w:rPr>
          <w:rFonts w:eastAsia="Times New Roman"/>
          <w:sz w:val="20"/>
          <w:szCs w:val="20"/>
          <w:lang w:val="pt-BR"/>
        </w:rPr>
        <w:t>1</w:t>
      </w:r>
      <w:proofErr w:type="gramEnd"/>
      <w:r>
        <w:rPr>
          <w:rFonts w:eastAsia="Times New Roman"/>
          <w:sz w:val="20"/>
          <w:szCs w:val="20"/>
          <w:lang w:val="pt-BR"/>
        </w:rPr>
        <w:t xml:space="preserve"> (2): </w:t>
      </w:r>
      <w:r w:rsidRPr="00102A3D">
        <w:rPr>
          <w:rFonts w:eastAsia="Times New Roman"/>
          <w:sz w:val="20"/>
          <w:szCs w:val="20"/>
          <w:lang w:val="pt-BR"/>
        </w:rPr>
        <w:t>1-9.</w:t>
      </w:r>
    </w:p>
    <w:p w14:paraId="3C455DF5" w14:textId="49EC1166" w:rsidR="00C109C9" w:rsidRDefault="00966547" w:rsidP="00746B93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proofErr w:type="spellStart"/>
      <w:r w:rsidRPr="00227C18">
        <w:rPr>
          <w:rFonts w:eastAsia="Times New Roman"/>
          <w:sz w:val="20"/>
          <w:szCs w:val="20"/>
          <w:lang w:val="pt-BR"/>
        </w:rPr>
        <w:t>Regier</w:t>
      </w:r>
      <w:proofErr w:type="spellEnd"/>
      <w:r>
        <w:rPr>
          <w:rFonts w:eastAsia="Times New Roman"/>
          <w:sz w:val="20"/>
          <w:szCs w:val="20"/>
          <w:lang w:val="pt-BR"/>
        </w:rPr>
        <w:t>,</w:t>
      </w:r>
      <w:r w:rsidRPr="00227C18">
        <w:rPr>
          <w:rFonts w:eastAsia="Times New Roman"/>
          <w:sz w:val="20"/>
          <w:szCs w:val="20"/>
          <w:lang w:val="pt-BR"/>
        </w:rPr>
        <w:t xml:space="preserve"> J</w:t>
      </w:r>
      <w:r>
        <w:rPr>
          <w:rFonts w:eastAsia="Times New Roman"/>
          <w:sz w:val="20"/>
          <w:szCs w:val="20"/>
          <w:lang w:val="pt-BR"/>
        </w:rPr>
        <w:t>.C</w:t>
      </w:r>
      <w:r w:rsidRPr="00BF6158">
        <w:rPr>
          <w:rFonts w:eastAsia="Times New Roman"/>
          <w:sz w:val="20"/>
          <w:szCs w:val="20"/>
          <w:lang w:val="pt-BR"/>
        </w:rPr>
        <w:t>.;</w:t>
      </w:r>
      <w:r w:rsidRPr="00227C18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227C18">
        <w:rPr>
          <w:rFonts w:eastAsia="Times New Roman"/>
          <w:sz w:val="20"/>
          <w:szCs w:val="20"/>
          <w:lang w:val="pt-BR"/>
        </w:rPr>
        <w:t>Shultz</w:t>
      </w:r>
      <w:proofErr w:type="spellEnd"/>
      <w:r>
        <w:rPr>
          <w:rFonts w:eastAsia="Times New Roman"/>
          <w:sz w:val="20"/>
          <w:szCs w:val="20"/>
          <w:lang w:val="pt-BR"/>
        </w:rPr>
        <w:t>,</w:t>
      </w:r>
      <w:r w:rsidRPr="00227C18">
        <w:rPr>
          <w:rFonts w:eastAsia="Times New Roman"/>
          <w:sz w:val="20"/>
          <w:szCs w:val="20"/>
          <w:lang w:val="pt-BR"/>
        </w:rPr>
        <w:t xml:space="preserve"> J</w:t>
      </w:r>
      <w:r>
        <w:rPr>
          <w:rFonts w:eastAsia="Times New Roman"/>
          <w:sz w:val="20"/>
          <w:szCs w:val="20"/>
          <w:lang w:val="pt-BR"/>
        </w:rPr>
        <w:t>.W</w:t>
      </w:r>
      <w:r w:rsidRPr="00BF6158">
        <w:rPr>
          <w:rFonts w:eastAsia="Times New Roman"/>
          <w:sz w:val="20"/>
          <w:szCs w:val="20"/>
          <w:lang w:val="pt-BR"/>
        </w:rPr>
        <w:t>.;</w:t>
      </w:r>
      <w:r w:rsidRPr="00227C18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227C18">
        <w:rPr>
          <w:rFonts w:eastAsia="Times New Roman"/>
          <w:sz w:val="20"/>
          <w:szCs w:val="20"/>
          <w:lang w:val="pt-BR"/>
        </w:rPr>
        <w:t>Kambic</w:t>
      </w:r>
      <w:proofErr w:type="spellEnd"/>
      <w:r>
        <w:rPr>
          <w:rFonts w:eastAsia="Times New Roman"/>
          <w:sz w:val="20"/>
          <w:szCs w:val="20"/>
          <w:lang w:val="pt-BR"/>
        </w:rPr>
        <w:t>,</w:t>
      </w:r>
      <w:r w:rsidRPr="00227C18">
        <w:rPr>
          <w:rFonts w:eastAsia="Times New Roman"/>
          <w:sz w:val="20"/>
          <w:szCs w:val="20"/>
          <w:lang w:val="pt-BR"/>
        </w:rPr>
        <w:t xml:space="preserve"> R</w:t>
      </w:r>
      <w:r>
        <w:rPr>
          <w:rFonts w:eastAsia="Times New Roman"/>
          <w:sz w:val="20"/>
          <w:szCs w:val="20"/>
          <w:lang w:val="pt-BR"/>
        </w:rPr>
        <w:t xml:space="preserve">.E. </w:t>
      </w:r>
      <w:proofErr w:type="gramStart"/>
      <w:r>
        <w:rPr>
          <w:rFonts w:eastAsia="Times New Roman"/>
          <w:sz w:val="20"/>
          <w:szCs w:val="20"/>
          <w:lang w:val="pt-BR"/>
        </w:rPr>
        <w:t>200</w:t>
      </w:r>
      <w:r w:rsidRPr="00227C18">
        <w:rPr>
          <w:rFonts w:eastAsia="Times New Roman"/>
          <w:sz w:val="20"/>
          <w:szCs w:val="20"/>
          <w:lang w:val="pt-BR"/>
        </w:rPr>
        <w:t>)</w:t>
      </w:r>
      <w:proofErr w:type="gramEnd"/>
      <w:r w:rsidRPr="00227C18">
        <w:rPr>
          <w:rFonts w:eastAsia="Times New Roman"/>
          <w:sz w:val="20"/>
          <w:szCs w:val="20"/>
          <w:lang w:val="pt-BR"/>
        </w:rPr>
        <w:t xml:space="preserve">.  </w:t>
      </w:r>
      <w:proofErr w:type="spellStart"/>
      <w:r w:rsidRPr="00227C18">
        <w:rPr>
          <w:rFonts w:eastAsia="Times New Roman"/>
          <w:sz w:val="20"/>
          <w:szCs w:val="20"/>
          <w:lang w:val="pt-BR"/>
        </w:rPr>
        <w:t>Pancrustacean</w:t>
      </w:r>
      <w:proofErr w:type="spellEnd"/>
      <w:r w:rsidRPr="00227C18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227C18">
        <w:rPr>
          <w:rFonts w:eastAsia="Times New Roman"/>
          <w:sz w:val="20"/>
          <w:szCs w:val="20"/>
          <w:lang w:val="pt-BR"/>
        </w:rPr>
        <w:t>phylogeny</w:t>
      </w:r>
      <w:proofErr w:type="spellEnd"/>
      <w:r w:rsidRPr="00227C18">
        <w:rPr>
          <w:rFonts w:eastAsia="Times New Roman"/>
          <w:sz w:val="20"/>
          <w:szCs w:val="20"/>
          <w:lang w:val="pt-BR"/>
        </w:rPr>
        <w:t xml:space="preserve">: </w:t>
      </w:r>
      <w:proofErr w:type="spellStart"/>
      <w:r w:rsidRPr="00227C18">
        <w:rPr>
          <w:rFonts w:eastAsia="Times New Roman"/>
          <w:sz w:val="20"/>
          <w:szCs w:val="20"/>
          <w:lang w:val="pt-BR"/>
        </w:rPr>
        <w:t>hexapods</w:t>
      </w:r>
      <w:proofErr w:type="spellEnd"/>
      <w:r w:rsidRPr="00227C18">
        <w:rPr>
          <w:rFonts w:eastAsia="Times New Roman"/>
          <w:sz w:val="20"/>
          <w:szCs w:val="20"/>
          <w:lang w:val="pt-BR"/>
        </w:rPr>
        <w:t xml:space="preserve"> are </w:t>
      </w:r>
      <w:proofErr w:type="spellStart"/>
      <w:r w:rsidRPr="00227C18">
        <w:rPr>
          <w:rFonts w:eastAsia="Times New Roman"/>
          <w:sz w:val="20"/>
          <w:szCs w:val="20"/>
          <w:lang w:val="pt-BR"/>
        </w:rPr>
        <w:t>terrestrial</w:t>
      </w:r>
      <w:proofErr w:type="spellEnd"/>
      <w:r w:rsidRPr="00227C18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227C18">
        <w:rPr>
          <w:rFonts w:eastAsia="Times New Roman"/>
          <w:sz w:val="20"/>
          <w:szCs w:val="20"/>
          <w:lang w:val="pt-BR"/>
        </w:rPr>
        <w:t>crustaceans</w:t>
      </w:r>
      <w:proofErr w:type="spellEnd"/>
      <w:r w:rsidRPr="00227C18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227C18">
        <w:rPr>
          <w:rFonts w:eastAsia="Times New Roman"/>
          <w:sz w:val="20"/>
          <w:szCs w:val="20"/>
          <w:lang w:val="pt-BR"/>
        </w:rPr>
        <w:t>and</w:t>
      </w:r>
      <w:proofErr w:type="spellEnd"/>
      <w:r w:rsidRPr="00227C18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227C18">
        <w:rPr>
          <w:rFonts w:eastAsia="Times New Roman"/>
          <w:sz w:val="20"/>
          <w:szCs w:val="20"/>
          <w:lang w:val="pt-BR"/>
        </w:rPr>
        <w:t>maxillopods</w:t>
      </w:r>
      <w:proofErr w:type="spellEnd"/>
      <w:r w:rsidRPr="00227C18">
        <w:rPr>
          <w:rFonts w:eastAsia="Times New Roman"/>
          <w:sz w:val="20"/>
          <w:szCs w:val="20"/>
          <w:lang w:val="pt-BR"/>
        </w:rPr>
        <w:t xml:space="preserve"> are </w:t>
      </w:r>
      <w:proofErr w:type="spellStart"/>
      <w:r w:rsidRPr="00227C18">
        <w:rPr>
          <w:rFonts w:eastAsia="Times New Roman"/>
          <w:sz w:val="20"/>
          <w:szCs w:val="20"/>
          <w:lang w:val="pt-BR"/>
        </w:rPr>
        <w:t>not</w:t>
      </w:r>
      <w:proofErr w:type="spellEnd"/>
      <w:r w:rsidRPr="00227C18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227C18">
        <w:rPr>
          <w:rFonts w:eastAsia="Times New Roman"/>
          <w:sz w:val="20"/>
          <w:szCs w:val="20"/>
          <w:lang w:val="pt-BR"/>
        </w:rPr>
        <w:t>monophyletic</w:t>
      </w:r>
      <w:proofErr w:type="spellEnd"/>
      <w:r w:rsidRPr="00227C18">
        <w:rPr>
          <w:rFonts w:eastAsia="Times New Roman"/>
          <w:sz w:val="20"/>
          <w:szCs w:val="20"/>
          <w:lang w:val="pt-BR"/>
        </w:rPr>
        <w:t xml:space="preserve">. </w:t>
      </w:r>
      <w:proofErr w:type="spellStart"/>
      <w:r w:rsidRPr="00227C18">
        <w:rPr>
          <w:rFonts w:eastAsia="Times New Roman"/>
          <w:sz w:val="20"/>
          <w:szCs w:val="20"/>
          <w:lang w:val="pt-BR"/>
        </w:rPr>
        <w:t>Proceedings</w:t>
      </w:r>
      <w:proofErr w:type="spellEnd"/>
      <w:r w:rsidRPr="00227C18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227C18">
        <w:rPr>
          <w:rFonts w:eastAsia="Times New Roman"/>
          <w:sz w:val="20"/>
          <w:szCs w:val="20"/>
          <w:lang w:val="pt-BR"/>
        </w:rPr>
        <w:t>of</w:t>
      </w:r>
      <w:proofErr w:type="spellEnd"/>
      <w:r w:rsidRPr="00227C18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227C18">
        <w:rPr>
          <w:rFonts w:eastAsia="Times New Roman"/>
          <w:sz w:val="20"/>
          <w:szCs w:val="20"/>
          <w:lang w:val="pt-BR"/>
        </w:rPr>
        <w:t>the</w:t>
      </w:r>
      <w:proofErr w:type="spellEnd"/>
      <w:r w:rsidRPr="00227C18">
        <w:rPr>
          <w:rFonts w:eastAsia="Times New Roman"/>
          <w:sz w:val="20"/>
          <w:szCs w:val="20"/>
          <w:lang w:val="pt-BR"/>
        </w:rPr>
        <w:t xml:space="preserve"> Royal </w:t>
      </w:r>
      <w:proofErr w:type="spellStart"/>
      <w:r w:rsidRPr="00227C18">
        <w:rPr>
          <w:rFonts w:eastAsia="Times New Roman"/>
          <w:sz w:val="20"/>
          <w:szCs w:val="20"/>
          <w:lang w:val="pt-BR"/>
        </w:rPr>
        <w:t>Soc</w:t>
      </w:r>
      <w:r>
        <w:rPr>
          <w:rFonts w:eastAsia="Times New Roman"/>
          <w:sz w:val="20"/>
          <w:szCs w:val="20"/>
          <w:lang w:val="pt-BR"/>
        </w:rPr>
        <w:t>iety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B: </w:t>
      </w:r>
      <w:proofErr w:type="spellStart"/>
      <w:r>
        <w:rPr>
          <w:rFonts w:eastAsia="Times New Roman"/>
          <w:sz w:val="20"/>
          <w:szCs w:val="20"/>
          <w:lang w:val="pt-BR"/>
        </w:rPr>
        <w:t>Biological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>
        <w:rPr>
          <w:rFonts w:eastAsia="Times New Roman"/>
          <w:sz w:val="20"/>
          <w:szCs w:val="20"/>
          <w:lang w:val="pt-BR"/>
        </w:rPr>
        <w:t>Sciences</w:t>
      </w:r>
      <w:proofErr w:type="spellEnd"/>
      <w:r>
        <w:rPr>
          <w:rFonts w:eastAsia="Times New Roman"/>
          <w:sz w:val="20"/>
          <w:szCs w:val="20"/>
          <w:lang w:val="pt-BR"/>
        </w:rPr>
        <w:t>, 272 (</w:t>
      </w:r>
      <w:r w:rsidRPr="00227C18">
        <w:rPr>
          <w:rFonts w:eastAsia="Times New Roman"/>
          <w:sz w:val="20"/>
          <w:szCs w:val="20"/>
          <w:lang w:val="pt-BR"/>
        </w:rPr>
        <w:t>561</w:t>
      </w:r>
      <w:r>
        <w:rPr>
          <w:rFonts w:eastAsia="Times New Roman"/>
          <w:sz w:val="20"/>
          <w:szCs w:val="20"/>
          <w:lang w:val="pt-BR"/>
        </w:rPr>
        <w:t xml:space="preserve">): </w:t>
      </w:r>
      <w:r w:rsidRPr="00227C18">
        <w:rPr>
          <w:rFonts w:eastAsia="Times New Roman"/>
          <w:sz w:val="20"/>
          <w:szCs w:val="20"/>
          <w:lang w:val="pt-BR"/>
        </w:rPr>
        <w:t>395-401.</w:t>
      </w:r>
    </w:p>
    <w:p w14:paraId="2B6E5DE5" w14:textId="00645644" w:rsidR="00102A3D" w:rsidRDefault="00C109C9" w:rsidP="00746B93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Silveira, F.A. 2009.</w:t>
      </w:r>
      <w:r w:rsidR="00175D8A" w:rsidRPr="00175D8A">
        <w:rPr>
          <w:rFonts w:eastAsia="Times New Roman"/>
          <w:sz w:val="20"/>
          <w:szCs w:val="20"/>
          <w:lang w:val="pt-BR"/>
        </w:rPr>
        <w:t xml:space="preserve"> Diversidade de invertebrados terrestres. Biota Minas: diagnóstico do conhecimento sobre a biodiversidade no Estado de Minas Gerais—subsídios ao Programa Biota Minas. Fundação </w:t>
      </w:r>
      <w:proofErr w:type="spellStart"/>
      <w:r w:rsidR="00175D8A" w:rsidRPr="00175D8A">
        <w:rPr>
          <w:rFonts w:eastAsia="Times New Roman"/>
          <w:sz w:val="20"/>
          <w:szCs w:val="20"/>
          <w:lang w:val="pt-BR"/>
        </w:rPr>
        <w:t>Bi</w:t>
      </w:r>
      <w:r>
        <w:rPr>
          <w:rFonts w:eastAsia="Times New Roman"/>
          <w:sz w:val="20"/>
          <w:szCs w:val="20"/>
          <w:lang w:val="pt-BR"/>
        </w:rPr>
        <w:t>odiversitas</w:t>
      </w:r>
      <w:proofErr w:type="spellEnd"/>
      <w:r>
        <w:rPr>
          <w:rFonts w:eastAsia="Times New Roman"/>
          <w:sz w:val="20"/>
          <w:szCs w:val="20"/>
          <w:lang w:val="pt-BR"/>
        </w:rPr>
        <w:t>, Belo Horizonte, 622: 123-159</w:t>
      </w:r>
      <w:r w:rsidR="00175D8A" w:rsidRPr="00175D8A">
        <w:rPr>
          <w:rFonts w:eastAsia="Times New Roman"/>
          <w:sz w:val="20"/>
          <w:szCs w:val="20"/>
          <w:lang w:val="pt-BR"/>
        </w:rPr>
        <w:t>.</w:t>
      </w:r>
    </w:p>
    <w:p w14:paraId="6B9BC99E" w14:textId="1ACA4318" w:rsidR="0076209A" w:rsidRPr="006A766D" w:rsidRDefault="00222835" w:rsidP="00746B93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proofErr w:type="spellStart"/>
      <w:r w:rsidRPr="00222835">
        <w:rPr>
          <w:rFonts w:eastAsia="Times New Roman"/>
          <w:sz w:val="20"/>
          <w:szCs w:val="20"/>
          <w:lang w:val="pt-BR"/>
        </w:rPr>
        <w:t>Winger</w:t>
      </w:r>
      <w:proofErr w:type="spellEnd"/>
      <w:r w:rsidR="00561203">
        <w:rPr>
          <w:rFonts w:eastAsia="Times New Roman"/>
          <w:sz w:val="20"/>
          <w:szCs w:val="20"/>
          <w:lang w:val="pt-BR"/>
        </w:rPr>
        <w:t>,</w:t>
      </w:r>
      <w:r w:rsidRPr="00222835">
        <w:rPr>
          <w:rFonts w:eastAsia="Times New Roman"/>
          <w:sz w:val="20"/>
          <w:szCs w:val="20"/>
          <w:lang w:val="pt-BR"/>
        </w:rPr>
        <w:t xml:space="preserve"> B</w:t>
      </w:r>
      <w:r w:rsidR="00561203">
        <w:rPr>
          <w:rFonts w:eastAsia="Times New Roman"/>
          <w:sz w:val="20"/>
          <w:szCs w:val="20"/>
          <w:lang w:val="pt-BR"/>
        </w:rPr>
        <w:t>.M</w:t>
      </w:r>
      <w:r w:rsidR="00561203" w:rsidRPr="00561203">
        <w:rPr>
          <w:rFonts w:eastAsia="Times New Roman"/>
          <w:sz w:val="20"/>
          <w:szCs w:val="20"/>
          <w:lang w:val="pt-BR"/>
        </w:rPr>
        <w:t>.;</w:t>
      </w:r>
      <w:r w:rsidRPr="00222835">
        <w:rPr>
          <w:rFonts w:eastAsia="Times New Roman"/>
          <w:sz w:val="20"/>
          <w:szCs w:val="20"/>
          <w:lang w:val="pt-BR"/>
        </w:rPr>
        <w:t xml:space="preserve"> </w:t>
      </w:r>
      <w:proofErr w:type="gramStart"/>
      <w:r w:rsidRPr="00222835">
        <w:rPr>
          <w:rFonts w:eastAsia="Times New Roman"/>
          <w:sz w:val="20"/>
          <w:szCs w:val="20"/>
          <w:lang w:val="pt-BR"/>
        </w:rPr>
        <w:t>Bates</w:t>
      </w:r>
      <w:r w:rsidR="00561203">
        <w:rPr>
          <w:rFonts w:eastAsia="Times New Roman"/>
          <w:sz w:val="20"/>
          <w:szCs w:val="20"/>
          <w:lang w:val="pt-BR"/>
        </w:rPr>
        <w:t>,</w:t>
      </w:r>
      <w:proofErr w:type="gramEnd"/>
      <w:r w:rsidRPr="00222835">
        <w:rPr>
          <w:rFonts w:eastAsia="Times New Roman"/>
          <w:sz w:val="20"/>
          <w:szCs w:val="20"/>
          <w:lang w:val="pt-BR"/>
        </w:rPr>
        <w:t xml:space="preserve"> J</w:t>
      </w:r>
      <w:r w:rsidR="00561203">
        <w:rPr>
          <w:rFonts w:eastAsia="Times New Roman"/>
          <w:sz w:val="20"/>
          <w:szCs w:val="20"/>
          <w:lang w:val="pt-BR"/>
        </w:rPr>
        <w:t>.M. 2015</w:t>
      </w:r>
      <w:r w:rsidRPr="00222835">
        <w:rPr>
          <w:rFonts w:eastAsia="Times New Roman"/>
          <w:sz w:val="20"/>
          <w:szCs w:val="20"/>
          <w:lang w:val="pt-BR"/>
        </w:rPr>
        <w:t xml:space="preserve">. The tempo </w:t>
      </w:r>
      <w:proofErr w:type="spellStart"/>
      <w:r w:rsidRPr="00222835">
        <w:rPr>
          <w:rFonts w:eastAsia="Times New Roman"/>
          <w:sz w:val="20"/>
          <w:szCs w:val="20"/>
          <w:lang w:val="pt-BR"/>
        </w:rPr>
        <w:t>of</w:t>
      </w:r>
      <w:proofErr w:type="spellEnd"/>
      <w:r w:rsidRPr="00222835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222835">
        <w:rPr>
          <w:rFonts w:eastAsia="Times New Roman"/>
          <w:sz w:val="20"/>
          <w:szCs w:val="20"/>
          <w:lang w:val="pt-BR"/>
        </w:rPr>
        <w:t>trait</w:t>
      </w:r>
      <w:proofErr w:type="spellEnd"/>
      <w:r w:rsidRPr="00222835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222835">
        <w:rPr>
          <w:rFonts w:eastAsia="Times New Roman"/>
          <w:sz w:val="20"/>
          <w:szCs w:val="20"/>
          <w:lang w:val="pt-BR"/>
        </w:rPr>
        <w:t>divergence</w:t>
      </w:r>
      <w:proofErr w:type="spellEnd"/>
      <w:r w:rsidRPr="00222835">
        <w:rPr>
          <w:rFonts w:eastAsia="Times New Roman"/>
          <w:sz w:val="20"/>
          <w:szCs w:val="20"/>
          <w:lang w:val="pt-BR"/>
        </w:rPr>
        <w:t xml:space="preserve"> in </w:t>
      </w:r>
      <w:proofErr w:type="spellStart"/>
      <w:r w:rsidRPr="00222835">
        <w:rPr>
          <w:rFonts w:eastAsia="Times New Roman"/>
          <w:sz w:val="20"/>
          <w:szCs w:val="20"/>
          <w:lang w:val="pt-BR"/>
        </w:rPr>
        <w:t>geographic</w:t>
      </w:r>
      <w:proofErr w:type="spellEnd"/>
      <w:r w:rsidRPr="00222835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222835">
        <w:rPr>
          <w:rFonts w:eastAsia="Times New Roman"/>
          <w:sz w:val="20"/>
          <w:szCs w:val="20"/>
          <w:lang w:val="pt-BR"/>
        </w:rPr>
        <w:t>isolation</w:t>
      </w:r>
      <w:proofErr w:type="spellEnd"/>
      <w:r w:rsidRPr="00222835">
        <w:rPr>
          <w:rFonts w:eastAsia="Times New Roman"/>
          <w:sz w:val="20"/>
          <w:szCs w:val="20"/>
          <w:lang w:val="pt-BR"/>
        </w:rPr>
        <w:t xml:space="preserve">: </w:t>
      </w:r>
      <w:proofErr w:type="spellStart"/>
      <w:r w:rsidRPr="00222835">
        <w:rPr>
          <w:rFonts w:eastAsia="Times New Roman"/>
          <w:sz w:val="20"/>
          <w:szCs w:val="20"/>
          <w:lang w:val="pt-BR"/>
        </w:rPr>
        <w:t>Avian</w:t>
      </w:r>
      <w:proofErr w:type="spellEnd"/>
      <w:r w:rsidRPr="00222835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222835">
        <w:rPr>
          <w:rFonts w:eastAsia="Times New Roman"/>
          <w:sz w:val="20"/>
          <w:szCs w:val="20"/>
          <w:lang w:val="pt-BR"/>
        </w:rPr>
        <w:t>speciation</w:t>
      </w:r>
      <w:proofErr w:type="spellEnd"/>
      <w:r w:rsidRPr="00222835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222835">
        <w:rPr>
          <w:rFonts w:eastAsia="Times New Roman"/>
          <w:sz w:val="20"/>
          <w:szCs w:val="20"/>
          <w:lang w:val="pt-BR"/>
        </w:rPr>
        <w:t>across</w:t>
      </w:r>
      <w:proofErr w:type="spellEnd"/>
      <w:r w:rsidRPr="00222835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222835">
        <w:rPr>
          <w:rFonts w:eastAsia="Times New Roman"/>
          <w:sz w:val="20"/>
          <w:szCs w:val="20"/>
          <w:lang w:val="pt-BR"/>
        </w:rPr>
        <w:t>the</w:t>
      </w:r>
      <w:proofErr w:type="spellEnd"/>
      <w:r w:rsidRPr="00222835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222835">
        <w:rPr>
          <w:rFonts w:eastAsia="Times New Roman"/>
          <w:sz w:val="20"/>
          <w:szCs w:val="20"/>
          <w:lang w:val="pt-BR"/>
        </w:rPr>
        <w:t>Marañon</w:t>
      </w:r>
      <w:proofErr w:type="spellEnd"/>
      <w:r w:rsidR="00561203">
        <w:rPr>
          <w:rFonts w:eastAsia="Times New Roman"/>
          <w:sz w:val="20"/>
          <w:szCs w:val="20"/>
          <w:lang w:val="pt-BR"/>
        </w:rPr>
        <w:t xml:space="preserve"> Valley </w:t>
      </w:r>
      <w:proofErr w:type="spellStart"/>
      <w:r w:rsidR="00561203">
        <w:rPr>
          <w:rFonts w:eastAsia="Times New Roman"/>
          <w:sz w:val="20"/>
          <w:szCs w:val="20"/>
          <w:lang w:val="pt-BR"/>
        </w:rPr>
        <w:t>of</w:t>
      </w:r>
      <w:proofErr w:type="spellEnd"/>
      <w:r w:rsidR="00561203">
        <w:rPr>
          <w:rFonts w:eastAsia="Times New Roman"/>
          <w:sz w:val="20"/>
          <w:szCs w:val="20"/>
          <w:lang w:val="pt-BR"/>
        </w:rPr>
        <w:t xml:space="preserve"> Peru. </w:t>
      </w:r>
      <w:proofErr w:type="spellStart"/>
      <w:r w:rsidR="00561203">
        <w:rPr>
          <w:rFonts w:eastAsia="Times New Roman"/>
          <w:sz w:val="20"/>
          <w:szCs w:val="20"/>
          <w:lang w:val="pt-BR"/>
        </w:rPr>
        <w:t>Evolution</w:t>
      </w:r>
      <w:proofErr w:type="spellEnd"/>
      <w:r w:rsidR="00561203">
        <w:rPr>
          <w:rFonts w:eastAsia="Times New Roman"/>
          <w:sz w:val="20"/>
          <w:szCs w:val="20"/>
          <w:lang w:val="pt-BR"/>
        </w:rPr>
        <w:t xml:space="preserve">, 69 (3): </w:t>
      </w:r>
      <w:r w:rsidRPr="00222835">
        <w:rPr>
          <w:rFonts w:eastAsia="Times New Roman"/>
          <w:sz w:val="20"/>
          <w:szCs w:val="20"/>
          <w:lang w:val="pt-BR"/>
        </w:rPr>
        <w:t>772–787.</w:t>
      </w:r>
    </w:p>
    <w:sectPr w:rsidR="0076209A" w:rsidRPr="006A766D">
      <w:headerReference w:type="default" r:id="rId11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7E1DA" w14:textId="77777777" w:rsidR="00FA6BBD" w:rsidRDefault="00FA6BBD">
      <w:pPr>
        <w:spacing w:line="240" w:lineRule="auto"/>
      </w:pPr>
      <w:r>
        <w:separator/>
      </w:r>
    </w:p>
  </w:endnote>
  <w:endnote w:type="continuationSeparator" w:id="0">
    <w:p w14:paraId="2641DE7A" w14:textId="77777777" w:rsidR="00FA6BBD" w:rsidRDefault="00FA6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A873C" w14:textId="77777777" w:rsidR="00FA6BBD" w:rsidRDefault="00FA6BBD">
      <w:r>
        <w:separator/>
      </w:r>
    </w:p>
  </w:footnote>
  <w:footnote w:type="continuationSeparator" w:id="0">
    <w:p w14:paraId="19C5E9D9" w14:textId="77777777" w:rsidR="00FA6BBD" w:rsidRDefault="00FA6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CDE8F" w14:textId="77777777" w:rsidR="00F67FA4" w:rsidRDefault="00F67FA4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  <w:lang w:val="pt-BR"/>
      </w:rPr>
      <w:drawing>
        <wp:inline distT="0" distB="0" distL="114300" distR="114300" wp14:anchorId="4ACF08C2" wp14:editId="038FE09C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C8"/>
    <w:rsid w:val="00044982"/>
    <w:rsid w:val="00062D96"/>
    <w:rsid w:val="00083DE4"/>
    <w:rsid w:val="0009136C"/>
    <w:rsid w:val="000E2941"/>
    <w:rsid w:val="001005FE"/>
    <w:rsid w:val="00102A3D"/>
    <w:rsid w:val="001263A2"/>
    <w:rsid w:val="001458D6"/>
    <w:rsid w:val="0015085F"/>
    <w:rsid w:val="00175D8A"/>
    <w:rsid w:val="001B7C65"/>
    <w:rsid w:val="001E3372"/>
    <w:rsid w:val="00222835"/>
    <w:rsid w:val="00227C18"/>
    <w:rsid w:val="002914CB"/>
    <w:rsid w:val="002E4DBD"/>
    <w:rsid w:val="002F3B20"/>
    <w:rsid w:val="002F77AA"/>
    <w:rsid w:val="003008D4"/>
    <w:rsid w:val="00302B81"/>
    <w:rsid w:val="0033473A"/>
    <w:rsid w:val="0036329C"/>
    <w:rsid w:val="003A75D1"/>
    <w:rsid w:val="003B3E28"/>
    <w:rsid w:val="003E4048"/>
    <w:rsid w:val="00400D0E"/>
    <w:rsid w:val="004642A9"/>
    <w:rsid w:val="004A5A26"/>
    <w:rsid w:val="00535133"/>
    <w:rsid w:val="00551FC9"/>
    <w:rsid w:val="00553476"/>
    <w:rsid w:val="00561203"/>
    <w:rsid w:val="00583504"/>
    <w:rsid w:val="0059190E"/>
    <w:rsid w:val="005C501E"/>
    <w:rsid w:val="005F4A02"/>
    <w:rsid w:val="00610534"/>
    <w:rsid w:val="006A766D"/>
    <w:rsid w:val="006B5BFC"/>
    <w:rsid w:val="006E4B04"/>
    <w:rsid w:val="00703DDC"/>
    <w:rsid w:val="00746B93"/>
    <w:rsid w:val="0076209A"/>
    <w:rsid w:val="007B5514"/>
    <w:rsid w:val="007C6046"/>
    <w:rsid w:val="007E5176"/>
    <w:rsid w:val="0080272C"/>
    <w:rsid w:val="00804593"/>
    <w:rsid w:val="00836453"/>
    <w:rsid w:val="00940EE4"/>
    <w:rsid w:val="00966547"/>
    <w:rsid w:val="00986457"/>
    <w:rsid w:val="00A42598"/>
    <w:rsid w:val="00A7223F"/>
    <w:rsid w:val="00AB5B5F"/>
    <w:rsid w:val="00AF68EA"/>
    <w:rsid w:val="00AF7405"/>
    <w:rsid w:val="00B066C5"/>
    <w:rsid w:val="00B4744A"/>
    <w:rsid w:val="00B555C8"/>
    <w:rsid w:val="00BB72F3"/>
    <w:rsid w:val="00BD41BC"/>
    <w:rsid w:val="00BF6158"/>
    <w:rsid w:val="00C109C9"/>
    <w:rsid w:val="00C11329"/>
    <w:rsid w:val="00C74AE7"/>
    <w:rsid w:val="00C92203"/>
    <w:rsid w:val="00CC3AD3"/>
    <w:rsid w:val="00CF0FB2"/>
    <w:rsid w:val="00D10589"/>
    <w:rsid w:val="00D453D5"/>
    <w:rsid w:val="00D72AEB"/>
    <w:rsid w:val="00DB0A67"/>
    <w:rsid w:val="00DF743A"/>
    <w:rsid w:val="00E063C9"/>
    <w:rsid w:val="00E1011C"/>
    <w:rsid w:val="00F329BE"/>
    <w:rsid w:val="00F55607"/>
    <w:rsid w:val="00F67FA4"/>
    <w:rsid w:val="00F82657"/>
    <w:rsid w:val="00FA6BBD"/>
    <w:rsid w:val="00FB2F8D"/>
    <w:rsid w:val="00FC0A05"/>
    <w:rsid w:val="00FC6916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E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rsid w:val="00DB0A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B0A67"/>
    <w:rPr>
      <w:rFonts w:ascii="Tahoma" w:hAnsi="Tahoma" w:cs="Tahoma"/>
      <w:sz w:val="16"/>
      <w:szCs w:val="16"/>
      <w:lang w:val="zh-CN"/>
    </w:rPr>
  </w:style>
  <w:style w:type="character" w:styleId="Hyperlink">
    <w:name w:val="Hyperlink"/>
    <w:basedOn w:val="Fontepargpadro"/>
    <w:rsid w:val="00C922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rsid w:val="00DB0A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B0A67"/>
    <w:rPr>
      <w:rFonts w:ascii="Tahoma" w:hAnsi="Tahoma" w:cs="Tahoma"/>
      <w:sz w:val="16"/>
      <w:szCs w:val="16"/>
      <w:lang w:val="zh-CN"/>
    </w:rPr>
  </w:style>
  <w:style w:type="character" w:styleId="Hyperlink">
    <w:name w:val="Hyperlink"/>
    <w:basedOn w:val="Fontepargpadro"/>
    <w:rsid w:val="00C922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ialim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theusarthurrocha@outlook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rops@ufl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ego.bento@icmbi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2005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SOUZA-SILVA</cp:lastModifiedBy>
  <cp:revision>3</cp:revision>
  <dcterms:created xsi:type="dcterms:W3CDTF">2023-07-21T15:10:00Z</dcterms:created>
  <dcterms:modified xsi:type="dcterms:W3CDTF">2023-07-21T15:14:00Z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