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5E1C89" w:rsidR="00A56C93" w:rsidRDefault="008F20F7" w:rsidP="008F20F7">
      <w:pPr>
        <w:pStyle w:val="Ttulo"/>
        <w:spacing w:line="360" w:lineRule="auto"/>
        <w:jc w:val="center"/>
      </w:pPr>
      <w:r>
        <w:t>Título Teste Doity</w:t>
      </w:r>
    </w:p>
    <w:p w14:paraId="00000004" w14:textId="77777777" w:rsidR="00A56C93" w:rsidRDefault="00A56C93">
      <w:pPr>
        <w:pBdr>
          <w:top w:val="nil"/>
          <w:left w:val="nil"/>
          <w:bottom w:val="nil"/>
          <w:right w:val="nil"/>
          <w:between w:val="nil"/>
        </w:pBdr>
        <w:spacing w:before="267"/>
        <w:rPr>
          <w:b/>
          <w:color w:val="000000"/>
          <w:sz w:val="24"/>
          <w:szCs w:val="24"/>
        </w:rPr>
      </w:pPr>
    </w:p>
    <w:p w14:paraId="00000005" w14:textId="05D4DB8B" w:rsidR="00A56C93" w:rsidRDefault="008F20F7">
      <w:pPr>
        <w:ind w:left="106"/>
        <w:rPr>
          <w:b/>
          <w:sz w:val="20"/>
          <w:szCs w:val="20"/>
        </w:rPr>
      </w:pPr>
      <w:r>
        <w:rPr>
          <w:b/>
          <w:sz w:val="20"/>
          <w:szCs w:val="20"/>
        </w:rPr>
        <w:t>Fillipi Doity</w:t>
      </w:r>
    </w:p>
    <w:p w14:paraId="00000006" w14:textId="15FEB68E" w:rsidR="00A56C93" w:rsidRDefault="008F20F7">
      <w:pPr>
        <w:ind w:left="106"/>
        <w:rPr>
          <w:sz w:val="16"/>
          <w:szCs w:val="16"/>
        </w:rPr>
      </w:pPr>
      <w:r>
        <w:rPr>
          <w:sz w:val="16"/>
          <w:szCs w:val="16"/>
        </w:rPr>
        <w:t>Brasil</w:t>
      </w:r>
    </w:p>
    <w:p w14:paraId="00000007" w14:textId="300C27B5" w:rsidR="00A56C93" w:rsidRDefault="008F20F7">
      <w:pPr>
        <w:ind w:left="106"/>
        <w:rPr>
          <w:b/>
          <w:sz w:val="20"/>
          <w:szCs w:val="20"/>
        </w:rPr>
      </w:pPr>
      <w:r>
        <w:rPr>
          <w:b/>
          <w:sz w:val="20"/>
          <w:szCs w:val="20"/>
        </w:rPr>
        <w:t>Autor Um</w:t>
      </w:r>
    </w:p>
    <w:p w14:paraId="00000008" w14:textId="1A61F2B6" w:rsidR="00A56C93" w:rsidRDefault="008F20F7">
      <w:pPr>
        <w:ind w:left="106"/>
        <w:rPr>
          <w:sz w:val="16"/>
          <w:szCs w:val="16"/>
        </w:rPr>
      </w:pPr>
      <w:r>
        <w:rPr>
          <w:sz w:val="16"/>
          <w:szCs w:val="16"/>
        </w:rPr>
        <w:t>Brasil</w:t>
      </w:r>
    </w:p>
    <w:p w14:paraId="00000010" w14:textId="77777777" w:rsidR="00A56C93" w:rsidRDefault="00A56C93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  <w:sz w:val="16"/>
          <w:szCs w:val="16"/>
        </w:rPr>
      </w:pPr>
    </w:p>
    <w:p w14:paraId="00000011" w14:textId="1C7DF7BA" w:rsidR="00A56C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 w:right="99"/>
        <w:jc w:val="both"/>
        <w:rPr>
          <w:color w:val="000000"/>
          <w:sz w:val="24"/>
          <w:szCs w:val="24"/>
        </w:rPr>
        <w:sectPr w:rsidR="00A56C93" w:rsidSect="00CB66B8">
          <w:pgSz w:w="11920" w:h="16840"/>
          <w:pgMar w:top="1640" w:right="480" w:bottom="280" w:left="460" w:header="360" w:footer="36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Introdução: </w:t>
      </w:r>
      <w:r>
        <w:rPr>
          <w:color w:val="000000"/>
          <w:sz w:val="24"/>
          <w:szCs w:val="24"/>
        </w:rPr>
        <w:t xml:space="preserve">O </w:t>
      </w:r>
      <w:r w:rsidR="008F20F7">
        <w:rPr>
          <w:color w:val="000000"/>
          <w:sz w:val="24"/>
          <w:szCs w:val="24"/>
        </w:rPr>
        <w:t xml:space="preserve">teste </w:t>
      </w:r>
      <w:r>
        <w:rPr>
          <w:color w:val="000000"/>
          <w:sz w:val="24"/>
          <w:szCs w:val="24"/>
        </w:rPr>
        <w:t>d</w:t>
      </w:r>
      <w:r w:rsidR="008F20F7">
        <w:rPr>
          <w:color w:val="000000"/>
          <w:sz w:val="24"/>
          <w:szCs w:val="24"/>
        </w:rPr>
        <w:t>e submissão</w:t>
      </w:r>
    </w:p>
    <w:p w14:paraId="00000012" w14:textId="77777777" w:rsidR="00A56C93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ocorreram em 2012, 9% em 2013, 8,83% em 2014, 9% em 2015, 9,8% em 2016, 11% em 2017, 9,7% em 2018,</w:t>
      </w:r>
    </w:p>
    <w:p w14:paraId="00000013" w14:textId="77777777" w:rsidR="00A56C93" w:rsidRDefault="00000000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106" w:right="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8,7% em 2019, 10,1% em 2020, 7,6% em 2021 e 9,7% em 2022. </w:t>
      </w:r>
      <w:r>
        <w:rPr>
          <w:b/>
          <w:color w:val="000000"/>
          <w:sz w:val="24"/>
          <w:szCs w:val="24"/>
        </w:rPr>
        <w:t xml:space="preserve">Conclusão: </w:t>
      </w:r>
      <w:r>
        <w:rPr>
          <w:color w:val="000000"/>
          <w:sz w:val="24"/>
          <w:szCs w:val="24"/>
        </w:rPr>
        <w:t>Diante do caráter urgente da doença e de uma incidência significante, surge a importante figura do pré-natal, para diminuir a exposição de fatores que influenciam no desenvolvimento desse defeito congênito com orientações à mãe sobre o controle de suas comorbidades, uso de medicamentos e hábitos que possam comprometer o feto. Enquanto isso, a realização do ETT com Doppler é essencial para o diagnóstico precoce da CIV, pois o conhecimento sobre essa anomalia é importante para o acompanhamento cardiológico com o intuito de prevenir o desenvolvimento ou piora do quadro clínico.</w:t>
      </w:r>
    </w:p>
    <w:p w14:paraId="00000014" w14:textId="77777777" w:rsidR="00A56C93" w:rsidRDefault="00A56C93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00000015" w14:textId="77777777" w:rsidR="00A56C93" w:rsidRDefault="00000000">
      <w:pPr>
        <w:pBdr>
          <w:top w:val="nil"/>
          <w:left w:val="nil"/>
          <w:bottom w:val="nil"/>
          <w:right w:val="nil"/>
          <w:between w:val="nil"/>
        </w:pBdr>
        <w:ind w:left="10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>Epidemiologia; Defeito de septo interventricular; Diagnóstico precoce; Quadros graves</w:t>
      </w:r>
    </w:p>
    <w:p w14:paraId="00000016" w14:textId="77777777" w:rsidR="00A56C93" w:rsidRDefault="00A56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A56C93" w:rsidRDefault="00A56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77777777" w:rsidR="00A56C93" w:rsidRDefault="00000000">
      <w:pPr>
        <w:pStyle w:val="Ttulo1"/>
        <w:ind w:left="106"/>
      </w:pPr>
      <w:r>
        <w:t>Referências:</w:t>
      </w:r>
    </w:p>
    <w:p w14:paraId="00000019" w14:textId="77777777" w:rsidR="00A56C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spacing w:before="138" w:line="360" w:lineRule="auto"/>
        <w:ind w:right="626"/>
        <w:rPr>
          <w:color w:val="000000"/>
          <w:sz w:val="24"/>
          <w:szCs w:val="24"/>
        </w:rPr>
      </w:pPr>
      <w:r>
        <w:rPr>
          <w:color w:val="2C3E50"/>
          <w:sz w:val="24"/>
          <w:szCs w:val="24"/>
        </w:rPr>
        <w:t xml:space="preserve">SPICER, D. E. et al. Ventricular septal defect. </w:t>
      </w:r>
      <w:r>
        <w:rPr>
          <w:b/>
          <w:color w:val="2C3E50"/>
          <w:sz w:val="24"/>
          <w:szCs w:val="24"/>
        </w:rPr>
        <w:t>Orphanet Journal of Rare Diseases</w:t>
      </w:r>
      <w:r>
        <w:rPr>
          <w:color w:val="2C3E50"/>
          <w:sz w:val="24"/>
          <w:szCs w:val="24"/>
        </w:rPr>
        <w:t>, v. 9, n. 1, dez. 2014.</w:t>
      </w:r>
    </w:p>
    <w:p w14:paraId="0000001A" w14:textId="77777777" w:rsidR="00A56C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spacing w:before="5" w:line="355" w:lineRule="auto"/>
        <w:ind w:right="325"/>
        <w:rPr>
          <w:rFonts w:ascii="Calibri" w:eastAsia="Calibri" w:hAnsi="Calibri" w:cs="Calibri"/>
          <w:color w:val="2C3E50"/>
          <w:sz w:val="24"/>
          <w:szCs w:val="24"/>
        </w:rPr>
      </w:pPr>
      <w:r>
        <w:rPr>
          <w:color w:val="2C3E50"/>
          <w:sz w:val="24"/>
          <w:szCs w:val="24"/>
        </w:rPr>
        <w:t xml:space="preserve">GOLDBERG, J. F. Long-term Follow-up of “Simple” Lesions-Atrial Septal Defect, Ventricular Septal Defect, and Coarctation of the Aorta. </w:t>
      </w:r>
      <w:r>
        <w:rPr>
          <w:b/>
          <w:color w:val="2C3E50"/>
          <w:sz w:val="24"/>
          <w:szCs w:val="24"/>
        </w:rPr>
        <w:t>Congenital Heart Disease</w:t>
      </w:r>
      <w:r>
        <w:rPr>
          <w:color w:val="2C3E50"/>
          <w:sz w:val="24"/>
          <w:szCs w:val="24"/>
        </w:rPr>
        <w:t>, v. 10, n. 5, p. 466–474, set. 2015.</w:t>
      </w:r>
    </w:p>
    <w:p w14:paraId="0000001B" w14:textId="77777777" w:rsidR="00A56C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1"/>
        <w:ind w:left="825" w:hanging="359"/>
        <w:rPr>
          <w:rFonts w:ascii="Calibri" w:eastAsia="Calibri" w:hAnsi="Calibri" w:cs="Calibri"/>
          <w:color w:val="2C3E50"/>
          <w:sz w:val="24"/>
          <w:szCs w:val="24"/>
        </w:rPr>
      </w:pPr>
      <w:r>
        <w:rPr>
          <w:color w:val="2C3E50"/>
          <w:sz w:val="24"/>
          <w:szCs w:val="24"/>
        </w:rPr>
        <w:t>ADAN, A. et al. Ventricular septal defect: diagnosis and treatments in the neonates: a systematic review.</w:t>
      </w:r>
    </w:p>
    <w:p w14:paraId="0000001C" w14:textId="77777777" w:rsidR="00A56C93" w:rsidRDefault="00000000">
      <w:pPr>
        <w:spacing w:before="142"/>
        <w:ind w:left="826"/>
        <w:rPr>
          <w:sz w:val="24"/>
          <w:szCs w:val="24"/>
        </w:rPr>
      </w:pPr>
      <w:r>
        <w:rPr>
          <w:b/>
          <w:color w:val="2C3E50"/>
          <w:sz w:val="24"/>
          <w:szCs w:val="24"/>
        </w:rPr>
        <w:t>Cardiology in the Young</w:t>
      </w:r>
      <w:r>
        <w:rPr>
          <w:color w:val="2C3E50"/>
          <w:sz w:val="24"/>
          <w:szCs w:val="24"/>
        </w:rPr>
        <w:t>, v. 31, n. 5, p. 756–761, 17 dez. 2020.</w:t>
      </w:r>
    </w:p>
    <w:p w14:paraId="0000001D" w14:textId="77777777" w:rsidR="00A56C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3"/>
        <w:ind w:left="825" w:hanging="359"/>
        <w:rPr>
          <w:rFonts w:ascii="Calibri" w:eastAsia="Calibri" w:hAnsi="Calibri" w:cs="Calibri"/>
          <w:color w:val="2C3E50"/>
          <w:sz w:val="24"/>
          <w:szCs w:val="24"/>
        </w:rPr>
      </w:pPr>
      <w:r>
        <w:rPr>
          <w:color w:val="2C3E50"/>
          <w:sz w:val="24"/>
          <w:szCs w:val="24"/>
        </w:rPr>
        <w:t xml:space="preserve">DAKKAK, W.; OLIVER, T. I. </w:t>
      </w:r>
      <w:r>
        <w:rPr>
          <w:b/>
          <w:color w:val="2C3E50"/>
          <w:sz w:val="24"/>
          <w:szCs w:val="24"/>
        </w:rPr>
        <w:t>Ventricular Septal Defect</w:t>
      </w:r>
      <w:r>
        <w:rPr>
          <w:color w:val="2C3E50"/>
          <w:sz w:val="24"/>
          <w:szCs w:val="24"/>
        </w:rPr>
        <w:t>. Disponível em:</w:t>
      </w:r>
    </w:p>
    <w:p w14:paraId="0000001E" w14:textId="77777777" w:rsidR="00A56C93" w:rsidRDefault="00000000">
      <w:pPr>
        <w:pBdr>
          <w:top w:val="nil"/>
          <w:left w:val="nil"/>
          <w:bottom w:val="nil"/>
          <w:right w:val="nil"/>
          <w:between w:val="nil"/>
        </w:pBdr>
        <w:spacing w:before="142"/>
        <w:ind w:left="826"/>
        <w:rPr>
          <w:color w:val="000000"/>
          <w:sz w:val="24"/>
          <w:szCs w:val="24"/>
        </w:rPr>
      </w:pPr>
      <w:r>
        <w:rPr>
          <w:color w:val="2C3E50"/>
          <w:sz w:val="24"/>
          <w:szCs w:val="24"/>
        </w:rPr>
        <w:t>&lt;https://</w:t>
      </w:r>
      <w:hyperlink r:id="rId5">
        <w:r>
          <w:rPr>
            <w:color w:val="2C3E50"/>
            <w:sz w:val="24"/>
            <w:szCs w:val="24"/>
          </w:rPr>
          <w:t>www.ncbi.nlm.nih.gov/books/NBK470330/</w:t>
        </w:r>
      </w:hyperlink>
      <w:r>
        <w:rPr>
          <w:color w:val="2C3E50"/>
          <w:sz w:val="24"/>
          <w:szCs w:val="24"/>
        </w:rPr>
        <w:t>&gt;.</w:t>
      </w:r>
    </w:p>
    <w:sectPr w:rsidR="00A56C93">
      <w:pgSz w:w="11920" w:h="16840"/>
      <w:pgMar w:top="1640" w:right="480" w:bottom="280" w:left="4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20E6"/>
    <w:multiLevelType w:val="multilevel"/>
    <w:tmpl w:val="9A4E4180"/>
    <w:lvl w:ilvl="0">
      <w:start w:val="1"/>
      <w:numFmt w:val="decimal"/>
      <w:lvlText w:val="%1."/>
      <w:lvlJc w:val="left"/>
      <w:pPr>
        <w:ind w:left="826" w:hanging="360"/>
      </w:p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868" w:hanging="360"/>
      </w:pPr>
    </w:lvl>
    <w:lvl w:ilvl="4">
      <w:numFmt w:val="bullet"/>
      <w:lvlText w:val="•"/>
      <w:lvlJc w:val="left"/>
      <w:pPr>
        <w:ind w:left="4884" w:hanging="360"/>
      </w:pPr>
    </w:lvl>
    <w:lvl w:ilvl="5">
      <w:numFmt w:val="bullet"/>
      <w:lvlText w:val="•"/>
      <w:lvlJc w:val="left"/>
      <w:pPr>
        <w:ind w:left="5900" w:hanging="360"/>
      </w:pPr>
    </w:lvl>
    <w:lvl w:ilvl="6">
      <w:numFmt w:val="bullet"/>
      <w:lvlText w:val="•"/>
      <w:lvlJc w:val="left"/>
      <w:pPr>
        <w:ind w:left="6916" w:hanging="360"/>
      </w:pPr>
    </w:lvl>
    <w:lvl w:ilvl="7">
      <w:numFmt w:val="bullet"/>
      <w:lvlText w:val="•"/>
      <w:lvlJc w:val="left"/>
      <w:pPr>
        <w:ind w:left="7932" w:hanging="360"/>
      </w:pPr>
    </w:lvl>
    <w:lvl w:ilvl="8">
      <w:numFmt w:val="bullet"/>
      <w:lvlText w:val="•"/>
      <w:lvlJc w:val="left"/>
      <w:pPr>
        <w:ind w:left="8948" w:hanging="360"/>
      </w:pPr>
    </w:lvl>
  </w:abstractNum>
  <w:num w:numId="1" w16cid:durableId="152556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93"/>
    <w:rsid w:val="008F20F7"/>
    <w:rsid w:val="00A56C93"/>
    <w:rsid w:val="00C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1FB6"/>
  <w15:docId w15:val="{3B0DFC81-68D1-48C3-8FC3-C013B8EE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60"/>
      <w:ind w:left="3535" w:hanging="2939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books/NBK4703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Fillipi Santos</dc:creator>
  <cp:lastModifiedBy>Fillipi Santos</cp:lastModifiedBy>
  <cp:revision>2</cp:revision>
  <dcterms:created xsi:type="dcterms:W3CDTF">2024-02-20T10:41:00Z</dcterms:created>
  <dcterms:modified xsi:type="dcterms:W3CDTF">2024-02-20T10:41:00Z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2024-02-19T00:00:00Z</vt:lpwstr>
  </property>
  <property fmtid="{D5CDD505-2E9C-101B-9397-08002B2CF9AE}" pid="3" name="Producer">
    <vt:lpwstr>iOS Version 16.0 (Build 20A362) Quartz PDFContext</vt:lpwstr>
  </property>
  <property fmtid="{D5CDD505-2E9C-101B-9397-08002B2CF9AE}" pid="4" name="Created">
    <vt:lpwstr>2024-02-18T00:00:00Z</vt:lpwstr>
  </property>
</Properties>
</file>