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501F" w14:textId="77777777" w:rsidR="00B31A31" w:rsidRDefault="00B31A31">
      <w:pPr>
        <w:tabs>
          <w:tab w:val="left" w:pos="2765"/>
        </w:tabs>
      </w:pPr>
    </w:p>
    <w:p w14:paraId="353737D0" w14:textId="0DBC7FF7" w:rsidR="00B31A31" w:rsidRPr="00B964B0" w:rsidRDefault="00000000" w:rsidP="00B964B0">
      <w:pPr>
        <w:spacing w:before="240" w:after="240"/>
        <w:jc w:val="center"/>
        <w:rPr>
          <w:b/>
          <w:sz w:val="24"/>
          <w:szCs w:val="24"/>
        </w:rPr>
      </w:pPr>
      <w:r>
        <w:rPr>
          <w:b/>
          <w:sz w:val="24"/>
          <w:szCs w:val="24"/>
        </w:rPr>
        <w:t xml:space="preserve">Raciocínio funcional: análise do desempenho apresentado por alunos do 4º ano do Ensino Fundamental </w:t>
      </w:r>
    </w:p>
    <w:p w14:paraId="2264EF65" w14:textId="77777777" w:rsidR="00B31A31" w:rsidRDefault="00B31A31">
      <w:pPr>
        <w:spacing w:after="60" w:line="240" w:lineRule="auto"/>
        <w:jc w:val="right"/>
        <w:rPr>
          <w:sz w:val="20"/>
          <w:szCs w:val="20"/>
        </w:rPr>
      </w:pPr>
    </w:p>
    <w:p w14:paraId="6FD70390" w14:textId="29C7EDE2" w:rsidR="00B31A31" w:rsidRDefault="00000000">
      <w:pPr>
        <w:spacing w:after="72" w:line="360" w:lineRule="auto"/>
        <w:ind w:firstLine="720"/>
        <w:jc w:val="both"/>
        <w:rPr>
          <w:sz w:val="24"/>
          <w:szCs w:val="24"/>
        </w:rPr>
      </w:pPr>
      <w:r>
        <w:rPr>
          <w:sz w:val="24"/>
          <w:szCs w:val="24"/>
        </w:rPr>
        <w:t xml:space="preserve">Esse </w:t>
      </w:r>
      <w:r w:rsidR="00D56F0E">
        <w:rPr>
          <w:sz w:val="24"/>
          <w:szCs w:val="24"/>
        </w:rPr>
        <w:t>resumo</w:t>
      </w:r>
      <w:r>
        <w:rPr>
          <w:sz w:val="24"/>
          <w:szCs w:val="24"/>
        </w:rPr>
        <w:t xml:space="preserve"> pretende apresentar alguns resultados de uma pesquisa </w:t>
      </w:r>
      <w:r w:rsidR="00D56F0E">
        <w:rPr>
          <w:sz w:val="24"/>
          <w:szCs w:val="24"/>
        </w:rPr>
        <w:t>diagnóstica comparativa</w:t>
      </w:r>
      <w:r w:rsidR="0077320B">
        <w:rPr>
          <w:sz w:val="24"/>
          <w:szCs w:val="24"/>
        </w:rPr>
        <w:t xml:space="preserve"> em andamento</w:t>
      </w:r>
      <w:r w:rsidR="00D56F0E">
        <w:rPr>
          <w:sz w:val="24"/>
          <w:szCs w:val="24"/>
        </w:rPr>
        <w:t>, realizada com estudantes do 4º e 6º anos do Ensino Fundamental</w:t>
      </w:r>
      <w:r w:rsidR="0077320B">
        <w:rPr>
          <w:sz w:val="24"/>
          <w:szCs w:val="24"/>
        </w:rPr>
        <w:t>. A pesquisa pertence a um estudo de mestrado realizado no Programa de Programa de Pós-Graduação em Ensino de Ciências e Matemática, da Universidade Estadual de Santa Cruz. O objetivo</w:t>
      </w:r>
      <w:r w:rsidR="00D56F0E">
        <w:rPr>
          <w:sz w:val="24"/>
          <w:szCs w:val="24"/>
        </w:rPr>
        <w:t xml:space="preserve"> </w:t>
      </w:r>
      <w:r w:rsidR="0077320B">
        <w:rPr>
          <w:sz w:val="24"/>
          <w:szCs w:val="24"/>
        </w:rPr>
        <w:t>do estudo é</w:t>
      </w:r>
      <w:r w:rsidR="00D56F0E">
        <w:rPr>
          <w:sz w:val="24"/>
          <w:szCs w:val="24"/>
        </w:rPr>
        <w:t xml:space="preserve"> investigar </w:t>
      </w:r>
      <w:r w:rsidR="0077320B">
        <w:rPr>
          <w:sz w:val="24"/>
          <w:szCs w:val="24"/>
        </w:rPr>
        <w:t xml:space="preserve">os </w:t>
      </w:r>
      <w:r w:rsidR="00D56F0E">
        <w:rPr>
          <w:sz w:val="24"/>
          <w:szCs w:val="24"/>
        </w:rPr>
        <w:t>raciocínios</w:t>
      </w:r>
      <w:r>
        <w:rPr>
          <w:sz w:val="24"/>
          <w:szCs w:val="24"/>
        </w:rPr>
        <w:t xml:space="preserve"> </w:t>
      </w:r>
      <w:r w:rsidR="0077320B">
        <w:rPr>
          <w:sz w:val="24"/>
          <w:szCs w:val="24"/>
        </w:rPr>
        <w:t>A</w:t>
      </w:r>
      <w:r>
        <w:rPr>
          <w:sz w:val="24"/>
          <w:szCs w:val="24"/>
        </w:rPr>
        <w:t>lg</w:t>
      </w:r>
      <w:r w:rsidR="00D56F0E">
        <w:rPr>
          <w:sz w:val="24"/>
          <w:szCs w:val="24"/>
        </w:rPr>
        <w:t xml:space="preserve">ébricos presentes </w:t>
      </w:r>
      <w:r w:rsidR="0077320B">
        <w:rPr>
          <w:sz w:val="24"/>
          <w:szCs w:val="24"/>
        </w:rPr>
        <w:t>nas</w:t>
      </w:r>
      <w:r w:rsidR="00D56F0E">
        <w:rPr>
          <w:sz w:val="24"/>
          <w:szCs w:val="24"/>
        </w:rPr>
        <w:t xml:space="preserve"> estratégias de ação </w:t>
      </w:r>
      <w:r w:rsidR="0077320B">
        <w:rPr>
          <w:sz w:val="24"/>
          <w:szCs w:val="24"/>
        </w:rPr>
        <w:t xml:space="preserve">desses estudantes </w:t>
      </w:r>
      <w:r w:rsidR="00D56F0E">
        <w:rPr>
          <w:sz w:val="24"/>
          <w:szCs w:val="24"/>
        </w:rPr>
        <w:t xml:space="preserve">ao responderem a um instrumento contendo 10 problemas que trazem em seu bojo conceitos pertencentes ao campo da álgebra. Sabemos que estudantes de ambos os anos ainda não estudaram formalmente conteúdos algébricos, por isso nosso estudo se situa no campo da </w:t>
      </w:r>
      <w:r>
        <w:rPr>
          <w:i/>
          <w:sz w:val="24"/>
          <w:szCs w:val="24"/>
        </w:rPr>
        <w:t xml:space="preserve">“Early </w:t>
      </w:r>
      <w:proofErr w:type="spellStart"/>
      <w:r>
        <w:rPr>
          <w:i/>
          <w:sz w:val="24"/>
          <w:szCs w:val="24"/>
        </w:rPr>
        <w:t>Algebra</w:t>
      </w:r>
      <w:proofErr w:type="spellEnd"/>
      <w:r>
        <w:rPr>
          <w:sz w:val="24"/>
          <w:szCs w:val="24"/>
        </w:rPr>
        <w:t>”</w:t>
      </w:r>
      <w:r w:rsidR="00D56F0E">
        <w:rPr>
          <w:sz w:val="24"/>
          <w:szCs w:val="24"/>
        </w:rPr>
        <w:t xml:space="preserve"> </w:t>
      </w:r>
      <w:r>
        <w:rPr>
          <w:sz w:val="24"/>
          <w:szCs w:val="24"/>
        </w:rPr>
        <w:t xml:space="preserve">(EA). </w:t>
      </w:r>
    </w:p>
    <w:p w14:paraId="3EC91B75" w14:textId="2EE0B86E" w:rsidR="00941B7B" w:rsidRDefault="00941B7B">
      <w:pPr>
        <w:spacing w:after="72" w:line="360" w:lineRule="auto"/>
        <w:ind w:firstLine="720"/>
        <w:jc w:val="both"/>
        <w:rPr>
          <w:sz w:val="24"/>
          <w:szCs w:val="24"/>
        </w:rPr>
      </w:pPr>
      <w:r>
        <w:rPr>
          <w:sz w:val="24"/>
          <w:szCs w:val="24"/>
        </w:rPr>
        <w:t xml:space="preserve">Magina (no prelo) explica que a </w:t>
      </w:r>
      <w:r w:rsidRPr="00941B7B">
        <w:rPr>
          <w:i/>
          <w:iCs/>
          <w:sz w:val="24"/>
          <w:szCs w:val="24"/>
        </w:rPr>
        <w:t xml:space="preserve">Early </w:t>
      </w:r>
      <w:proofErr w:type="spellStart"/>
      <w:r w:rsidRPr="00941B7B">
        <w:rPr>
          <w:i/>
          <w:iCs/>
          <w:sz w:val="24"/>
          <w:szCs w:val="24"/>
        </w:rPr>
        <w:t>Algebra</w:t>
      </w:r>
      <w:proofErr w:type="spellEnd"/>
      <w:r>
        <w:rPr>
          <w:sz w:val="24"/>
          <w:szCs w:val="24"/>
        </w:rPr>
        <w:t xml:space="preserve"> surgiu no final dos anos de 1990 como </w:t>
      </w:r>
      <w:r>
        <w:t xml:space="preserve">uma proposta psicopedagógica. que ganhou força mundial a partir do relatório escrito por </w:t>
      </w:r>
      <w:proofErr w:type="spellStart"/>
      <w:r>
        <w:t>Blanton</w:t>
      </w:r>
      <w:proofErr w:type="spellEnd"/>
      <w:r>
        <w:t xml:space="preserve"> et al. (2007)</w:t>
      </w:r>
      <w:r w:rsidR="004063B0">
        <w:t>, tendo vários pesquisadores interessados no tema, tais como,</w:t>
      </w:r>
      <w:r w:rsidR="004063B0" w:rsidRPr="004063B0">
        <w:rPr>
          <w:sz w:val="24"/>
          <w:szCs w:val="24"/>
        </w:rPr>
        <w:t xml:space="preserve"> </w:t>
      </w:r>
      <w:proofErr w:type="spellStart"/>
      <w:r w:rsidR="004063B0">
        <w:rPr>
          <w:sz w:val="24"/>
          <w:szCs w:val="24"/>
        </w:rPr>
        <w:t>Blanton</w:t>
      </w:r>
      <w:proofErr w:type="spellEnd"/>
      <w:r w:rsidR="004063B0">
        <w:rPr>
          <w:sz w:val="24"/>
          <w:szCs w:val="24"/>
        </w:rPr>
        <w:t xml:space="preserve">, </w:t>
      </w:r>
      <w:proofErr w:type="spellStart"/>
      <w:r w:rsidR="004063B0">
        <w:rPr>
          <w:sz w:val="24"/>
          <w:szCs w:val="24"/>
        </w:rPr>
        <w:t>Kaput</w:t>
      </w:r>
      <w:proofErr w:type="spellEnd"/>
      <w:r w:rsidR="004063B0">
        <w:rPr>
          <w:sz w:val="24"/>
          <w:szCs w:val="24"/>
        </w:rPr>
        <w:t xml:space="preserve"> (2005), </w:t>
      </w:r>
      <w:proofErr w:type="spellStart"/>
      <w:r w:rsidR="004063B0">
        <w:rPr>
          <w:sz w:val="24"/>
          <w:szCs w:val="24"/>
        </w:rPr>
        <w:t>Schielmen</w:t>
      </w:r>
      <w:proofErr w:type="spellEnd"/>
      <w:r w:rsidR="004063B0">
        <w:rPr>
          <w:sz w:val="24"/>
          <w:szCs w:val="24"/>
        </w:rPr>
        <w:t xml:space="preserve"> </w:t>
      </w:r>
      <w:r w:rsidR="004063B0">
        <w:rPr>
          <w:i/>
          <w:sz w:val="24"/>
          <w:szCs w:val="24"/>
        </w:rPr>
        <w:t>et al</w:t>
      </w:r>
      <w:r w:rsidR="004063B0">
        <w:rPr>
          <w:sz w:val="24"/>
          <w:szCs w:val="24"/>
        </w:rPr>
        <w:t xml:space="preserve"> (2013), </w:t>
      </w:r>
      <w:proofErr w:type="spellStart"/>
      <w:r w:rsidR="004063B0">
        <w:rPr>
          <w:sz w:val="24"/>
          <w:szCs w:val="24"/>
        </w:rPr>
        <w:t>Yamanaka</w:t>
      </w:r>
      <w:proofErr w:type="spellEnd"/>
      <w:r w:rsidR="004063B0">
        <w:rPr>
          <w:sz w:val="24"/>
          <w:szCs w:val="24"/>
        </w:rPr>
        <w:t xml:space="preserve">, </w:t>
      </w:r>
      <w:proofErr w:type="spellStart"/>
      <w:r w:rsidR="004063B0">
        <w:rPr>
          <w:sz w:val="24"/>
          <w:szCs w:val="24"/>
        </w:rPr>
        <w:t>Magina</w:t>
      </w:r>
      <w:proofErr w:type="spellEnd"/>
      <w:r w:rsidR="004063B0">
        <w:rPr>
          <w:sz w:val="24"/>
          <w:szCs w:val="24"/>
        </w:rPr>
        <w:t xml:space="preserve"> (2008) e Ribeiro e</w:t>
      </w:r>
      <w:r w:rsidR="004063B0">
        <w:rPr>
          <w:color w:val="5B9BD5"/>
          <w:sz w:val="24"/>
          <w:szCs w:val="24"/>
        </w:rPr>
        <w:t xml:space="preserve"> </w:t>
      </w:r>
      <w:r w:rsidR="004063B0">
        <w:rPr>
          <w:sz w:val="24"/>
          <w:szCs w:val="24"/>
        </w:rPr>
        <w:t>Cury (2015)</w:t>
      </w:r>
      <w:r>
        <w:t xml:space="preserve">. </w:t>
      </w:r>
      <w:r w:rsidR="004063B0">
        <w:t>A EA tem por</w:t>
      </w:r>
      <w:r>
        <w:t xml:space="preserve"> objetivo auxiliar estudantes </w:t>
      </w:r>
      <w:r w:rsidR="004063B0">
        <w:t>a</w:t>
      </w:r>
      <w:r>
        <w:t xml:space="preserve"> desenvolve</w:t>
      </w:r>
      <w:r w:rsidR="004063B0">
        <w:t>r</w:t>
      </w:r>
      <w:r>
        <w:t xml:space="preserve"> o raciocínio algébrico antes dele ser ensinado formalmente. Ela envolve o estudo das relações funcionais e da generalização de padrão em sequência, além da manipulação de símbolos e modelações (mesmo que implícitas) de estruturas abstratas, tais como situações de equivalência.</w:t>
      </w:r>
    </w:p>
    <w:p w14:paraId="5FB41B19" w14:textId="5AB23EA4" w:rsidR="00B31A31" w:rsidRDefault="004063B0">
      <w:pPr>
        <w:spacing w:after="72" w:line="360" w:lineRule="auto"/>
        <w:ind w:firstLine="720"/>
        <w:jc w:val="both"/>
        <w:rPr>
          <w:sz w:val="24"/>
          <w:szCs w:val="24"/>
        </w:rPr>
      </w:pPr>
      <w:r>
        <w:rPr>
          <w:sz w:val="24"/>
          <w:szCs w:val="24"/>
        </w:rPr>
        <w:t>No Brasil o eixo temático Álgebra foi introduzido no currículo brasileiro, para todos os anos do Ensino Fundamental, no</w:t>
      </w:r>
      <w:r w:rsidRPr="004063B0">
        <w:rPr>
          <w:sz w:val="24"/>
          <w:szCs w:val="24"/>
        </w:rPr>
        <w:t xml:space="preserve"> </w:t>
      </w:r>
      <w:r>
        <w:rPr>
          <w:sz w:val="24"/>
          <w:szCs w:val="24"/>
        </w:rPr>
        <w:t xml:space="preserve">final de 2017, por meio da Base Nacional Comum Curricular (BNCC) (BRASIL, 2017). </w:t>
      </w:r>
    </w:p>
    <w:p w14:paraId="1B808479" w14:textId="3D74041D" w:rsidR="00B31A31" w:rsidRDefault="00F07D3E">
      <w:pPr>
        <w:spacing w:after="72" w:line="360" w:lineRule="auto"/>
        <w:ind w:firstLine="720"/>
        <w:jc w:val="both"/>
        <w:rPr>
          <w:color w:val="FF0000"/>
          <w:sz w:val="24"/>
          <w:szCs w:val="24"/>
        </w:rPr>
      </w:pPr>
      <w:r>
        <w:rPr>
          <w:sz w:val="24"/>
          <w:szCs w:val="24"/>
        </w:rPr>
        <w:t xml:space="preserve">A </w:t>
      </w:r>
      <w:r w:rsidR="00263146">
        <w:rPr>
          <w:sz w:val="24"/>
          <w:szCs w:val="24"/>
        </w:rPr>
        <w:t xml:space="preserve">pesquisa </w:t>
      </w:r>
      <w:r w:rsidR="00EA5106">
        <w:rPr>
          <w:sz w:val="24"/>
          <w:szCs w:val="24"/>
        </w:rPr>
        <w:t>tem</w:t>
      </w:r>
      <w:r>
        <w:rPr>
          <w:sz w:val="24"/>
          <w:szCs w:val="24"/>
        </w:rPr>
        <w:t xml:space="preserve"> caráter quanti-qualitativo, </w:t>
      </w:r>
      <w:r w:rsidR="00263146">
        <w:rPr>
          <w:sz w:val="24"/>
          <w:szCs w:val="24"/>
        </w:rPr>
        <w:t xml:space="preserve">e a coleta dos dados </w:t>
      </w:r>
      <w:r>
        <w:rPr>
          <w:sz w:val="24"/>
          <w:szCs w:val="24"/>
        </w:rPr>
        <w:t>se deu por meio d</w:t>
      </w:r>
      <w:r w:rsidR="00EA5106">
        <w:rPr>
          <w:sz w:val="24"/>
          <w:szCs w:val="24"/>
        </w:rPr>
        <w:t>e uma</w:t>
      </w:r>
      <w:r>
        <w:rPr>
          <w:sz w:val="24"/>
          <w:szCs w:val="24"/>
        </w:rPr>
        <w:t xml:space="preserve"> aplicação coletiva, com resolução individual</w:t>
      </w:r>
      <w:r w:rsidR="00263146">
        <w:rPr>
          <w:sz w:val="24"/>
          <w:szCs w:val="24"/>
        </w:rPr>
        <w:t>, em cada um dos anos escolares,</w:t>
      </w:r>
      <w:r>
        <w:rPr>
          <w:sz w:val="24"/>
          <w:szCs w:val="24"/>
        </w:rPr>
        <w:t xml:space="preserve"> de um diagnóstico</w:t>
      </w:r>
      <w:r w:rsidR="00EA5106">
        <w:rPr>
          <w:sz w:val="24"/>
          <w:szCs w:val="24"/>
        </w:rPr>
        <w:t>,</w:t>
      </w:r>
      <w:r>
        <w:rPr>
          <w:sz w:val="24"/>
          <w:szCs w:val="24"/>
        </w:rPr>
        <w:t xml:space="preserve"> em forma</w:t>
      </w:r>
      <w:r w:rsidR="00EA5106">
        <w:rPr>
          <w:sz w:val="24"/>
          <w:szCs w:val="24"/>
        </w:rPr>
        <w:t>to</w:t>
      </w:r>
      <w:r>
        <w:rPr>
          <w:sz w:val="24"/>
          <w:szCs w:val="24"/>
        </w:rPr>
        <w:t xml:space="preserve"> de livreto, contendo 10 </w:t>
      </w:r>
      <w:r w:rsidR="00EA5106">
        <w:rPr>
          <w:sz w:val="24"/>
          <w:szCs w:val="24"/>
        </w:rPr>
        <w:t>questões</w:t>
      </w:r>
      <w:r w:rsidR="00263146">
        <w:rPr>
          <w:sz w:val="24"/>
          <w:szCs w:val="24"/>
        </w:rPr>
        <w:t>. Essas eram de</w:t>
      </w:r>
      <w:r>
        <w:rPr>
          <w:sz w:val="24"/>
          <w:szCs w:val="24"/>
        </w:rPr>
        <w:t xml:space="preserve"> sequência em padrão e </w:t>
      </w:r>
      <w:r w:rsidR="00263146">
        <w:rPr>
          <w:sz w:val="24"/>
          <w:szCs w:val="24"/>
        </w:rPr>
        <w:t xml:space="preserve">de </w:t>
      </w:r>
      <w:r>
        <w:rPr>
          <w:sz w:val="24"/>
          <w:szCs w:val="24"/>
        </w:rPr>
        <w:t>raciocínio funcional</w:t>
      </w:r>
      <w:r w:rsidR="00263146">
        <w:rPr>
          <w:sz w:val="24"/>
          <w:szCs w:val="24"/>
        </w:rPr>
        <w:t xml:space="preserve"> </w:t>
      </w:r>
      <w:r>
        <w:rPr>
          <w:sz w:val="24"/>
          <w:szCs w:val="24"/>
        </w:rPr>
        <w:t>(afim e linear)</w:t>
      </w:r>
      <w:r w:rsidR="00EA5106">
        <w:rPr>
          <w:sz w:val="24"/>
          <w:szCs w:val="24"/>
        </w:rPr>
        <w:t xml:space="preserve">. Havia </w:t>
      </w:r>
      <w:r>
        <w:rPr>
          <w:sz w:val="24"/>
          <w:szCs w:val="24"/>
        </w:rPr>
        <w:t xml:space="preserve">40 alunos do 4º ano </w:t>
      </w:r>
      <w:r w:rsidR="00263146">
        <w:rPr>
          <w:sz w:val="24"/>
          <w:szCs w:val="24"/>
        </w:rPr>
        <w:t xml:space="preserve">e </w:t>
      </w:r>
      <w:r w:rsidR="00EA5106">
        <w:rPr>
          <w:sz w:val="24"/>
          <w:szCs w:val="24"/>
        </w:rPr>
        <w:t>45</w:t>
      </w:r>
      <w:r w:rsidR="00263146">
        <w:rPr>
          <w:sz w:val="24"/>
          <w:szCs w:val="24"/>
        </w:rPr>
        <w:t xml:space="preserve"> do 6º ano do </w:t>
      </w:r>
      <w:r>
        <w:rPr>
          <w:sz w:val="24"/>
          <w:szCs w:val="24"/>
        </w:rPr>
        <w:t xml:space="preserve">Ensino Fundamental, de uma escola municipal </w:t>
      </w:r>
      <w:r w:rsidR="00EA5106">
        <w:rPr>
          <w:sz w:val="24"/>
          <w:szCs w:val="24"/>
        </w:rPr>
        <w:t>do</w:t>
      </w:r>
      <w:r>
        <w:rPr>
          <w:sz w:val="24"/>
          <w:szCs w:val="24"/>
        </w:rPr>
        <w:t xml:space="preserve"> sul da Bahia.</w:t>
      </w:r>
      <w:r>
        <w:rPr>
          <w:color w:val="FF0000"/>
          <w:sz w:val="24"/>
          <w:szCs w:val="24"/>
        </w:rPr>
        <w:t xml:space="preserve"> </w:t>
      </w:r>
    </w:p>
    <w:p w14:paraId="270B4CD0" w14:textId="575C868E" w:rsidR="00577091" w:rsidRDefault="00000000">
      <w:pPr>
        <w:spacing w:line="360" w:lineRule="auto"/>
        <w:ind w:firstLine="720"/>
        <w:jc w:val="both"/>
        <w:rPr>
          <w:sz w:val="24"/>
          <w:szCs w:val="24"/>
        </w:rPr>
      </w:pPr>
      <w:r>
        <w:rPr>
          <w:sz w:val="24"/>
          <w:szCs w:val="24"/>
        </w:rPr>
        <w:lastRenderedPageBreak/>
        <w:t xml:space="preserve">Os dados apontam que </w:t>
      </w:r>
      <w:r w:rsidR="00263146">
        <w:rPr>
          <w:sz w:val="24"/>
          <w:szCs w:val="24"/>
        </w:rPr>
        <w:t xml:space="preserve">enquanto o percentual geral de acerto dos alunos do 4º ano foi </w:t>
      </w:r>
      <w:r>
        <w:rPr>
          <w:sz w:val="24"/>
          <w:szCs w:val="24"/>
        </w:rPr>
        <w:t xml:space="preserve">38%, </w:t>
      </w:r>
      <w:r w:rsidR="00263146">
        <w:rPr>
          <w:sz w:val="24"/>
          <w:szCs w:val="24"/>
        </w:rPr>
        <w:t>o</w:t>
      </w:r>
      <w:r w:rsidR="00577091">
        <w:rPr>
          <w:sz w:val="24"/>
          <w:szCs w:val="24"/>
        </w:rPr>
        <w:t>s do</w:t>
      </w:r>
      <w:r w:rsidR="00263146">
        <w:rPr>
          <w:sz w:val="24"/>
          <w:szCs w:val="24"/>
        </w:rPr>
        <w:t xml:space="preserve"> 6º ano foi </w:t>
      </w:r>
      <w:r w:rsidR="00EA5106">
        <w:rPr>
          <w:sz w:val="24"/>
          <w:szCs w:val="24"/>
        </w:rPr>
        <w:t>de 47</w:t>
      </w:r>
      <w:r w:rsidR="00263146">
        <w:rPr>
          <w:sz w:val="24"/>
          <w:szCs w:val="24"/>
        </w:rPr>
        <w:t xml:space="preserve">%. </w:t>
      </w:r>
      <w:r w:rsidR="00EA5106">
        <w:rPr>
          <w:sz w:val="24"/>
          <w:szCs w:val="24"/>
        </w:rPr>
        <w:t>Informamos</w:t>
      </w:r>
      <w:r w:rsidR="00577091">
        <w:rPr>
          <w:sz w:val="24"/>
          <w:szCs w:val="24"/>
        </w:rPr>
        <w:t xml:space="preserve"> que nenhum dos dois grupos </w:t>
      </w:r>
      <w:r w:rsidR="00EA5106">
        <w:rPr>
          <w:sz w:val="24"/>
          <w:szCs w:val="24"/>
        </w:rPr>
        <w:t>teve</w:t>
      </w:r>
      <w:r w:rsidR="00577091">
        <w:rPr>
          <w:sz w:val="24"/>
          <w:szCs w:val="24"/>
        </w:rPr>
        <w:t xml:space="preserve"> qualquer contato com situações algébricas formalmente</w:t>
      </w:r>
      <w:r w:rsidR="00EA5106">
        <w:rPr>
          <w:sz w:val="24"/>
          <w:szCs w:val="24"/>
        </w:rPr>
        <w:t>.</w:t>
      </w:r>
      <w:r w:rsidR="00577091">
        <w:rPr>
          <w:sz w:val="24"/>
          <w:szCs w:val="24"/>
        </w:rPr>
        <w:t xml:space="preserve"> </w:t>
      </w:r>
      <w:r w:rsidR="00EA5106">
        <w:rPr>
          <w:sz w:val="24"/>
          <w:szCs w:val="24"/>
        </w:rPr>
        <w:t>Assim,</w:t>
      </w:r>
      <w:r w:rsidR="00577091">
        <w:rPr>
          <w:sz w:val="24"/>
          <w:szCs w:val="24"/>
        </w:rPr>
        <w:t xml:space="preserve"> supo</w:t>
      </w:r>
      <w:r w:rsidR="00EA5106">
        <w:rPr>
          <w:sz w:val="24"/>
          <w:szCs w:val="24"/>
        </w:rPr>
        <w:t>mos</w:t>
      </w:r>
      <w:r w:rsidR="00577091">
        <w:rPr>
          <w:sz w:val="24"/>
          <w:szCs w:val="24"/>
        </w:rPr>
        <w:t xml:space="preserve"> que essa diferença vem do desenvolvimento cognitivo dos grupos. Nesse caso, os </w:t>
      </w:r>
      <w:r w:rsidR="00EA5106">
        <w:rPr>
          <w:sz w:val="24"/>
          <w:szCs w:val="24"/>
        </w:rPr>
        <w:t>alunos</w:t>
      </w:r>
      <w:r w:rsidR="00577091">
        <w:rPr>
          <w:sz w:val="24"/>
          <w:szCs w:val="24"/>
        </w:rPr>
        <w:t xml:space="preserve"> do 6º ano, com idades entre 11 e 12 anos, p</w:t>
      </w:r>
      <w:r w:rsidR="00EA5106">
        <w:rPr>
          <w:sz w:val="24"/>
          <w:szCs w:val="24"/>
        </w:rPr>
        <w:t xml:space="preserve">arecem ter </w:t>
      </w:r>
      <w:r w:rsidR="00753AE5">
        <w:rPr>
          <w:sz w:val="24"/>
          <w:szCs w:val="24"/>
        </w:rPr>
        <w:t>um maior amadurecimento do</w:t>
      </w:r>
      <w:r w:rsidR="00577091">
        <w:rPr>
          <w:sz w:val="24"/>
          <w:szCs w:val="24"/>
        </w:rPr>
        <w:t xml:space="preserve"> raciocínio algébrico</w:t>
      </w:r>
      <w:r w:rsidR="00753AE5">
        <w:rPr>
          <w:sz w:val="24"/>
          <w:szCs w:val="24"/>
        </w:rPr>
        <w:t>, em comparação com os do 4º ano, cujas idades variam entre 9 e 10 anos</w:t>
      </w:r>
      <w:r w:rsidR="00EA5106">
        <w:rPr>
          <w:sz w:val="24"/>
          <w:szCs w:val="24"/>
        </w:rPr>
        <w:t>. É provável que a ausência de interação com situações envolvendo conceitos algébricos, não permitiu que essa diferença fosse maior</w:t>
      </w:r>
      <w:r w:rsidR="00753AE5">
        <w:rPr>
          <w:sz w:val="24"/>
          <w:szCs w:val="24"/>
        </w:rPr>
        <w:t>.</w:t>
      </w:r>
    </w:p>
    <w:p w14:paraId="7E3EF983" w14:textId="3A3FA272" w:rsidR="00B31A31" w:rsidRDefault="00000000">
      <w:pPr>
        <w:spacing w:line="360" w:lineRule="auto"/>
        <w:ind w:firstLine="720"/>
        <w:jc w:val="both"/>
        <w:rPr>
          <w:sz w:val="24"/>
          <w:szCs w:val="24"/>
        </w:rPr>
      </w:pPr>
      <w:r>
        <w:rPr>
          <w:sz w:val="24"/>
          <w:szCs w:val="24"/>
        </w:rPr>
        <w:t xml:space="preserve">A partir dos resultados parciais </w:t>
      </w:r>
      <w:r w:rsidR="00AB7981">
        <w:rPr>
          <w:sz w:val="24"/>
          <w:szCs w:val="24"/>
        </w:rPr>
        <w:t xml:space="preserve">da </w:t>
      </w:r>
      <w:r>
        <w:rPr>
          <w:sz w:val="24"/>
          <w:szCs w:val="24"/>
        </w:rPr>
        <w:t xml:space="preserve">pesquisa, </w:t>
      </w:r>
      <w:r w:rsidR="00AB7981">
        <w:rPr>
          <w:sz w:val="24"/>
          <w:szCs w:val="24"/>
        </w:rPr>
        <w:t xml:space="preserve">identificamos </w:t>
      </w:r>
      <w:r>
        <w:rPr>
          <w:sz w:val="24"/>
          <w:szCs w:val="24"/>
        </w:rPr>
        <w:t>que</w:t>
      </w:r>
      <w:r w:rsidR="00C5347C">
        <w:rPr>
          <w:sz w:val="24"/>
          <w:szCs w:val="24"/>
        </w:rPr>
        <w:t>,</w:t>
      </w:r>
      <w:r>
        <w:rPr>
          <w:sz w:val="24"/>
          <w:szCs w:val="24"/>
        </w:rPr>
        <w:t xml:space="preserve"> embora o</w:t>
      </w:r>
      <w:r w:rsidR="00166C00">
        <w:rPr>
          <w:sz w:val="24"/>
          <w:szCs w:val="24"/>
        </w:rPr>
        <w:t>s percentua</w:t>
      </w:r>
      <w:r w:rsidR="00EA5106">
        <w:rPr>
          <w:sz w:val="24"/>
          <w:szCs w:val="24"/>
        </w:rPr>
        <w:t>is</w:t>
      </w:r>
      <w:r w:rsidR="00166C00">
        <w:rPr>
          <w:sz w:val="24"/>
          <w:szCs w:val="24"/>
        </w:rPr>
        <w:t xml:space="preserve"> de acertos </w:t>
      </w:r>
      <w:r w:rsidR="00AB7981">
        <w:rPr>
          <w:sz w:val="24"/>
          <w:szCs w:val="24"/>
        </w:rPr>
        <w:t xml:space="preserve">não tenham sido altos </w:t>
      </w:r>
      <w:r w:rsidR="00166C00">
        <w:rPr>
          <w:sz w:val="24"/>
          <w:szCs w:val="24"/>
        </w:rPr>
        <w:t xml:space="preserve">(abaixo de 50% nos dois anos), sentimo-nos confortáveis para conjecturar que esses estudantes </w:t>
      </w:r>
      <w:r w:rsidR="00C5347C">
        <w:rPr>
          <w:sz w:val="24"/>
          <w:szCs w:val="24"/>
        </w:rPr>
        <w:t xml:space="preserve">já apresentam </w:t>
      </w:r>
      <w:r w:rsidR="00EA5106">
        <w:rPr>
          <w:sz w:val="24"/>
          <w:szCs w:val="24"/>
        </w:rPr>
        <w:t>algum</w:t>
      </w:r>
      <w:r w:rsidR="00C5347C">
        <w:rPr>
          <w:sz w:val="24"/>
          <w:szCs w:val="24"/>
        </w:rPr>
        <w:t xml:space="preserve"> raciocínio algébrico e que estão</w:t>
      </w:r>
      <w:r w:rsidR="00166C00">
        <w:rPr>
          <w:sz w:val="24"/>
          <w:szCs w:val="24"/>
        </w:rPr>
        <w:t xml:space="preserve"> aptos a desenvolve</w:t>
      </w:r>
      <w:r w:rsidR="00AB7981">
        <w:rPr>
          <w:sz w:val="24"/>
          <w:szCs w:val="24"/>
        </w:rPr>
        <w:t>r</w:t>
      </w:r>
      <w:r w:rsidR="00166C00">
        <w:rPr>
          <w:sz w:val="24"/>
          <w:szCs w:val="24"/>
        </w:rPr>
        <w:t xml:space="preserve"> </w:t>
      </w:r>
      <w:r w:rsidR="00C5347C">
        <w:rPr>
          <w:sz w:val="24"/>
          <w:szCs w:val="24"/>
        </w:rPr>
        <w:t>esse</w:t>
      </w:r>
      <w:r w:rsidR="00166C00">
        <w:rPr>
          <w:sz w:val="24"/>
          <w:szCs w:val="24"/>
        </w:rPr>
        <w:t xml:space="preserve"> raciocínio, desde que situações algébricas sejam informalmente trabalhadas na escolar</w:t>
      </w:r>
      <w:r w:rsidR="00C5347C">
        <w:rPr>
          <w:sz w:val="24"/>
          <w:szCs w:val="24"/>
        </w:rPr>
        <w:t xml:space="preserve">, </w:t>
      </w:r>
      <w:r w:rsidR="00EA5106">
        <w:rPr>
          <w:sz w:val="24"/>
          <w:szCs w:val="24"/>
        </w:rPr>
        <w:t>já</w:t>
      </w:r>
      <w:r w:rsidR="00C5347C">
        <w:rPr>
          <w:sz w:val="24"/>
          <w:szCs w:val="24"/>
        </w:rPr>
        <w:t xml:space="preserve"> desde o 1º ano, </w:t>
      </w:r>
      <w:r w:rsidR="00EA5106">
        <w:rPr>
          <w:sz w:val="24"/>
          <w:szCs w:val="24"/>
        </w:rPr>
        <w:t>focando especialmente a generalização de padrões em sequência</w:t>
      </w:r>
      <w:r>
        <w:rPr>
          <w:sz w:val="24"/>
          <w:szCs w:val="24"/>
        </w:rPr>
        <w:t xml:space="preserve">. </w:t>
      </w:r>
    </w:p>
    <w:p w14:paraId="50F70076" w14:textId="77777777" w:rsidR="00B31A31" w:rsidRDefault="00B31A31">
      <w:pPr>
        <w:spacing w:line="360" w:lineRule="auto"/>
        <w:ind w:firstLine="720"/>
        <w:jc w:val="both"/>
        <w:rPr>
          <w:sz w:val="24"/>
          <w:szCs w:val="24"/>
          <w:highlight w:val="yellow"/>
        </w:rPr>
      </w:pPr>
    </w:p>
    <w:p w14:paraId="2ED9A209" w14:textId="77777777" w:rsidR="00B31A31" w:rsidRDefault="00000000">
      <w:pPr>
        <w:spacing w:after="72" w:line="360" w:lineRule="auto"/>
        <w:jc w:val="both"/>
        <w:rPr>
          <w:b/>
          <w:sz w:val="24"/>
          <w:szCs w:val="24"/>
        </w:rPr>
      </w:pPr>
      <w:r>
        <w:rPr>
          <w:b/>
          <w:sz w:val="24"/>
          <w:szCs w:val="24"/>
        </w:rPr>
        <w:t xml:space="preserve">REFERÊNCIAS </w:t>
      </w:r>
    </w:p>
    <w:p w14:paraId="6E29EDB6" w14:textId="77777777" w:rsidR="00B31A31" w:rsidRPr="00F07D3E" w:rsidRDefault="00000000" w:rsidP="00166C00">
      <w:pPr>
        <w:spacing w:after="120" w:line="240" w:lineRule="auto"/>
        <w:rPr>
          <w:lang w:val="en-US"/>
        </w:rPr>
      </w:pPr>
      <w:r w:rsidRPr="00F07D3E">
        <w:t xml:space="preserve">BRASIL, Ministério da Educação. </w:t>
      </w:r>
      <w:r w:rsidRPr="00F07D3E">
        <w:rPr>
          <w:b/>
        </w:rPr>
        <w:t xml:space="preserve">Base Nacional Comum Curricular. </w:t>
      </w:r>
      <w:r w:rsidRPr="00F07D3E">
        <w:t xml:space="preserve">Secretaria de Educação Básica: Brasília. </w:t>
      </w:r>
      <w:r w:rsidRPr="00F07D3E">
        <w:rPr>
          <w:lang w:val="en-US"/>
        </w:rPr>
        <w:t>SEB/MEC. 2017.</w:t>
      </w:r>
    </w:p>
    <w:p w14:paraId="59915308" w14:textId="77777777" w:rsidR="00B31A31" w:rsidRPr="00F07D3E" w:rsidRDefault="00000000" w:rsidP="00166C00">
      <w:pPr>
        <w:spacing w:after="120" w:line="240" w:lineRule="auto"/>
        <w:ind w:right="67"/>
      </w:pPr>
      <w:r w:rsidRPr="00F07D3E">
        <w:rPr>
          <w:lang w:val="en-US"/>
        </w:rPr>
        <w:t xml:space="preserve">BLANTON, M.; KAPUT, J. Characterizing a classroom practice that promotes algebraic reasoning. </w:t>
      </w:r>
      <w:proofErr w:type="spellStart"/>
      <w:r w:rsidRPr="00F07D3E">
        <w:t>Journal</w:t>
      </w:r>
      <w:proofErr w:type="spellEnd"/>
      <w:r w:rsidRPr="00F07D3E">
        <w:t xml:space="preserve"> for </w:t>
      </w:r>
      <w:proofErr w:type="spellStart"/>
      <w:r w:rsidRPr="00F07D3E">
        <w:t>Research</w:t>
      </w:r>
      <w:proofErr w:type="spellEnd"/>
      <w:r w:rsidRPr="00F07D3E">
        <w:t xml:space="preserve"> in </w:t>
      </w:r>
      <w:proofErr w:type="spellStart"/>
      <w:r w:rsidRPr="00F07D3E">
        <w:t>Mathematics</w:t>
      </w:r>
      <w:proofErr w:type="spellEnd"/>
      <w:r w:rsidRPr="00F07D3E">
        <w:t xml:space="preserve"> </w:t>
      </w:r>
      <w:proofErr w:type="spellStart"/>
      <w:r w:rsidRPr="00F07D3E">
        <w:t>Education</w:t>
      </w:r>
      <w:proofErr w:type="spellEnd"/>
      <w:r w:rsidRPr="00F07D3E">
        <w:t>, v.36, n.5, p.412-46, 2005.</w:t>
      </w:r>
    </w:p>
    <w:p w14:paraId="58983B69" w14:textId="38657565" w:rsidR="00F07D3E" w:rsidRPr="00F07D3E" w:rsidRDefault="00F07D3E" w:rsidP="00166C00">
      <w:pPr>
        <w:spacing w:after="120" w:line="240" w:lineRule="auto"/>
        <w:ind w:right="67"/>
      </w:pPr>
      <w:r w:rsidRPr="00F07D3E">
        <w:rPr>
          <w:lang w:val="en-US"/>
        </w:rPr>
        <w:t xml:space="preserve">BLANTON et. al In Victor, J. K. (Ed.) </w:t>
      </w:r>
      <w:r w:rsidRPr="00F07D3E">
        <w:rPr>
          <w:bCs/>
          <w:i/>
          <w:lang w:val="en-US"/>
        </w:rPr>
        <w:t>Algebra</w:t>
      </w:r>
      <w:r w:rsidRPr="00F07D3E">
        <w:rPr>
          <w:i/>
          <w:lang w:val="en-US"/>
        </w:rPr>
        <w:t>: Gateway to a Technological Future</w:t>
      </w:r>
      <w:r w:rsidRPr="00F07D3E">
        <w:rPr>
          <w:lang w:val="en-US"/>
        </w:rPr>
        <w:t xml:space="preserve">. </w:t>
      </w:r>
      <w:r w:rsidRPr="00F07D3E">
        <w:t xml:space="preserve">Columbia/USA: The </w:t>
      </w:r>
      <w:proofErr w:type="spellStart"/>
      <w:r w:rsidRPr="00F07D3E">
        <w:t>Mathematical</w:t>
      </w:r>
      <w:proofErr w:type="spellEnd"/>
      <w:r w:rsidRPr="00F07D3E">
        <w:t xml:space="preserve"> </w:t>
      </w:r>
      <w:proofErr w:type="spellStart"/>
      <w:r w:rsidRPr="00F07D3E">
        <w:t>Association</w:t>
      </w:r>
      <w:proofErr w:type="spellEnd"/>
      <w:r w:rsidRPr="00F07D3E">
        <w:t xml:space="preserve"> </w:t>
      </w:r>
      <w:proofErr w:type="spellStart"/>
      <w:r w:rsidRPr="00F07D3E">
        <w:t>of</w:t>
      </w:r>
      <w:proofErr w:type="spellEnd"/>
      <w:r w:rsidRPr="00F07D3E">
        <w:t xml:space="preserve"> </w:t>
      </w:r>
      <w:proofErr w:type="spellStart"/>
      <w:r w:rsidRPr="00F07D3E">
        <w:t>America</w:t>
      </w:r>
      <w:proofErr w:type="spellEnd"/>
      <w:r w:rsidRPr="00F07D3E">
        <w:t>, 2007</w:t>
      </w:r>
    </w:p>
    <w:p w14:paraId="0F6CF810" w14:textId="77777777" w:rsidR="00B31A31" w:rsidRPr="00F07D3E" w:rsidRDefault="00000000" w:rsidP="00166C00">
      <w:pPr>
        <w:spacing w:after="120" w:line="240" w:lineRule="auto"/>
        <w:ind w:right="98"/>
      </w:pPr>
      <w:r w:rsidRPr="00F07D3E">
        <w:t xml:space="preserve">YAMANAKA, O.; MAGINA, S. Um estudo da “Early </w:t>
      </w:r>
      <w:proofErr w:type="spellStart"/>
      <w:r w:rsidRPr="00F07D3E">
        <w:t>Algebra</w:t>
      </w:r>
      <w:proofErr w:type="spellEnd"/>
      <w:r w:rsidRPr="00F07D3E">
        <w:t xml:space="preserve">” sob a luz da Teoria dos Campos Conceituais de Gerard Vergnaud. In: </w:t>
      </w:r>
      <w:r w:rsidRPr="00F07D3E">
        <w:rPr>
          <w:b/>
        </w:rPr>
        <w:t>ENCONTRO PAULISTA DE EDUCAÇÃO MATEMÁTICA,</w:t>
      </w:r>
      <w:r w:rsidRPr="00F07D3E">
        <w:t xml:space="preserve"> 9. 2008, Bauru. Anais... São Paulo: SBEM/SBEMSP, 2008. </w:t>
      </w:r>
    </w:p>
    <w:p w14:paraId="61676DCE" w14:textId="5017F100" w:rsidR="00F07D3E" w:rsidRPr="00F07D3E" w:rsidRDefault="00F07D3E" w:rsidP="00C5347C">
      <w:pPr>
        <w:spacing w:after="120" w:line="240" w:lineRule="auto"/>
        <w:ind w:right="98"/>
      </w:pPr>
      <w:r w:rsidRPr="00F07D3E">
        <w:t>MAGINA, S. A Produção do Conhecimento sob a Ótica do Grupo de Pesquisa</w:t>
      </w:r>
      <w:r w:rsidRPr="00F07D3E">
        <w:rPr>
          <w:b/>
          <w:bCs/>
        </w:rPr>
        <w:t xml:space="preserve"> </w:t>
      </w:r>
      <w:r w:rsidRPr="00F07D3E">
        <w:t>RePARe</w:t>
      </w:r>
      <w:r>
        <w:t>. INTERMATHS (no prelo).</w:t>
      </w:r>
    </w:p>
    <w:p w14:paraId="4BCB66A2" w14:textId="7AED1353" w:rsidR="00B31A31" w:rsidRPr="00F07D3E" w:rsidRDefault="00000000" w:rsidP="00166C00">
      <w:pPr>
        <w:shd w:val="clear" w:color="auto" w:fill="FFFFFF"/>
        <w:spacing w:after="120" w:line="240" w:lineRule="auto"/>
      </w:pPr>
      <w:r w:rsidRPr="00F07D3E">
        <w:t>RIBEIRO, A. J.; CURY, H. N. Álgebra para a formação do professor: explorando os conceitos de equação e de função. Belo Horizonte: Autêntica Editora, 2015. (Col. Tendências em Educação Matemática).</w:t>
      </w:r>
    </w:p>
    <w:p w14:paraId="546500F0" w14:textId="5C96E9BB" w:rsidR="00B31A31" w:rsidRPr="00F07D3E" w:rsidRDefault="00000000" w:rsidP="004063B0">
      <w:pPr>
        <w:spacing w:line="240" w:lineRule="auto"/>
      </w:pPr>
      <w:r w:rsidRPr="00166C00">
        <w:rPr>
          <w:lang w:val="en-US"/>
        </w:rPr>
        <w:t xml:space="preserve">SCHLIEMANN, A.D, et al.  </w:t>
      </w:r>
      <w:r w:rsidRPr="00F07D3E">
        <w:rPr>
          <w:lang w:val="en-US"/>
        </w:rPr>
        <w:t xml:space="preserve">Equations in Elementary School. In </w:t>
      </w:r>
      <w:proofErr w:type="spellStart"/>
      <w:r w:rsidRPr="00F07D3E">
        <w:rPr>
          <w:lang w:val="en-US"/>
        </w:rPr>
        <w:t>Lindmeier</w:t>
      </w:r>
      <w:proofErr w:type="spellEnd"/>
      <w:r w:rsidRPr="00F07D3E">
        <w:rPr>
          <w:lang w:val="en-US"/>
        </w:rPr>
        <w:t xml:space="preserve">, A. M. &amp; Heinze, A. (Eds.). Proceedings of the 37th Conference of the International Group for the Psychology of Mathematics Education, Vol. 4, pp. 161-168. </w:t>
      </w:r>
      <w:r w:rsidRPr="00F07D3E">
        <w:t xml:space="preserve">Kiel, </w:t>
      </w:r>
      <w:proofErr w:type="spellStart"/>
      <w:r w:rsidRPr="00F07D3E">
        <w:t>Germany</w:t>
      </w:r>
      <w:proofErr w:type="spellEnd"/>
      <w:r w:rsidRPr="00F07D3E">
        <w:t>: PME. 2013.</w:t>
      </w:r>
    </w:p>
    <w:sectPr w:rsidR="00B31A31" w:rsidRPr="00F07D3E">
      <w:headerReference w:type="default" r:id="rId6"/>
      <w:pgSz w:w="11909" w:h="16834"/>
      <w:pgMar w:top="144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33AF" w14:textId="77777777" w:rsidR="00F37D54" w:rsidRDefault="00F37D54">
      <w:pPr>
        <w:spacing w:line="240" w:lineRule="auto"/>
      </w:pPr>
      <w:r>
        <w:separator/>
      </w:r>
    </w:p>
  </w:endnote>
  <w:endnote w:type="continuationSeparator" w:id="0">
    <w:p w14:paraId="15A23B64" w14:textId="77777777" w:rsidR="00F37D54" w:rsidRDefault="00F37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3310" w14:textId="77777777" w:rsidR="00F37D54" w:rsidRDefault="00F37D54">
      <w:pPr>
        <w:spacing w:line="240" w:lineRule="auto"/>
      </w:pPr>
      <w:r>
        <w:separator/>
      </w:r>
    </w:p>
  </w:footnote>
  <w:footnote w:type="continuationSeparator" w:id="0">
    <w:p w14:paraId="5E58B2AE" w14:textId="77777777" w:rsidR="00F37D54" w:rsidRDefault="00F37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ED6D" w14:textId="77777777" w:rsidR="00B31A31" w:rsidRDefault="00000000">
    <w:pPr>
      <w:jc w:val="right"/>
    </w:pPr>
    <w:r>
      <w:rPr>
        <w:noProof/>
      </w:rPr>
      <w:drawing>
        <wp:inline distT="0" distB="0" distL="0" distR="0" wp14:anchorId="4F314EA3" wp14:editId="31A2944A">
          <wp:extent cx="5776608" cy="1238897"/>
          <wp:effectExtent l="0" t="0" r="0" b="0"/>
          <wp:docPr id="1" name="image1.png" descr="C:\Users\Carloney\Desktop\AT\EVENTO TEMA 2023\LOGOMARCA\LOGO FUNDO TRANSP HORIZONTAL.png"/>
          <wp:cNvGraphicFramePr/>
          <a:graphic xmlns:a="http://schemas.openxmlformats.org/drawingml/2006/main">
            <a:graphicData uri="http://schemas.openxmlformats.org/drawingml/2006/picture">
              <pic:pic xmlns:pic="http://schemas.openxmlformats.org/drawingml/2006/picture">
                <pic:nvPicPr>
                  <pic:cNvPr id="0" name="image1.png" descr="C:\Users\Carloney\Desktop\AT\EVENTO TEMA 2023\LOGOMARCA\LOGO FUNDO TRANSP HORIZONTAL.png"/>
                  <pic:cNvPicPr preferRelativeResize="0"/>
                </pic:nvPicPr>
                <pic:blipFill>
                  <a:blip r:embed="rId1"/>
                  <a:srcRect/>
                  <a:stretch>
                    <a:fillRect/>
                  </a:stretch>
                </pic:blipFill>
                <pic:spPr>
                  <a:xfrm>
                    <a:off x="0" y="0"/>
                    <a:ext cx="5776608" cy="1238897"/>
                  </a:xfrm>
                  <a:prstGeom prst="rect">
                    <a:avLst/>
                  </a:prstGeom>
                  <a:ln/>
                </pic:spPr>
              </pic:pic>
            </a:graphicData>
          </a:graphic>
        </wp:inline>
      </w:drawing>
    </w:r>
  </w:p>
  <w:p w14:paraId="04C2260C" w14:textId="77777777" w:rsidR="00B31A31" w:rsidRDefault="00000000">
    <w:pPr>
      <w:tabs>
        <w:tab w:val="center" w:pos="4514"/>
        <w:tab w:val="right" w:pos="9029"/>
      </w:tabs>
      <w:spacing w:line="240" w:lineRule="auto"/>
      <w:rPr>
        <w:rFonts w:ascii="Arial Rounded" w:eastAsia="Arial Rounded" w:hAnsi="Arial Rounded" w:cs="Arial Rounded"/>
        <w:b/>
        <w:color w:val="002060"/>
      </w:rPr>
    </w:pPr>
    <w:r>
      <w:rPr>
        <w:rFonts w:ascii="Arial Rounded" w:eastAsia="Arial Rounded" w:hAnsi="Arial Rounded" w:cs="Arial Rounded"/>
        <w:b/>
        <w:color w:val="002060"/>
      </w:rPr>
      <w:tab/>
    </w:r>
    <w:r>
      <w:rPr>
        <w:rFonts w:ascii="Arial Rounded" w:eastAsia="Arial Rounded" w:hAnsi="Arial Rounded" w:cs="Arial Rounded"/>
        <w:b/>
        <w:color w:val="002060"/>
      </w:rPr>
      <w:tab/>
      <w:t>18 a 20 de outubro de 2023</w:t>
    </w:r>
  </w:p>
  <w:p w14:paraId="273A5DB9" w14:textId="77777777" w:rsidR="00B31A31" w:rsidRDefault="00000000">
    <w:pPr>
      <w:jc w:val="right"/>
      <w:rPr>
        <w:rFonts w:ascii="Arial Rounded" w:eastAsia="Arial Rounded" w:hAnsi="Arial Rounded" w:cs="Arial Rounded"/>
        <w:b/>
        <w:color w:val="002060"/>
      </w:rPr>
    </w:pPr>
    <w:r>
      <w:rPr>
        <w:rFonts w:ascii="Arial Rounded" w:eastAsia="Arial Rounded" w:hAnsi="Arial Rounded" w:cs="Arial Rounded"/>
        <w:b/>
        <w:color w:val="002060"/>
      </w:rPr>
      <w:t>ISSN: 2764-9059</w:t>
    </w:r>
  </w:p>
  <w:p w14:paraId="052A4100" w14:textId="77777777" w:rsidR="00B31A31" w:rsidRDefault="00000000">
    <w:pPr>
      <w:jc w:val="right"/>
      <w:rPr>
        <w:rFonts w:ascii="Arial Rounded" w:eastAsia="Arial Rounded" w:hAnsi="Arial Rounded" w:cs="Arial Rounded"/>
        <w:b/>
        <w:color w:val="002060"/>
      </w:rPr>
    </w:pPr>
    <w:r>
      <w:rPr>
        <w:noProof/>
      </w:rPr>
      <w:pict w14:anchorId="451FA2E4">
        <v:rect id="_x0000_i1025" alt="" style="width:425.2pt;height:.05pt;mso-width-percent:0;mso-height-percent:0;mso-width-percent:0;mso-height-percent:0"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31"/>
    <w:rsid w:val="00002A45"/>
    <w:rsid w:val="000A2F98"/>
    <w:rsid w:val="00166C00"/>
    <w:rsid w:val="00263146"/>
    <w:rsid w:val="0040128D"/>
    <w:rsid w:val="004063B0"/>
    <w:rsid w:val="00577091"/>
    <w:rsid w:val="00753AE5"/>
    <w:rsid w:val="00760797"/>
    <w:rsid w:val="0077320B"/>
    <w:rsid w:val="007B5088"/>
    <w:rsid w:val="00941B7B"/>
    <w:rsid w:val="00AB7981"/>
    <w:rsid w:val="00B31A31"/>
    <w:rsid w:val="00B964B0"/>
    <w:rsid w:val="00C5347C"/>
    <w:rsid w:val="00D4715E"/>
    <w:rsid w:val="00D56F0E"/>
    <w:rsid w:val="00EA5106"/>
    <w:rsid w:val="00F07D3E"/>
    <w:rsid w:val="00F3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4BAF5"/>
  <w15:docId w15:val="{A80BF048-622B-7249-9D9D-CF0A9852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CÁSSIA CALAZANS</dc:creator>
  <cp:lastModifiedBy>CÁSSIA CALAZANS</cp:lastModifiedBy>
  <cp:revision>4</cp:revision>
  <dcterms:created xsi:type="dcterms:W3CDTF">2023-06-28T21:06:00Z</dcterms:created>
  <dcterms:modified xsi:type="dcterms:W3CDTF">2023-06-28T21:08:00Z</dcterms:modified>
</cp:coreProperties>
</file>