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AD7D0" w14:textId="77777777" w:rsidR="00251D43" w:rsidRDefault="00251D43">
      <w:pPr>
        <w:spacing w:line="360" w:lineRule="auto"/>
        <w:rPr>
          <w:sz w:val="24"/>
          <w:szCs w:val="24"/>
        </w:rPr>
      </w:pPr>
    </w:p>
    <w:p w14:paraId="1EAAD7D1" w14:textId="77777777" w:rsidR="00251D43" w:rsidRDefault="00251D43">
      <w:pPr>
        <w:spacing w:line="360" w:lineRule="auto"/>
        <w:jc w:val="center"/>
        <w:rPr>
          <w:b/>
          <w:bCs/>
          <w:sz w:val="24"/>
          <w:szCs w:val="24"/>
        </w:rPr>
      </w:pPr>
    </w:p>
    <w:p w14:paraId="1EAAD7D2" w14:textId="77777777" w:rsidR="00251D43" w:rsidRDefault="00251D43" w:rsidP="004F5266">
      <w:pPr>
        <w:spacing w:line="360" w:lineRule="auto"/>
        <w:jc w:val="center"/>
        <w:rPr>
          <w:b/>
          <w:bCs/>
          <w:sz w:val="24"/>
          <w:szCs w:val="24"/>
        </w:rPr>
      </w:pPr>
    </w:p>
    <w:p w14:paraId="1EAAD7D4" w14:textId="42F7AACD" w:rsidR="00251D43" w:rsidRDefault="00B45221" w:rsidP="004F5266">
      <w:pPr>
        <w:tabs>
          <w:tab w:val="left" w:pos="1540"/>
        </w:tabs>
        <w:spacing w:line="360" w:lineRule="auto"/>
        <w:ind w:left="-360"/>
        <w:jc w:val="right"/>
        <w:rPr>
          <w:sz w:val="24"/>
          <w:szCs w:val="24"/>
        </w:rPr>
      </w:pPr>
      <w:r w:rsidRPr="00B45221">
        <w:rPr>
          <w:b/>
          <w:bCs/>
          <w:sz w:val="24"/>
          <w:szCs w:val="24"/>
        </w:rPr>
        <w:t>EVOLUÇÃO DAS ESTRATÉGIAS DE ADMINISTRAÇÃO INTRANASAL PARA ENTREGA DE FÁRMACOS AO SISTEMA NERVOSO CENTRAL: UMA REVISÃO INTEGRATIVA DA ÚLTIMA DÉCADA (2016–2026)</w:t>
      </w:r>
    </w:p>
    <w:p w14:paraId="1EAAD7D5" w14:textId="22EFE4FA" w:rsidR="00251D43" w:rsidRDefault="002E63C7" w:rsidP="004F5266">
      <w:pPr>
        <w:tabs>
          <w:tab w:val="left" w:pos="1540"/>
        </w:tabs>
        <w:spacing w:line="360" w:lineRule="auto"/>
        <w:ind w:left="-360"/>
        <w:jc w:val="right"/>
        <w:rPr>
          <w:sz w:val="24"/>
          <w:szCs w:val="24"/>
        </w:rPr>
      </w:pPr>
      <w:r>
        <w:rPr>
          <w:sz w:val="24"/>
          <w:szCs w:val="24"/>
        </w:rPr>
        <w:t>Gabriel Cardoso de Brito</w:t>
      </w:r>
      <w:r w:rsidR="00774866">
        <w:rPr>
          <w:sz w:val="24"/>
          <w:szCs w:val="24"/>
        </w:rPr>
        <w:t>:</w:t>
      </w:r>
      <w:r w:rsidR="00774866">
        <w:rPr>
          <w:sz w:val="24"/>
          <w:szCs w:val="24"/>
          <w:vertAlign w:val="superscript"/>
        </w:rPr>
        <w:footnoteReference w:id="1"/>
      </w:r>
    </w:p>
    <w:p w14:paraId="52418FAE" w14:textId="6C910908" w:rsidR="002A76FD" w:rsidRDefault="00774866" w:rsidP="002A76FD">
      <w:pPr>
        <w:tabs>
          <w:tab w:val="left" w:pos="1540"/>
        </w:tabs>
        <w:spacing w:line="360" w:lineRule="auto"/>
        <w:ind w:left="-360"/>
        <w:jc w:val="right"/>
        <w:rPr>
          <w:sz w:val="24"/>
          <w:szCs w:val="24"/>
        </w:rPr>
      </w:pPr>
      <w:r>
        <w:rPr>
          <w:sz w:val="24"/>
          <w:szCs w:val="24"/>
        </w:rPr>
        <w:t>C</w:t>
      </w:r>
      <w:r w:rsidR="00304D25">
        <w:rPr>
          <w:sz w:val="24"/>
          <w:szCs w:val="24"/>
        </w:rPr>
        <w:t>amila Fortes Castelo Branco Magalhães</w:t>
      </w:r>
      <w:r w:rsidR="002A76FD">
        <w:rPr>
          <w:sz w:val="24"/>
          <w:szCs w:val="24"/>
        </w:rPr>
        <w:t>:</w:t>
      </w:r>
      <w:r w:rsidR="00384396" w:rsidRPr="00384396">
        <w:rPr>
          <w:sz w:val="24"/>
          <w:szCs w:val="24"/>
          <w:vertAlign w:val="superscript"/>
        </w:rPr>
        <w:t xml:space="preserve"> </w:t>
      </w:r>
      <w:r w:rsidR="00384396">
        <w:rPr>
          <w:sz w:val="24"/>
          <w:szCs w:val="24"/>
          <w:vertAlign w:val="superscript"/>
        </w:rPr>
        <w:footnoteReference w:id="2"/>
      </w:r>
    </w:p>
    <w:p w14:paraId="1EAAD7D9" w14:textId="3831F016" w:rsidR="00251D43" w:rsidRDefault="00251D43" w:rsidP="004F5266">
      <w:pPr>
        <w:tabs>
          <w:tab w:val="left" w:pos="2060"/>
        </w:tabs>
        <w:spacing w:line="360" w:lineRule="auto"/>
        <w:ind w:left="-360"/>
        <w:jc w:val="right"/>
        <w:rPr>
          <w:sz w:val="24"/>
          <w:szCs w:val="24"/>
        </w:rPr>
      </w:pPr>
    </w:p>
    <w:p w14:paraId="1EAAD7DA" w14:textId="77777777" w:rsidR="00251D43" w:rsidRDefault="00251D43" w:rsidP="004F5266">
      <w:pPr>
        <w:tabs>
          <w:tab w:val="left" w:pos="2060"/>
          <w:tab w:val="left" w:pos="7240"/>
        </w:tabs>
        <w:spacing w:line="360" w:lineRule="auto"/>
        <w:ind w:left="-360"/>
        <w:jc w:val="right"/>
        <w:rPr>
          <w:sz w:val="24"/>
          <w:szCs w:val="24"/>
        </w:rPr>
      </w:pPr>
    </w:p>
    <w:p w14:paraId="421ADDB4" w14:textId="1F75F6D8" w:rsidR="00B13AD6" w:rsidRPr="00B13AD6" w:rsidRDefault="00774866" w:rsidP="004F5266">
      <w:pPr>
        <w:spacing w:line="360" w:lineRule="auto"/>
        <w:jc w:val="center"/>
        <w:rPr>
          <w:sz w:val="24"/>
          <w:szCs w:val="24"/>
        </w:rPr>
      </w:pPr>
      <w:r>
        <w:rPr>
          <w:b/>
          <w:bCs/>
          <w:sz w:val="24"/>
          <w:szCs w:val="24"/>
        </w:rPr>
        <w:t>RESUMO</w:t>
      </w:r>
    </w:p>
    <w:p w14:paraId="207E020B" w14:textId="221F9590" w:rsidR="008416CC" w:rsidRDefault="00B13AD6" w:rsidP="004F5266">
      <w:pPr>
        <w:jc w:val="both"/>
        <w:rPr>
          <w:sz w:val="24"/>
          <w:szCs w:val="24"/>
        </w:rPr>
      </w:pPr>
      <w:r w:rsidRPr="00B13AD6">
        <w:rPr>
          <w:sz w:val="24"/>
          <w:szCs w:val="24"/>
        </w:rPr>
        <w:t xml:space="preserve">A entrega de fármacos ao sistema nervoso central apresenta limitações relacionadas principalmente à barreira hematoencefálica, estimulando o desenvolvimento de estratégias capazes de favorecer o acesso de substâncias ao tecido cerebral. Nesse contexto, a administração intranasal e a abordagem </w:t>
      </w:r>
      <w:proofErr w:type="spellStart"/>
      <w:r w:rsidRPr="00E74B47">
        <w:rPr>
          <w:i/>
          <w:iCs/>
          <w:sz w:val="24"/>
          <w:szCs w:val="24"/>
        </w:rPr>
        <w:t>nose-to-brain</w:t>
      </w:r>
      <w:proofErr w:type="spellEnd"/>
      <w:r w:rsidRPr="00B13AD6">
        <w:rPr>
          <w:sz w:val="24"/>
          <w:szCs w:val="24"/>
        </w:rPr>
        <w:t xml:space="preserve"> têm sido investigadas como alternativas menos invasivas para a entrega de fármacos ao sistema nervoso central. O objetivo deste estudo foi analisar a evolução científica e tecnológica das estratégias de administração intranasal utilizadas para essa finalidade entre 2016 e 2026. Trata-se de uma revisão integrativa da literatura, de caráter qualitativo, descritivo e exploratório, realizada nas bases </w:t>
      </w:r>
      <w:proofErr w:type="spellStart"/>
      <w:r w:rsidRPr="00B13AD6">
        <w:rPr>
          <w:sz w:val="24"/>
          <w:szCs w:val="24"/>
        </w:rPr>
        <w:t>PubMed</w:t>
      </w:r>
      <w:proofErr w:type="spellEnd"/>
      <w:r w:rsidRPr="00B13AD6">
        <w:rPr>
          <w:sz w:val="24"/>
          <w:szCs w:val="24"/>
        </w:rPr>
        <w:t xml:space="preserve">/MEDLINE e LILACS, utilizando termos em português e inglês relacionados à administração intranasal, entrega de fármacos ao cérebro e sistema nervoso central, combinados pelos operadores booleanos AND e OR. Foram considerados estudos publicados entre 2016 e 2026, com texto completo gratuito, sendo selecionados 15 estudos para análise. Os resultados evidenciaram a evolução de estratégias envolvendo peptídeos de penetração celular, formulações mucoadesivas e </w:t>
      </w:r>
      <w:proofErr w:type="spellStart"/>
      <w:r w:rsidRPr="00B13AD6">
        <w:rPr>
          <w:sz w:val="24"/>
          <w:szCs w:val="24"/>
        </w:rPr>
        <w:t>lipossomais</w:t>
      </w:r>
      <w:proofErr w:type="spellEnd"/>
      <w:r w:rsidRPr="00B13AD6">
        <w:rPr>
          <w:sz w:val="24"/>
          <w:szCs w:val="24"/>
        </w:rPr>
        <w:t xml:space="preserve"> para sistemas mais complexos, incluindo nanopartículas lipídicas, </w:t>
      </w:r>
      <w:proofErr w:type="spellStart"/>
      <w:r w:rsidRPr="00B13AD6">
        <w:rPr>
          <w:sz w:val="24"/>
          <w:szCs w:val="24"/>
        </w:rPr>
        <w:t>hidrogéis</w:t>
      </w:r>
      <w:proofErr w:type="spellEnd"/>
      <w:r w:rsidRPr="00B13AD6">
        <w:rPr>
          <w:sz w:val="24"/>
          <w:szCs w:val="24"/>
        </w:rPr>
        <w:t xml:space="preserve"> </w:t>
      </w:r>
      <w:proofErr w:type="spellStart"/>
      <w:r w:rsidRPr="00B13AD6">
        <w:rPr>
          <w:sz w:val="24"/>
          <w:szCs w:val="24"/>
        </w:rPr>
        <w:t>termossensíveis</w:t>
      </w:r>
      <w:proofErr w:type="spellEnd"/>
      <w:r w:rsidRPr="00B13AD6">
        <w:rPr>
          <w:sz w:val="24"/>
          <w:szCs w:val="24"/>
        </w:rPr>
        <w:t>, dispositivos de deposição direcionada e ferramentas de modelagem computacional. Também foram identificados avanços na investigação clínica, embora permaneçam desafios relacionados à segurança, padronização, deposição nasal e translação dos resultados pré-clínicos para seres humanos. Conclui-se que a evolução da administração intranasal ocorreu pela integração progressiva entre formulações, sistemas de liberação e dispositivos, mantendo como principal desafio a consolidação de evidências clínicas capazes de sustentar sua aplicação terapêutica.</w:t>
      </w:r>
    </w:p>
    <w:p w14:paraId="30B983C4" w14:textId="77777777" w:rsidR="00A26476" w:rsidRPr="008416CC" w:rsidRDefault="00A26476" w:rsidP="004F5266">
      <w:pPr>
        <w:jc w:val="both"/>
        <w:rPr>
          <w:sz w:val="24"/>
          <w:szCs w:val="24"/>
        </w:rPr>
      </w:pPr>
    </w:p>
    <w:p w14:paraId="1EAAD7DE" w14:textId="739DA5E3" w:rsidR="00251D43" w:rsidRDefault="00774866" w:rsidP="004F5266">
      <w:pPr>
        <w:jc w:val="both"/>
        <w:rPr>
          <w:i/>
          <w:iCs/>
          <w:sz w:val="24"/>
          <w:szCs w:val="24"/>
        </w:rPr>
      </w:pPr>
      <w:r>
        <w:rPr>
          <w:b/>
          <w:bCs/>
          <w:sz w:val="24"/>
          <w:szCs w:val="24"/>
        </w:rPr>
        <w:t xml:space="preserve">Palavras-chave: </w:t>
      </w:r>
      <w:r w:rsidR="00A26476" w:rsidRPr="00A26476">
        <w:rPr>
          <w:sz w:val="24"/>
          <w:szCs w:val="24"/>
        </w:rPr>
        <w:t>Administração intranasal</w:t>
      </w:r>
      <w:r>
        <w:rPr>
          <w:sz w:val="24"/>
          <w:szCs w:val="24"/>
        </w:rPr>
        <w:t xml:space="preserve">. </w:t>
      </w:r>
      <w:proofErr w:type="spellStart"/>
      <w:r w:rsidR="00A26476" w:rsidRPr="00A26476">
        <w:rPr>
          <w:sz w:val="24"/>
          <w:szCs w:val="24"/>
        </w:rPr>
        <w:t>Nose-to-brain</w:t>
      </w:r>
      <w:proofErr w:type="spellEnd"/>
      <w:r w:rsidR="00A26476" w:rsidRPr="00A26476">
        <w:rPr>
          <w:sz w:val="24"/>
          <w:szCs w:val="24"/>
        </w:rPr>
        <w:t xml:space="preserve">. Sistema nervoso central. </w:t>
      </w:r>
      <w:proofErr w:type="spellStart"/>
      <w:r w:rsidR="00A26476" w:rsidRPr="00A26476">
        <w:rPr>
          <w:sz w:val="24"/>
          <w:szCs w:val="24"/>
        </w:rPr>
        <w:t>Nanocarreadores</w:t>
      </w:r>
      <w:proofErr w:type="spellEnd"/>
      <w:r w:rsidR="00A26476" w:rsidRPr="00A26476">
        <w:rPr>
          <w:sz w:val="24"/>
          <w:szCs w:val="24"/>
        </w:rPr>
        <w:t>. Entrega de fármacos.</w:t>
      </w:r>
    </w:p>
    <w:p w14:paraId="1EAAD7DF" w14:textId="77777777" w:rsidR="00251D43" w:rsidRDefault="00251D43" w:rsidP="004F5266">
      <w:pPr>
        <w:spacing w:line="360" w:lineRule="auto"/>
        <w:rPr>
          <w:sz w:val="24"/>
          <w:szCs w:val="24"/>
        </w:rPr>
      </w:pPr>
    </w:p>
    <w:p w14:paraId="1EAAD7E0" w14:textId="77777777" w:rsidR="00251D43" w:rsidRDefault="00774866" w:rsidP="004F5266">
      <w:pPr>
        <w:spacing w:line="360" w:lineRule="auto"/>
        <w:rPr>
          <w:sz w:val="24"/>
          <w:szCs w:val="24"/>
        </w:rPr>
      </w:pPr>
      <w:bookmarkStart w:id="0" w:name="f5vk82do5j7i" w:colFirst="0" w:colLast="0"/>
      <w:bookmarkEnd w:id="0"/>
      <w:r>
        <w:rPr>
          <w:b/>
          <w:bCs/>
          <w:sz w:val="24"/>
          <w:szCs w:val="24"/>
        </w:rPr>
        <w:t>1 INTRODUÇÃO</w:t>
      </w:r>
    </w:p>
    <w:p w14:paraId="1EAAD7E2" w14:textId="38917AC3" w:rsidR="00251D43" w:rsidRPr="00B45221" w:rsidRDefault="00251D43" w:rsidP="004F5266">
      <w:pPr>
        <w:spacing w:line="360" w:lineRule="auto"/>
        <w:ind w:firstLine="720"/>
        <w:jc w:val="both"/>
        <w:rPr>
          <w:sz w:val="24"/>
          <w:szCs w:val="24"/>
        </w:rPr>
      </w:pPr>
    </w:p>
    <w:p w14:paraId="07570F68" w14:textId="23173E2A" w:rsidR="00477323" w:rsidRPr="00477323" w:rsidRDefault="00477323" w:rsidP="004F5266">
      <w:pPr>
        <w:spacing w:line="360" w:lineRule="auto"/>
        <w:ind w:firstLine="709"/>
        <w:jc w:val="both"/>
        <w:rPr>
          <w:sz w:val="24"/>
          <w:szCs w:val="24"/>
        </w:rPr>
      </w:pPr>
      <w:r w:rsidRPr="00477323">
        <w:rPr>
          <w:sz w:val="24"/>
          <w:szCs w:val="24"/>
        </w:rPr>
        <w:lastRenderedPageBreak/>
        <w:t>As doenças e os transtornos do sistema nervoso central (SNC) representam um importante desafio para os sistemas de saúde, tanto pela elevada carga de incapacidade associada a essas condições quanto pelas dificuldades relacionadas ao desenvolvimento de terapias capazes de alcançar adequadamente o tecido cerebral (</w:t>
      </w:r>
      <w:proofErr w:type="spellStart"/>
      <w:r w:rsidRPr="00477323">
        <w:rPr>
          <w:sz w:val="24"/>
          <w:szCs w:val="24"/>
        </w:rPr>
        <w:t>Trevino</w:t>
      </w:r>
      <w:proofErr w:type="spellEnd"/>
      <w:r w:rsidRPr="00477323">
        <w:rPr>
          <w:sz w:val="24"/>
          <w:szCs w:val="24"/>
        </w:rPr>
        <w:t xml:space="preserve"> et al., 2020; Liu et al., 2026). Doenças como Alzheimer, Parkinson, esclerose múltipla, acidentes vasculares cerebrais e tumores cerebrais demandam estratégias terapêuticas direcionadas ao SNC. Entretanto, a eficácia de um tratamento não depende apenas</w:t>
      </w:r>
      <w:r w:rsidR="00E816CB">
        <w:rPr>
          <w:sz w:val="24"/>
          <w:szCs w:val="24"/>
        </w:rPr>
        <w:t xml:space="preserve"> </w:t>
      </w:r>
      <w:r w:rsidRPr="00477323">
        <w:rPr>
          <w:sz w:val="24"/>
          <w:szCs w:val="24"/>
        </w:rPr>
        <w:t xml:space="preserve">da atividade farmacológica da molécula, mas também da capacidade de transportá-la até seu sítio de ação. Nesse contexto, a barreira hematoencefálica (BHE), formada por estruturas altamente seletivas que regulam a passagem de substâncias da circulação para o tecido cerebral, constitui um dos principais obstáculos à entrega de fármacos ao SNC (Lee; </w:t>
      </w:r>
      <w:proofErr w:type="spellStart"/>
      <w:r w:rsidRPr="00477323">
        <w:rPr>
          <w:sz w:val="24"/>
          <w:szCs w:val="24"/>
        </w:rPr>
        <w:t>Minko</w:t>
      </w:r>
      <w:proofErr w:type="spellEnd"/>
      <w:r w:rsidRPr="00477323">
        <w:rPr>
          <w:sz w:val="24"/>
          <w:szCs w:val="24"/>
        </w:rPr>
        <w:t xml:space="preserve">, 2021; </w:t>
      </w:r>
      <w:proofErr w:type="spellStart"/>
      <w:r w:rsidRPr="00477323">
        <w:rPr>
          <w:sz w:val="24"/>
          <w:szCs w:val="24"/>
        </w:rPr>
        <w:t>Patharapankal</w:t>
      </w:r>
      <w:proofErr w:type="spellEnd"/>
      <w:r w:rsidRPr="00477323">
        <w:rPr>
          <w:sz w:val="24"/>
          <w:szCs w:val="24"/>
        </w:rPr>
        <w:t xml:space="preserve"> et al., 2024).</w:t>
      </w:r>
    </w:p>
    <w:p w14:paraId="31F6AABA" w14:textId="03258F17" w:rsidR="00477323" w:rsidRPr="00477323" w:rsidRDefault="00477323" w:rsidP="004F5266">
      <w:pPr>
        <w:spacing w:line="360" w:lineRule="auto"/>
        <w:ind w:firstLine="709"/>
        <w:jc w:val="both"/>
        <w:rPr>
          <w:sz w:val="24"/>
          <w:szCs w:val="24"/>
        </w:rPr>
      </w:pPr>
      <w:r w:rsidRPr="00477323">
        <w:rPr>
          <w:sz w:val="24"/>
          <w:szCs w:val="24"/>
        </w:rPr>
        <w:t xml:space="preserve">A dificuldade de alcançar o cérebro estimulou o desenvolvimento de diferentes estratégias de administração, incluindo abordagens invasivas e métodos destinados a favorecer o transporte de moléculas através das barreiras cerebrais. Apesar dos avanços, essas alternativas apresentam limitações relacionadas à </w:t>
      </w:r>
      <w:proofErr w:type="spellStart"/>
      <w:r w:rsidRPr="00477323">
        <w:rPr>
          <w:sz w:val="24"/>
          <w:szCs w:val="24"/>
        </w:rPr>
        <w:t>invasividade</w:t>
      </w:r>
      <w:proofErr w:type="spellEnd"/>
      <w:r w:rsidRPr="00477323">
        <w:rPr>
          <w:sz w:val="24"/>
          <w:szCs w:val="24"/>
        </w:rPr>
        <w:t>, segurança, complexidade e aplicabilidade clínica, mantendo a necessidade de rotas capazes de favorecer o acesso ao SNC de maneira menos invasiva (</w:t>
      </w:r>
      <w:proofErr w:type="spellStart"/>
      <w:r w:rsidRPr="00477323">
        <w:rPr>
          <w:sz w:val="24"/>
          <w:szCs w:val="24"/>
        </w:rPr>
        <w:t>Pardridge</w:t>
      </w:r>
      <w:proofErr w:type="spellEnd"/>
      <w:r w:rsidRPr="00477323">
        <w:rPr>
          <w:sz w:val="24"/>
          <w:szCs w:val="24"/>
        </w:rPr>
        <w:t>, 202</w:t>
      </w:r>
      <w:r w:rsidR="0020482B">
        <w:rPr>
          <w:sz w:val="24"/>
          <w:szCs w:val="24"/>
        </w:rPr>
        <w:t>3</w:t>
      </w:r>
      <w:r w:rsidRPr="00477323">
        <w:rPr>
          <w:sz w:val="24"/>
          <w:szCs w:val="24"/>
        </w:rPr>
        <w:t xml:space="preserve">; </w:t>
      </w:r>
      <w:proofErr w:type="spellStart"/>
      <w:r w:rsidRPr="00477323">
        <w:rPr>
          <w:sz w:val="24"/>
          <w:szCs w:val="24"/>
        </w:rPr>
        <w:t>Gänger</w:t>
      </w:r>
      <w:proofErr w:type="spellEnd"/>
      <w:r w:rsidRPr="00477323">
        <w:rPr>
          <w:sz w:val="24"/>
          <w:szCs w:val="24"/>
        </w:rPr>
        <w:t xml:space="preserve">; </w:t>
      </w:r>
      <w:proofErr w:type="spellStart"/>
      <w:r w:rsidRPr="00477323">
        <w:rPr>
          <w:sz w:val="24"/>
          <w:szCs w:val="24"/>
        </w:rPr>
        <w:t>Schindowski</w:t>
      </w:r>
      <w:proofErr w:type="spellEnd"/>
      <w:r w:rsidRPr="00477323">
        <w:rPr>
          <w:sz w:val="24"/>
          <w:szCs w:val="24"/>
        </w:rPr>
        <w:t>, 2018).</w:t>
      </w:r>
    </w:p>
    <w:p w14:paraId="5F005FE9" w14:textId="77777777" w:rsidR="00477323" w:rsidRPr="00477323" w:rsidRDefault="00477323" w:rsidP="004F5266">
      <w:pPr>
        <w:spacing w:line="360" w:lineRule="auto"/>
        <w:ind w:firstLine="709"/>
        <w:jc w:val="both"/>
        <w:rPr>
          <w:sz w:val="24"/>
          <w:szCs w:val="24"/>
        </w:rPr>
      </w:pPr>
      <w:r w:rsidRPr="00477323">
        <w:rPr>
          <w:sz w:val="24"/>
          <w:szCs w:val="24"/>
        </w:rPr>
        <w:t xml:space="preserve">Nesse contexto, a cavidade nasal passou a ser investigada como uma possibilidade para a entrega de substâncias ao cérebro. Além de ser uma via já utilizada para administração local e sistêmica, determinadas regiões da cavidade nasal apresentam proximidade anatômica com estruturas do SNC e conexões relacionadas aos sistemas olfatório e trigeminal. Essas características sustentaram a hipótese de que substâncias administradas por via intranasal poderiam alcançar o cérebro por mecanismos que reduzissem a dependência da circulação sistêmica e do atravessamento convencional da BHE, consolidando o conceito de administração </w:t>
      </w:r>
      <w:proofErr w:type="spellStart"/>
      <w:r w:rsidRPr="0020482B">
        <w:rPr>
          <w:i/>
          <w:iCs/>
          <w:sz w:val="24"/>
          <w:szCs w:val="24"/>
        </w:rPr>
        <w:t>nose-to-brain</w:t>
      </w:r>
      <w:proofErr w:type="spellEnd"/>
      <w:r w:rsidRPr="00477323">
        <w:rPr>
          <w:sz w:val="24"/>
          <w:szCs w:val="24"/>
        </w:rPr>
        <w:t xml:space="preserve"> (N2B) (</w:t>
      </w:r>
      <w:proofErr w:type="spellStart"/>
      <w:r w:rsidRPr="00477323">
        <w:rPr>
          <w:sz w:val="24"/>
          <w:szCs w:val="24"/>
        </w:rPr>
        <w:t>Gänger</w:t>
      </w:r>
      <w:proofErr w:type="spellEnd"/>
      <w:r w:rsidRPr="00477323">
        <w:rPr>
          <w:sz w:val="24"/>
          <w:szCs w:val="24"/>
        </w:rPr>
        <w:t xml:space="preserve">; </w:t>
      </w:r>
      <w:proofErr w:type="spellStart"/>
      <w:r w:rsidRPr="00477323">
        <w:rPr>
          <w:sz w:val="24"/>
          <w:szCs w:val="24"/>
        </w:rPr>
        <w:t>Schindowski</w:t>
      </w:r>
      <w:proofErr w:type="spellEnd"/>
      <w:r w:rsidRPr="00477323">
        <w:rPr>
          <w:sz w:val="24"/>
          <w:szCs w:val="24"/>
        </w:rPr>
        <w:t xml:space="preserve">, 2018; </w:t>
      </w:r>
      <w:proofErr w:type="spellStart"/>
      <w:r w:rsidRPr="00477323">
        <w:rPr>
          <w:sz w:val="24"/>
          <w:szCs w:val="24"/>
        </w:rPr>
        <w:t>Trevino</w:t>
      </w:r>
      <w:proofErr w:type="spellEnd"/>
      <w:r w:rsidRPr="00477323">
        <w:rPr>
          <w:sz w:val="24"/>
          <w:szCs w:val="24"/>
        </w:rPr>
        <w:t xml:space="preserve"> et al., 2020; </w:t>
      </w:r>
      <w:proofErr w:type="spellStart"/>
      <w:r w:rsidRPr="00477323">
        <w:rPr>
          <w:sz w:val="24"/>
          <w:szCs w:val="24"/>
        </w:rPr>
        <w:t>Shrewsbury</w:t>
      </w:r>
      <w:proofErr w:type="spellEnd"/>
      <w:r w:rsidRPr="00477323">
        <w:rPr>
          <w:sz w:val="24"/>
          <w:szCs w:val="24"/>
        </w:rPr>
        <w:t>, 2023).</w:t>
      </w:r>
    </w:p>
    <w:p w14:paraId="2C6C4C48" w14:textId="77777777" w:rsidR="00477323" w:rsidRPr="00477323" w:rsidRDefault="00477323" w:rsidP="004F5266">
      <w:pPr>
        <w:spacing w:line="360" w:lineRule="auto"/>
        <w:ind w:firstLine="709"/>
        <w:jc w:val="both"/>
        <w:rPr>
          <w:sz w:val="24"/>
          <w:szCs w:val="24"/>
        </w:rPr>
      </w:pPr>
      <w:r w:rsidRPr="00477323">
        <w:rPr>
          <w:sz w:val="24"/>
          <w:szCs w:val="24"/>
        </w:rPr>
        <w:t>Entretanto, a utilização da via intranasal não elimina os obstáculos relacionados à entrega de fármacos. A presença de muco, o movimento mucociliar, a atividade enzimática, as características do epitélio nasal, o volume limitado para administração e as dificuldades de deposição em regiões específicas podem reduzir o tempo de permanência da formulação, limitar a absorção e comprometer a estabilidade de determinadas moléculas (</w:t>
      </w:r>
      <w:proofErr w:type="spellStart"/>
      <w:r w:rsidRPr="00477323">
        <w:rPr>
          <w:sz w:val="24"/>
          <w:szCs w:val="24"/>
        </w:rPr>
        <w:t>Gänger</w:t>
      </w:r>
      <w:proofErr w:type="spellEnd"/>
      <w:r w:rsidRPr="00477323">
        <w:rPr>
          <w:sz w:val="24"/>
          <w:szCs w:val="24"/>
        </w:rPr>
        <w:t xml:space="preserve">; </w:t>
      </w:r>
      <w:proofErr w:type="spellStart"/>
      <w:r w:rsidRPr="00477323">
        <w:rPr>
          <w:sz w:val="24"/>
          <w:szCs w:val="24"/>
        </w:rPr>
        <w:t>Schindowski</w:t>
      </w:r>
      <w:proofErr w:type="spellEnd"/>
      <w:r w:rsidRPr="00477323">
        <w:rPr>
          <w:sz w:val="24"/>
          <w:szCs w:val="24"/>
        </w:rPr>
        <w:t xml:space="preserve">, 2018; Lee; </w:t>
      </w:r>
      <w:proofErr w:type="spellStart"/>
      <w:r w:rsidRPr="00477323">
        <w:rPr>
          <w:sz w:val="24"/>
          <w:szCs w:val="24"/>
        </w:rPr>
        <w:t>Minko</w:t>
      </w:r>
      <w:proofErr w:type="spellEnd"/>
      <w:r w:rsidRPr="00477323">
        <w:rPr>
          <w:sz w:val="24"/>
          <w:szCs w:val="24"/>
        </w:rPr>
        <w:t xml:space="preserve">, 2021; </w:t>
      </w:r>
      <w:proofErr w:type="spellStart"/>
      <w:r w:rsidRPr="00477323">
        <w:rPr>
          <w:sz w:val="24"/>
          <w:szCs w:val="24"/>
        </w:rPr>
        <w:t>Patharapankal</w:t>
      </w:r>
      <w:proofErr w:type="spellEnd"/>
      <w:r w:rsidRPr="00477323">
        <w:rPr>
          <w:sz w:val="24"/>
          <w:szCs w:val="24"/>
        </w:rPr>
        <w:t xml:space="preserve"> et al., 2024). Dessa forma, a consolidação da estratégia </w:t>
      </w:r>
      <w:proofErr w:type="spellStart"/>
      <w:r w:rsidRPr="0020482B">
        <w:rPr>
          <w:i/>
          <w:iCs/>
          <w:sz w:val="24"/>
          <w:szCs w:val="24"/>
        </w:rPr>
        <w:t>nose-to-brain</w:t>
      </w:r>
      <w:proofErr w:type="spellEnd"/>
      <w:r w:rsidRPr="00477323">
        <w:rPr>
          <w:sz w:val="24"/>
          <w:szCs w:val="24"/>
        </w:rPr>
        <w:t xml:space="preserve"> ocorreu acompanhada da necessidade de desenvolver sistemas capazes de responder às limitações biológicas e farmacotécnicas da própria cavidade nasal.</w:t>
      </w:r>
    </w:p>
    <w:p w14:paraId="51B72971" w14:textId="77777777" w:rsidR="00477323" w:rsidRPr="00477323" w:rsidRDefault="00477323" w:rsidP="004F5266">
      <w:pPr>
        <w:spacing w:line="360" w:lineRule="auto"/>
        <w:ind w:firstLine="709"/>
        <w:jc w:val="both"/>
        <w:rPr>
          <w:sz w:val="24"/>
          <w:szCs w:val="24"/>
        </w:rPr>
      </w:pPr>
      <w:r w:rsidRPr="00477323">
        <w:rPr>
          <w:sz w:val="24"/>
          <w:szCs w:val="24"/>
        </w:rPr>
        <w:lastRenderedPageBreak/>
        <w:t xml:space="preserve">Na última década, esse processo resultou na investigação de diferentes estratégias de administração e sistemas de liberação, incluindo formulações mucoadesivas, géis de liberação controlada, sistemas vesiculares, micro e nanopartículas, sistemas lipídicos e plataformas destinadas ao transporte de moléculas biologicamente complexas. Paralelamente, recursos de direcionamento molecular, modificação da permeabilidade, controle da deposição nasal e utilização de dispositivos específicos passaram a ser incorporados às estratégias de entrega (Lee; </w:t>
      </w:r>
      <w:proofErr w:type="spellStart"/>
      <w:r w:rsidRPr="00477323">
        <w:rPr>
          <w:sz w:val="24"/>
          <w:szCs w:val="24"/>
        </w:rPr>
        <w:t>Minko</w:t>
      </w:r>
      <w:proofErr w:type="spellEnd"/>
      <w:r w:rsidRPr="00477323">
        <w:rPr>
          <w:sz w:val="24"/>
          <w:szCs w:val="24"/>
        </w:rPr>
        <w:t xml:space="preserve">, 2021; </w:t>
      </w:r>
      <w:proofErr w:type="spellStart"/>
      <w:r w:rsidRPr="00477323">
        <w:rPr>
          <w:sz w:val="24"/>
          <w:szCs w:val="24"/>
        </w:rPr>
        <w:t>Patharapankal</w:t>
      </w:r>
      <w:proofErr w:type="spellEnd"/>
      <w:r w:rsidRPr="00477323">
        <w:rPr>
          <w:sz w:val="24"/>
          <w:szCs w:val="24"/>
        </w:rPr>
        <w:t xml:space="preserve"> et al., 2024). Assim, a evolução da administração intranasal não pode ser compreendida apenas como uma substituição de formulações convencionais por sistemas nanoestruturados, mas como um processo de incorporação progressiva de diferentes funções destinadas a superar obstáculos específicos da via.</w:t>
      </w:r>
    </w:p>
    <w:p w14:paraId="7ABDB23B" w14:textId="77777777" w:rsidR="00477323" w:rsidRPr="00477323" w:rsidRDefault="00477323" w:rsidP="004F5266">
      <w:pPr>
        <w:spacing w:line="360" w:lineRule="auto"/>
        <w:ind w:firstLine="709"/>
        <w:jc w:val="both"/>
        <w:rPr>
          <w:sz w:val="24"/>
          <w:szCs w:val="24"/>
        </w:rPr>
      </w:pPr>
      <w:r w:rsidRPr="00477323">
        <w:rPr>
          <w:sz w:val="24"/>
          <w:szCs w:val="24"/>
        </w:rPr>
        <w:t xml:space="preserve">Os avanços mais recentes também demonstram uma ampliação da natureza das cargas transportadas e das possibilidades de controle da entrega, incluindo peptídeos, proteínas, material genético e sistemas biologicamente derivados, além da associação entre formulação, dispositivos de administração e estratégias de direcionamento. Entretanto, a crescente sofisticação tecnológica não eliminou desafios relacionados à segurança, reprodutibilidade, padronização, deposição nasal e translação dos resultados pré-clínicos para seres humanos (Liu et al., 2026; </w:t>
      </w:r>
      <w:proofErr w:type="spellStart"/>
      <w:r w:rsidRPr="00477323">
        <w:rPr>
          <w:sz w:val="24"/>
          <w:szCs w:val="24"/>
        </w:rPr>
        <w:t>Patharapankal</w:t>
      </w:r>
      <w:proofErr w:type="spellEnd"/>
      <w:r w:rsidRPr="00477323">
        <w:rPr>
          <w:sz w:val="24"/>
          <w:szCs w:val="24"/>
        </w:rPr>
        <w:t xml:space="preserve"> et al., 2024). Dessa forma, compreender como essas estratégias se modificaram ao longo da última década permite identificar não apenas os avanços alcançados, mas também os problemas que permaneceram como obstáculos ao desenvolvimento clínico da abordagem.</w:t>
      </w:r>
    </w:p>
    <w:p w14:paraId="5A6B8DFF" w14:textId="77777777" w:rsidR="00477323" w:rsidRPr="00477323" w:rsidRDefault="00477323" w:rsidP="004F5266">
      <w:pPr>
        <w:spacing w:line="360" w:lineRule="auto"/>
        <w:ind w:firstLine="709"/>
        <w:jc w:val="both"/>
        <w:rPr>
          <w:sz w:val="24"/>
          <w:szCs w:val="24"/>
        </w:rPr>
      </w:pPr>
      <w:r w:rsidRPr="00477323">
        <w:rPr>
          <w:sz w:val="24"/>
          <w:szCs w:val="24"/>
        </w:rPr>
        <w:t xml:space="preserve">Embora existam estudos direcionados a mecanismos de transporte, sistemas farmacêuticos específicos e aplicações terapêuticas da administração intranasal, permanece relevante uma análise integrativa da evolução das estratégias utilizadas para favorecer a entrega de fármacos ao SNC. Nesse sentido, analisar a produção científica da última década permite compreender como diferentes soluções farmacotécnicas e tecnológicas foram incorporadas progressivamente à estratégia </w:t>
      </w:r>
      <w:proofErr w:type="spellStart"/>
      <w:r w:rsidRPr="00477323">
        <w:rPr>
          <w:sz w:val="24"/>
          <w:szCs w:val="24"/>
        </w:rPr>
        <w:t>nose-to-brain</w:t>
      </w:r>
      <w:proofErr w:type="spellEnd"/>
      <w:r w:rsidRPr="00477323">
        <w:rPr>
          <w:sz w:val="24"/>
          <w:szCs w:val="24"/>
        </w:rPr>
        <w:t xml:space="preserve"> em resposta às limitações identificadas na via.</w:t>
      </w:r>
    </w:p>
    <w:p w14:paraId="63AD11D5" w14:textId="77777777" w:rsidR="00B45221" w:rsidRDefault="00B45221" w:rsidP="004F5266">
      <w:pPr>
        <w:spacing w:line="360" w:lineRule="auto"/>
        <w:rPr>
          <w:b/>
          <w:bCs/>
          <w:sz w:val="24"/>
          <w:szCs w:val="24"/>
        </w:rPr>
      </w:pPr>
    </w:p>
    <w:p w14:paraId="1EAAD7E3" w14:textId="77777777" w:rsidR="00251D43" w:rsidRDefault="00774866" w:rsidP="004F5266">
      <w:pPr>
        <w:spacing w:line="360" w:lineRule="auto"/>
        <w:rPr>
          <w:sz w:val="24"/>
          <w:szCs w:val="24"/>
        </w:rPr>
      </w:pPr>
      <w:r>
        <w:rPr>
          <w:b/>
          <w:bCs/>
          <w:sz w:val="24"/>
          <w:szCs w:val="24"/>
        </w:rPr>
        <w:t>2 OBJETIVOS</w:t>
      </w:r>
    </w:p>
    <w:p w14:paraId="1EAAD7E4" w14:textId="4E815BA0" w:rsidR="00251D43" w:rsidRDefault="00251D43" w:rsidP="004F5266">
      <w:pPr>
        <w:spacing w:line="360" w:lineRule="auto"/>
        <w:rPr>
          <w:b/>
          <w:bCs/>
          <w:sz w:val="24"/>
          <w:szCs w:val="24"/>
        </w:rPr>
      </w:pPr>
    </w:p>
    <w:p w14:paraId="61BC4821" w14:textId="77777777" w:rsidR="00436406" w:rsidRPr="00436406" w:rsidRDefault="00436406" w:rsidP="004F5266">
      <w:pPr>
        <w:spacing w:line="360" w:lineRule="auto"/>
        <w:rPr>
          <w:b/>
          <w:bCs/>
          <w:sz w:val="24"/>
          <w:szCs w:val="24"/>
        </w:rPr>
      </w:pPr>
      <w:r w:rsidRPr="00436406">
        <w:rPr>
          <w:b/>
          <w:bCs/>
          <w:sz w:val="24"/>
          <w:szCs w:val="24"/>
        </w:rPr>
        <w:t>2.1 Objetivo geral</w:t>
      </w:r>
    </w:p>
    <w:p w14:paraId="0F27F4A8" w14:textId="77777777" w:rsidR="00436406" w:rsidRPr="00436406" w:rsidRDefault="00436406" w:rsidP="004F5266">
      <w:pPr>
        <w:spacing w:line="360" w:lineRule="auto"/>
        <w:rPr>
          <w:b/>
          <w:bCs/>
          <w:sz w:val="24"/>
          <w:szCs w:val="24"/>
        </w:rPr>
      </w:pPr>
    </w:p>
    <w:p w14:paraId="0AE187BC" w14:textId="77777777" w:rsidR="00436406" w:rsidRPr="00436406" w:rsidRDefault="00436406" w:rsidP="004F5266">
      <w:pPr>
        <w:spacing w:line="360" w:lineRule="auto"/>
        <w:ind w:firstLine="709"/>
        <w:jc w:val="both"/>
        <w:rPr>
          <w:sz w:val="24"/>
          <w:szCs w:val="24"/>
        </w:rPr>
      </w:pPr>
      <w:r w:rsidRPr="00436406">
        <w:rPr>
          <w:sz w:val="24"/>
          <w:szCs w:val="24"/>
        </w:rPr>
        <w:lastRenderedPageBreak/>
        <w:t>Analisar a evolução científica e tecnológica das estratégias de administração intranasal utilizadas para a entrega de fármacos ao sistema nervoso central, com base na produção científica publicada entre 2016 e 2026.</w:t>
      </w:r>
    </w:p>
    <w:p w14:paraId="0920DB57" w14:textId="77777777" w:rsidR="00436406" w:rsidRPr="00436406" w:rsidRDefault="00436406" w:rsidP="004F5266">
      <w:pPr>
        <w:spacing w:line="360" w:lineRule="auto"/>
        <w:rPr>
          <w:b/>
          <w:bCs/>
          <w:sz w:val="24"/>
          <w:szCs w:val="24"/>
        </w:rPr>
      </w:pPr>
    </w:p>
    <w:p w14:paraId="4C8B5A3E" w14:textId="77777777" w:rsidR="00436406" w:rsidRPr="00436406" w:rsidRDefault="00436406" w:rsidP="004F5266">
      <w:pPr>
        <w:spacing w:line="360" w:lineRule="auto"/>
        <w:rPr>
          <w:b/>
          <w:bCs/>
          <w:sz w:val="24"/>
          <w:szCs w:val="24"/>
        </w:rPr>
      </w:pPr>
      <w:r w:rsidRPr="00436406">
        <w:rPr>
          <w:b/>
          <w:bCs/>
          <w:sz w:val="24"/>
          <w:szCs w:val="24"/>
        </w:rPr>
        <w:t>2.2 Objetivos específicos</w:t>
      </w:r>
    </w:p>
    <w:p w14:paraId="1911DADC" w14:textId="77777777" w:rsidR="00436406" w:rsidRPr="00436406" w:rsidRDefault="00436406" w:rsidP="004F5266">
      <w:pPr>
        <w:spacing w:line="360" w:lineRule="auto"/>
        <w:jc w:val="both"/>
        <w:rPr>
          <w:b/>
          <w:bCs/>
          <w:sz w:val="24"/>
          <w:szCs w:val="24"/>
        </w:rPr>
      </w:pPr>
    </w:p>
    <w:p w14:paraId="5D05F7B2" w14:textId="77777777" w:rsidR="00436406" w:rsidRPr="00436406" w:rsidRDefault="00436406" w:rsidP="004F5266">
      <w:pPr>
        <w:numPr>
          <w:ilvl w:val="0"/>
          <w:numId w:val="1"/>
        </w:numPr>
        <w:spacing w:line="360" w:lineRule="auto"/>
        <w:jc w:val="both"/>
        <w:rPr>
          <w:sz w:val="24"/>
          <w:szCs w:val="24"/>
        </w:rPr>
      </w:pPr>
      <w:r w:rsidRPr="00436406">
        <w:rPr>
          <w:sz w:val="24"/>
          <w:szCs w:val="24"/>
        </w:rPr>
        <w:t>Identificar as principais limitações biológicas e farmacotécnicas relacionadas à administração intranasal para entrega de fármacos ao SNC;</w:t>
      </w:r>
    </w:p>
    <w:p w14:paraId="48FC5655" w14:textId="77777777" w:rsidR="00436406" w:rsidRPr="00436406" w:rsidRDefault="00436406" w:rsidP="004F5266">
      <w:pPr>
        <w:numPr>
          <w:ilvl w:val="0"/>
          <w:numId w:val="1"/>
        </w:numPr>
        <w:spacing w:line="360" w:lineRule="auto"/>
        <w:jc w:val="both"/>
        <w:rPr>
          <w:sz w:val="24"/>
          <w:szCs w:val="24"/>
        </w:rPr>
      </w:pPr>
      <w:r w:rsidRPr="00436406">
        <w:rPr>
          <w:sz w:val="24"/>
          <w:szCs w:val="24"/>
        </w:rPr>
        <w:t>Caracterizar as principais estratégias e sistemas de liberação empregados na última década;</w:t>
      </w:r>
    </w:p>
    <w:p w14:paraId="1388DF96" w14:textId="77777777" w:rsidR="00436406" w:rsidRPr="00436406" w:rsidRDefault="00436406" w:rsidP="004F5266">
      <w:pPr>
        <w:numPr>
          <w:ilvl w:val="0"/>
          <w:numId w:val="1"/>
        </w:numPr>
        <w:spacing w:line="360" w:lineRule="auto"/>
        <w:jc w:val="both"/>
        <w:rPr>
          <w:sz w:val="24"/>
          <w:szCs w:val="24"/>
        </w:rPr>
      </w:pPr>
      <w:r w:rsidRPr="00436406">
        <w:rPr>
          <w:sz w:val="24"/>
          <w:szCs w:val="24"/>
        </w:rPr>
        <w:t>Analisar como as inovações farmacotécnicas e tecnológicas buscaram superar as limitações da via intranasal;</w:t>
      </w:r>
    </w:p>
    <w:p w14:paraId="53A4E61C" w14:textId="04F635C4" w:rsidR="00436406" w:rsidRPr="00436406" w:rsidRDefault="00436406" w:rsidP="004F5266">
      <w:pPr>
        <w:pStyle w:val="PargrafodaLista"/>
        <w:numPr>
          <w:ilvl w:val="0"/>
          <w:numId w:val="1"/>
        </w:numPr>
        <w:spacing w:line="360" w:lineRule="auto"/>
        <w:rPr>
          <w:sz w:val="24"/>
          <w:szCs w:val="24"/>
        </w:rPr>
      </w:pPr>
      <w:r w:rsidRPr="00436406">
        <w:rPr>
          <w:sz w:val="24"/>
          <w:szCs w:val="24"/>
        </w:rPr>
        <w:t xml:space="preserve">Identificar os avanços e desafios relacionados à aplicação clínica das estratégias </w:t>
      </w:r>
      <w:proofErr w:type="spellStart"/>
      <w:r w:rsidRPr="00436406">
        <w:rPr>
          <w:sz w:val="24"/>
          <w:szCs w:val="24"/>
        </w:rPr>
        <w:t>nose-to-brain</w:t>
      </w:r>
      <w:proofErr w:type="spellEnd"/>
      <w:r w:rsidRPr="00436406">
        <w:rPr>
          <w:sz w:val="24"/>
          <w:szCs w:val="24"/>
        </w:rPr>
        <w:t>.</w:t>
      </w:r>
    </w:p>
    <w:p w14:paraId="7EB17B36" w14:textId="77777777" w:rsidR="00436406" w:rsidRDefault="00436406" w:rsidP="004F5266">
      <w:pPr>
        <w:spacing w:line="360" w:lineRule="auto"/>
        <w:rPr>
          <w:b/>
          <w:bCs/>
          <w:sz w:val="24"/>
          <w:szCs w:val="24"/>
        </w:rPr>
      </w:pPr>
    </w:p>
    <w:p w14:paraId="1EAAD7E5" w14:textId="77777777" w:rsidR="00251D43" w:rsidRDefault="00774866" w:rsidP="0038529C">
      <w:pPr>
        <w:spacing w:line="360" w:lineRule="auto"/>
        <w:rPr>
          <w:sz w:val="24"/>
          <w:szCs w:val="24"/>
        </w:rPr>
      </w:pPr>
      <w:r>
        <w:rPr>
          <w:b/>
          <w:bCs/>
          <w:sz w:val="24"/>
          <w:szCs w:val="24"/>
        </w:rPr>
        <w:t>3 MÉTODO</w:t>
      </w:r>
    </w:p>
    <w:p w14:paraId="1EAAD7E6" w14:textId="50F3E256" w:rsidR="00251D43" w:rsidRDefault="00251D43" w:rsidP="0038529C">
      <w:pPr>
        <w:spacing w:line="360" w:lineRule="auto"/>
        <w:rPr>
          <w:b/>
          <w:bCs/>
          <w:sz w:val="24"/>
          <w:szCs w:val="24"/>
        </w:rPr>
      </w:pPr>
    </w:p>
    <w:p w14:paraId="4FFD8FA0" w14:textId="77777777" w:rsidR="00024A5C" w:rsidRDefault="00024A5C" w:rsidP="0038529C">
      <w:pPr>
        <w:pStyle w:val="NormalWeb"/>
        <w:spacing w:before="0" w:beforeAutospacing="0" w:after="0" w:afterAutospacing="0" w:line="360" w:lineRule="auto"/>
        <w:ind w:firstLine="709"/>
        <w:jc w:val="both"/>
      </w:pPr>
      <w:r>
        <w:t xml:space="preserve">Trata-se de uma revisão integrativa da literatura, de caráter descritivo, realizada com o objetivo de analisar a evolução das estratégias de administração intranasal para a entrega de fármacos ao sistema nervoso central na última década. A busca bibliográfica foi realizada nas bases de dados </w:t>
      </w:r>
      <w:proofErr w:type="spellStart"/>
      <w:r>
        <w:t>PubMed</w:t>
      </w:r>
      <w:proofErr w:type="spellEnd"/>
      <w:r>
        <w:t xml:space="preserve">/MEDLINE e Literatura Latino-Americana e do Caribe em Ciências da Saúde (LILACS), utilizando termos relacionados à administração intranasal, entrega de fármacos ao cérebro, sistema nervoso central, </w:t>
      </w:r>
      <w:proofErr w:type="spellStart"/>
      <w:r>
        <w:rPr>
          <w:rStyle w:val="nfase"/>
        </w:rPr>
        <w:t>nose-to-brain</w:t>
      </w:r>
      <w:proofErr w:type="spellEnd"/>
      <w:r>
        <w:t xml:space="preserve">, nanotecnologia e sistemas de liberação de fármacos, nos idiomas português e inglês. Os termos foram combinados por meio dos operadores booleanos </w:t>
      </w:r>
      <w:r>
        <w:rPr>
          <w:rStyle w:val="Forte"/>
        </w:rPr>
        <w:t>AND</w:t>
      </w:r>
      <w:r>
        <w:t xml:space="preserve"> e </w:t>
      </w:r>
      <w:r>
        <w:rPr>
          <w:rStyle w:val="Forte"/>
        </w:rPr>
        <w:t>OR</w:t>
      </w:r>
      <w:r>
        <w:t>, de acordo com as particularidades de cada base de dados.</w:t>
      </w:r>
    </w:p>
    <w:p w14:paraId="4D7BBBB9" w14:textId="77777777" w:rsidR="00024A5C" w:rsidRDefault="00024A5C" w:rsidP="00024A5C">
      <w:pPr>
        <w:pStyle w:val="NormalWeb"/>
        <w:spacing w:line="360" w:lineRule="auto"/>
        <w:ind w:firstLine="709"/>
        <w:jc w:val="both"/>
      </w:pPr>
      <w:r>
        <w:t xml:space="preserve">Foram incluídos artigos publicados entre 2016 e 2026, disponíveis gratuitamente na íntegra, classificados como estudos clínicos, ensaios clínicos, estudos comparativos, ensaios clínicos controlados ou randomizados, estudos veterinários, revisões da literatura e revisões sistemáticas, desde que apresentassem relação direta com o desenvolvimento, aperfeiçoamento ou aplicação de estratégias </w:t>
      </w:r>
      <w:proofErr w:type="spellStart"/>
      <w:r>
        <w:t>intranasais</w:t>
      </w:r>
      <w:proofErr w:type="spellEnd"/>
      <w:r>
        <w:t xml:space="preserve"> destinadas à entrega de fármacos ao sistema nervoso central. Foram excluídos estudos duplicados, trabalhos que não abordavam especificamente a estratégia </w:t>
      </w:r>
      <w:proofErr w:type="spellStart"/>
      <w:r>
        <w:rPr>
          <w:rStyle w:val="nfase"/>
        </w:rPr>
        <w:t>nose-to-brain</w:t>
      </w:r>
      <w:proofErr w:type="spellEnd"/>
      <w:r>
        <w:t xml:space="preserve">, artigos sem relação com o objetivo da revisão e publicações cujo </w:t>
      </w:r>
      <w:r>
        <w:lastRenderedPageBreak/>
        <w:t>conteúdo não apresentava informações relevantes para a análise da evolução tecnológica da administração intranasal.</w:t>
      </w:r>
    </w:p>
    <w:p w14:paraId="1EDD96CE" w14:textId="77777777" w:rsidR="00024A5C" w:rsidRDefault="00024A5C" w:rsidP="0038529C">
      <w:pPr>
        <w:pStyle w:val="NormalWeb"/>
        <w:spacing w:before="0" w:beforeAutospacing="0" w:after="0" w:afterAutospacing="0" w:line="360" w:lineRule="auto"/>
        <w:ind w:firstLine="709"/>
        <w:jc w:val="both"/>
      </w:pPr>
      <w:r>
        <w:t>A seleção ocorreu inicialmente por meio da leitura dos títulos e resumos dos estudos identificados, seguida da análise de sua pertinência em relação aos critérios de inclusão e ao objetivo da pesquisa. A busca resultou em 71 estudos, dos quais 15 foram selecionados para compor a amostra final. Os artigos foram analisados quanto ao ano de publicação, tipo de estudo, estratégia ou tecnologia empregada, substância administrada, modelo investigado e principais contribuições para a evolução da administração intranasal voltada à entrega de fármacos ao sistema nervoso central.</w:t>
      </w:r>
    </w:p>
    <w:p w14:paraId="2F89744F" w14:textId="77777777" w:rsidR="00436406" w:rsidRDefault="00436406" w:rsidP="0038529C">
      <w:pPr>
        <w:spacing w:line="360" w:lineRule="auto"/>
        <w:rPr>
          <w:b/>
          <w:bCs/>
          <w:sz w:val="24"/>
          <w:szCs w:val="24"/>
        </w:rPr>
      </w:pPr>
    </w:p>
    <w:p w14:paraId="1EAAD7E7" w14:textId="77777777" w:rsidR="00251D43" w:rsidRPr="0014607D" w:rsidRDefault="00774866" w:rsidP="0038529C">
      <w:pPr>
        <w:spacing w:line="360" w:lineRule="auto"/>
        <w:rPr>
          <w:b/>
          <w:bCs/>
          <w:sz w:val="24"/>
          <w:szCs w:val="24"/>
        </w:rPr>
      </w:pPr>
      <w:r w:rsidRPr="0014607D">
        <w:rPr>
          <w:b/>
          <w:bCs/>
          <w:sz w:val="24"/>
          <w:szCs w:val="24"/>
        </w:rPr>
        <w:t>4 RESULTADOS E DISCUSSÃO</w:t>
      </w:r>
    </w:p>
    <w:p w14:paraId="1EAAD7E8" w14:textId="5401C004" w:rsidR="00251D43" w:rsidRDefault="00251D43" w:rsidP="0038529C">
      <w:pPr>
        <w:spacing w:line="360" w:lineRule="auto"/>
        <w:rPr>
          <w:b/>
          <w:bCs/>
          <w:sz w:val="24"/>
          <w:szCs w:val="24"/>
        </w:rPr>
      </w:pPr>
    </w:p>
    <w:p w14:paraId="62304F17" w14:textId="278FC02A" w:rsidR="007218B6" w:rsidRDefault="007218B6" w:rsidP="004F5266">
      <w:pPr>
        <w:spacing w:line="360" w:lineRule="auto"/>
        <w:rPr>
          <w:b/>
          <w:bCs/>
          <w:sz w:val="24"/>
          <w:szCs w:val="24"/>
        </w:rPr>
      </w:pPr>
      <w:r w:rsidRPr="007218B6">
        <w:rPr>
          <w:b/>
          <w:bCs/>
          <w:sz w:val="24"/>
          <w:szCs w:val="24"/>
        </w:rPr>
        <w:t xml:space="preserve">4.1 </w:t>
      </w:r>
      <w:r>
        <w:rPr>
          <w:b/>
          <w:bCs/>
          <w:sz w:val="24"/>
          <w:szCs w:val="24"/>
        </w:rPr>
        <w:t>Resultados</w:t>
      </w:r>
    </w:p>
    <w:p w14:paraId="0F8BA733" w14:textId="77777777" w:rsidR="007218B6" w:rsidRPr="0014607D" w:rsidRDefault="007218B6" w:rsidP="004F5266">
      <w:pPr>
        <w:spacing w:line="360" w:lineRule="auto"/>
        <w:rPr>
          <w:b/>
          <w:bCs/>
          <w:sz w:val="24"/>
          <w:szCs w:val="24"/>
        </w:rPr>
      </w:pPr>
    </w:p>
    <w:p w14:paraId="022497AA" w14:textId="54E54EAA" w:rsidR="004808E8" w:rsidRDefault="004808E8" w:rsidP="004F5266">
      <w:pPr>
        <w:pStyle w:val="Legenda"/>
        <w:keepNext/>
        <w:spacing w:after="0"/>
      </w:pPr>
      <w:r>
        <w:t xml:space="preserve">Quadro </w:t>
      </w:r>
      <w:fldSimple w:instr=" SEQ Quadro \* ARABIC ">
        <w:r>
          <w:rPr>
            <w:noProof/>
          </w:rPr>
          <w:t>1</w:t>
        </w:r>
      </w:fldSimple>
      <w:r>
        <w:t xml:space="preserve"> - Resultados dos artigos selecionados</w:t>
      </w:r>
    </w:p>
    <w:tbl>
      <w:tblPr>
        <w:tblStyle w:val="Tabelacomgrade"/>
        <w:tblW w:w="0" w:type="auto"/>
        <w:tblLayout w:type="fixed"/>
        <w:tblLook w:val="04A0" w:firstRow="1" w:lastRow="0" w:firstColumn="1" w:lastColumn="0" w:noHBand="0" w:noVBand="1"/>
      </w:tblPr>
      <w:tblGrid>
        <w:gridCol w:w="1413"/>
        <w:gridCol w:w="1701"/>
        <w:gridCol w:w="1701"/>
        <w:gridCol w:w="1701"/>
        <w:gridCol w:w="2545"/>
      </w:tblGrid>
      <w:tr w:rsidR="00FC5451" w:rsidRPr="008D7D3F" w14:paraId="1D70C1AE" w14:textId="77777777" w:rsidTr="00FC5451">
        <w:tc>
          <w:tcPr>
            <w:tcW w:w="1413" w:type="dxa"/>
          </w:tcPr>
          <w:p w14:paraId="7779BB23" w14:textId="326A4BB3" w:rsidR="00DC4DE9" w:rsidRPr="00ED6365" w:rsidRDefault="00B5052B" w:rsidP="004F5266">
            <w:pPr>
              <w:jc w:val="both"/>
              <w:rPr>
                <w:b/>
                <w:bCs/>
                <w:sz w:val="20"/>
                <w:szCs w:val="20"/>
              </w:rPr>
            </w:pPr>
            <w:r w:rsidRPr="00ED6365">
              <w:rPr>
                <w:sz w:val="20"/>
                <w:szCs w:val="20"/>
              </w:rPr>
              <w:t>Autor/ano</w:t>
            </w:r>
          </w:p>
        </w:tc>
        <w:tc>
          <w:tcPr>
            <w:tcW w:w="1701" w:type="dxa"/>
          </w:tcPr>
          <w:p w14:paraId="140D3843" w14:textId="198313E9" w:rsidR="00DC4DE9" w:rsidRPr="00ED6365" w:rsidRDefault="00351677" w:rsidP="004F5266">
            <w:pPr>
              <w:jc w:val="both"/>
              <w:rPr>
                <w:b/>
                <w:bCs/>
                <w:sz w:val="20"/>
                <w:szCs w:val="20"/>
              </w:rPr>
            </w:pPr>
            <w:r w:rsidRPr="00ED6365">
              <w:rPr>
                <w:sz w:val="20"/>
                <w:szCs w:val="20"/>
              </w:rPr>
              <w:t>Sistema de entrega</w:t>
            </w:r>
          </w:p>
        </w:tc>
        <w:tc>
          <w:tcPr>
            <w:tcW w:w="1701" w:type="dxa"/>
          </w:tcPr>
          <w:p w14:paraId="5A341045" w14:textId="371FA231" w:rsidR="00DC4DE9" w:rsidRPr="00ED6365" w:rsidRDefault="00BD6E27" w:rsidP="004F5266">
            <w:pPr>
              <w:jc w:val="both"/>
              <w:rPr>
                <w:b/>
                <w:bCs/>
                <w:sz w:val="20"/>
                <w:szCs w:val="20"/>
              </w:rPr>
            </w:pPr>
            <w:r w:rsidRPr="00ED6365">
              <w:rPr>
                <w:sz w:val="20"/>
                <w:szCs w:val="20"/>
              </w:rPr>
              <w:t>Carga terapêutica</w:t>
            </w:r>
          </w:p>
        </w:tc>
        <w:tc>
          <w:tcPr>
            <w:tcW w:w="1701" w:type="dxa"/>
          </w:tcPr>
          <w:p w14:paraId="1AB2B093" w14:textId="3084118A" w:rsidR="00D84938" w:rsidRPr="00D84938" w:rsidRDefault="00A93694" w:rsidP="004F5266">
            <w:pPr>
              <w:jc w:val="both"/>
              <w:rPr>
                <w:vanish/>
                <w:sz w:val="20"/>
                <w:szCs w:val="20"/>
              </w:rPr>
            </w:pPr>
            <w:r w:rsidRPr="00ED6365">
              <w:rPr>
                <w:sz w:val="20"/>
                <w:szCs w:val="20"/>
              </w:rPr>
              <w:t>Modelo de estudo</w:t>
            </w:r>
          </w:p>
          <w:p w14:paraId="1A610E2C" w14:textId="77777777" w:rsidR="00DC4DE9" w:rsidRPr="00ED6365" w:rsidRDefault="00DC4DE9" w:rsidP="004F5266">
            <w:pPr>
              <w:jc w:val="both"/>
              <w:rPr>
                <w:b/>
                <w:bCs/>
                <w:sz w:val="20"/>
                <w:szCs w:val="20"/>
              </w:rPr>
            </w:pPr>
          </w:p>
        </w:tc>
        <w:tc>
          <w:tcPr>
            <w:tcW w:w="2545" w:type="dxa"/>
          </w:tcPr>
          <w:p w14:paraId="18695F11" w14:textId="37AC0513" w:rsidR="00DC4DE9" w:rsidRPr="00ED6365" w:rsidRDefault="00D84938" w:rsidP="004F5266">
            <w:pPr>
              <w:jc w:val="both"/>
              <w:rPr>
                <w:b/>
                <w:bCs/>
                <w:sz w:val="20"/>
                <w:szCs w:val="20"/>
              </w:rPr>
            </w:pPr>
            <w:r w:rsidRPr="00ED6365">
              <w:rPr>
                <w:sz w:val="20"/>
                <w:szCs w:val="20"/>
              </w:rPr>
              <w:t>Principal contribuição</w:t>
            </w:r>
          </w:p>
        </w:tc>
      </w:tr>
      <w:tr w:rsidR="00FC5451" w:rsidRPr="008D7D3F" w14:paraId="1EB2F88D" w14:textId="77777777" w:rsidTr="00FC5451">
        <w:tc>
          <w:tcPr>
            <w:tcW w:w="1413" w:type="dxa"/>
          </w:tcPr>
          <w:p w14:paraId="09C2F406" w14:textId="15314EB3" w:rsidR="00DC4DE9" w:rsidRPr="00ED6365" w:rsidRDefault="00F41483" w:rsidP="004F5266">
            <w:pPr>
              <w:jc w:val="both"/>
              <w:rPr>
                <w:b/>
                <w:bCs/>
                <w:sz w:val="20"/>
                <w:szCs w:val="20"/>
              </w:rPr>
            </w:pPr>
            <w:proofErr w:type="spellStart"/>
            <w:r w:rsidRPr="00ED6365">
              <w:rPr>
                <w:sz w:val="20"/>
                <w:szCs w:val="20"/>
              </w:rPr>
              <w:t>Kamei</w:t>
            </w:r>
            <w:proofErr w:type="spellEnd"/>
            <w:r w:rsidRPr="00ED6365">
              <w:rPr>
                <w:sz w:val="20"/>
                <w:szCs w:val="20"/>
              </w:rPr>
              <w:t xml:space="preserve"> (2017)</w:t>
            </w:r>
          </w:p>
        </w:tc>
        <w:tc>
          <w:tcPr>
            <w:tcW w:w="1701" w:type="dxa"/>
          </w:tcPr>
          <w:p w14:paraId="17184C6B" w14:textId="515A5AB9" w:rsidR="00DC4DE9" w:rsidRPr="00ED6365" w:rsidRDefault="00FE28CB" w:rsidP="004F5266">
            <w:pPr>
              <w:jc w:val="both"/>
              <w:rPr>
                <w:b/>
                <w:bCs/>
                <w:sz w:val="20"/>
                <w:szCs w:val="20"/>
              </w:rPr>
            </w:pPr>
            <w:r w:rsidRPr="00ED6365">
              <w:rPr>
                <w:sz w:val="20"/>
                <w:szCs w:val="20"/>
              </w:rPr>
              <w:t>Coadministração (mistura física) com Peptídeos de Penetração Celular (</w:t>
            </w:r>
            <w:proofErr w:type="spellStart"/>
            <w:r w:rsidRPr="00ED6365">
              <w:rPr>
                <w:sz w:val="20"/>
                <w:szCs w:val="20"/>
              </w:rPr>
              <w:t>CPPs</w:t>
            </w:r>
            <w:proofErr w:type="spellEnd"/>
            <w:r w:rsidRPr="00ED6365">
              <w:rPr>
                <w:sz w:val="20"/>
                <w:szCs w:val="20"/>
              </w:rPr>
              <w:t>, ex.: L- e D-</w:t>
            </w:r>
            <w:proofErr w:type="spellStart"/>
            <w:r w:rsidRPr="00ED6365">
              <w:rPr>
                <w:sz w:val="20"/>
                <w:szCs w:val="20"/>
              </w:rPr>
              <w:t>penetratina</w:t>
            </w:r>
            <w:proofErr w:type="spellEnd"/>
            <w:r w:rsidRPr="00ED6365">
              <w:rPr>
                <w:sz w:val="20"/>
                <w:szCs w:val="20"/>
              </w:rPr>
              <w:t>)</w:t>
            </w:r>
          </w:p>
        </w:tc>
        <w:tc>
          <w:tcPr>
            <w:tcW w:w="1701" w:type="dxa"/>
          </w:tcPr>
          <w:p w14:paraId="1A386E3B" w14:textId="4400F8D2" w:rsidR="00DC4DE9" w:rsidRPr="00ED6365" w:rsidRDefault="00A03D27" w:rsidP="004F5266">
            <w:pPr>
              <w:jc w:val="both"/>
              <w:rPr>
                <w:b/>
                <w:bCs/>
                <w:sz w:val="20"/>
                <w:szCs w:val="20"/>
              </w:rPr>
            </w:pPr>
            <w:r w:rsidRPr="00ED6365">
              <w:rPr>
                <w:sz w:val="20"/>
                <w:szCs w:val="20"/>
              </w:rPr>
              <w:t>Insulina</w:t>
            </w:r>
          </w:p>
        </w:tc>
        <w:tc>
          <w:tcPr>
            <w:tcW w:w="1701" w:type="dxa"/>
          </w:tcPr>
          <w:p w14:paraId="01E97A3F" w14:textId="4B29A510" w:rsidR="00DC4DE9" w:rsidRPr="00ED6365" w:rsidRDefault="00A03D27" w:rsidP="004F5266">
            <w:pPr>
              <w:jc w:val="both"/>
              <w:rPr>
                <w:b/>
                <w:bCs/>
                <w:sz w:val="20"/>
                <w:szCs w:val="20"/>
              </w:rPr>
            </w:pPr>
            <w:r w:rsidRPr="00ED6365">
              <w:rPr>
                <w:sz w:val="20"/>
                <w:szCs w:val="20"/>
              </w:rPr>
              <w:t xml:space="preserve">Ratos </w:t>
            </w:r>
            <w:proofErr w:type="spellStart"/>
            <w:r w:rsidRPr="00ED6365">
              <w:rPr>
                <w:sz w:val="20"/>
                <w:szCs w:val="20"/>
              </w:rPr>
              <w:t>Sprague-Dawley</w:t>
            </w:r>
            <w:proofErr w:type="spellEnd"/>
            <w:r w:rsidRPr="00ED6365">
              <w:rPr>
                <w:sz w:val="20"/>
                <w:szCs w:val="20"/>
              </w:rPr>
              <w:t xml:space="preserve"> e camundongos (</w:t>
            </w:r>
            <w:proofErr w:type="spellStart"/>
            <w:r w:rsidRPr="00ED6365">
              <w:rPr>
                <w:sz w:val="20"/>
                <w:szCs w:val="20"/>
              </w:rPr>
              <w:t>ddY</w:t>
            </w:r>
            <w:proofErr w:type="spellEnd"/>
            <w:r w:rsidRPr="00ED6365">
              <w:rPr>
                <w:sz w:val="20"/>
                <w:szCs w:val="20"/>
              </w:rPr>
              <w:t xml:space="preserve">, SAMP8 e SAMR1) </w:t>
            </w:r>
            <w:r w:rsidRPr="00ED6365">
              <w:rPr>
                <w:rStyle w:val="nfase"/>
                <w:sz w:val="20"/>
                <w:szCs w:val="20"/>
              </w:rPr>
              <w:t>in vivo</w:t>
            </w:r>
          </w:p>
        </w:tc>
        <w:tc>
          <w:tcPr>
            <w:tcW w:w="2545" w:type="dxa"/>
          </w:tcPr>
          <w:p w14:paraId="750367D3" w14:textId="73762EE4" w:rsidR="00DC4DE9" w:rsidRPr="00ED6365" w:rsidRDefault="00942493" w:rsidP="004F5266">
            <w:pPr>
              <w:jc w:val="both"/>
              <w:rPr>
                <w:b/>
                <w:bCs/>
                <w:sz w:val="20"/>
                <w:szCs w:val="20"/>
              </w:rPr>
            </w:pPr>
            <w:r w:rsidRPr="00942493">
              <w:rPr>
                <w:sz w:val="20"/>
                <w:szCs w:val="20"/>
              </w:rPr>
              <w:t xml:space="preserve">Relatou que a coadministração de </w:t>
            </w:r>
            <w:proofErr w:type="spellStart"/>
            <w:r w:rsidRPr="00942493">
              <w:rPr>
                <w:sz w:val="20"/>
                <w:szCs w:val="20"/>
              </w:rPr>
              <w:t>penetratina</w:t>
            </w:r>
            <w:proofErr w:type="spellEnd"/>
            <w:r w:rsidRPr="00942493">
              <w:rPr>
                <w:sz w:val="20"/>
                <w:szCs w:val="20"/>
              </w:rPr>
              <w:t xml:space="preserve"> favoreceu o transporte da insulina para estruturas cerebrais em modelos animais, com efeitos associados à melhora de déficits de memória, sem necessidade de modificação química da molécula.</w:t>
            </w:r>
          </w:p>
        </w:tc>
      </w:tr>
      <w:tr w:rsidR="00FC5451" w:rsidRPr="008D7D3F" w14:paraId="51670A23" w14:textId="77777777" w:rsidTr="00FC5451">
        <w:tc>
          <w:tcPr>
            <w:tcW w:w="1413" w:type="dxa"/>
          </w:tcPr>
          <w:p w14:paraId="52F5FD2F" w14:textId="6FB5AA96" w:rsidR="00DC4DE9" w:rsidRPr="00ED6365" w:rsidRDefault="00F41483" w:rsidP="004F5266">
            <w:pPr>
              <w:jc w:val="both"/>
              <w:rPr>
                <w:b/>
                <w:bCs/>
                <w:sz w:val="20"/>
                <w:szCs w:val="20"/>
              </w:rPr>
            </w:pPr>
            <w:proofErr w:type="spellStart"/>
            <w:r w:rsidRPr="00ED6365">
              <w:rPr>
                <w:sz w:val="20"/>
                <w:szCs w:val="20"/>
              </w:rPr>
              <w:t>Gänger</w:t>
            </w:r>
            <w:proofErr w:type="spellEnd"/>
            <w:r w:rsidRPr="00ED6365">
              <w:rPr>
                <w:sz w:val="20"/>
                <w:szCs w:val="20"/>
              </w:rPr>
              <w:t xml:space="preserve"> e </w:t>
            </w:r>
            <w:proofErr w:type="spellStart"/>
            <w:r w:rsidRPr="00ED6365">
              <w:rPr>
                <w:sz w:val="20"/>
                <w:szCs w:val="20"/>
              </w:rPr>
              <w:t>Schindowski</w:t>
            </w:r>
            <w:proofErr w:type="spellEnd"/>
            <w:r w:rsidRPr="00ED6365">
              <w:rPr>
                <w:sz w:val="20"/>
                <w:szCs w:val="20"/>
              </w:rPr>
              <w:t xml:space="preserve"> (2018)</w:t>
            </w:r>
          </w:p>
        </w:tc>
        <w:tc>
          <w:tcPr>
            <w:tcW w:w="1701" w:type="dxa"/>
          </w:tcPr>
          <w:p w14:paraId="41FEC43F" w14:textId="34C91685" w:rsidR="00DC4DE9" w:rsidRPr="00ED6365" w:rsidRDefault="000B2CBD" w:rsidP="004F5266">
            <w:pPr>
              <w:jc w:val="both"/>
              <w:rPr>
                <w:b/>
                <w:bCs/>
                <w:sz w:val="20"/>
                <w:szCs w:val="20"/>
              </w:rPr>
            </w:pPr>
            <w:r w:rsidRPr="00ED6365">
              <w:rPr>
                <w:sz w:val="20"/>
                <w:szCs w:val="20"/>
              </w:rPr>
              <w:t>Formulações semissólidas (</w:t>
            </w:r>
            <w:proofErr w:type="spellStart"/>
            <w:r w:rsidRPr="00ED6365">
              <w:rPr>
                <w:sz w:val="20"/>
                <w:szCs w:val="20"/>
              </w:rPr>
              <w:t>hidrogéis</w:t>
            </w:r>
            <w:proofErr w:type="spellEnd"/>
            <w:r w:rsidRPr="00ED6365">
              <w:rPr>
                <w:sz w:val="20"/>
                <w:szCs w:val="20"/>
              </w:rPr>
              <w:t xml:space="preserve"> </w:t>
            </w:r>
            <w:proofErr w:type="spellStart"/>
            <w:r w:rsidRPr="00ED6365">
              <w:rPr>
                <w:sz w:val="20"/>
                <w:szCs w:val="20"/>
              </w:rPr>
              <w:t>mucoadesivos</w:t>
            </w:r>
            <w:proofErr w:type="spellEnd"/>
            <w:r w:rsidRPr="00ED6365">
              <w:rPr>
                <w:sz w:val="20"/>
                <w:szCs w:val="20"/>
              </w:rPr>
              <w:t xml:space="preserve">) e </w:t>
            </w:r>
            <w:proofErr w:type="spellStart"/>
            <w:r w:rsidRPr="00ED6365">
              <w:rPr>
                <w:sz w:val="20"/>
                <w:szCs w:val="20"/>
              </w:rPr>
              <w:t>nanocarreadores</w:t>
            </w:r>
            <w:proofErr w:type="spellEnd"/>
          </w:p>
        </w:tc>
        <w:tc>
          <w:tcPr>
            <w:tcW w:w="1701" w:type="dxa"/>
          </w:tcPr>
          <w:p w14:paraId="65BB8C5C" w14:textId="486D5177" w:rsidR="00DC4DE9" w:rsidRPr="00ED6365" w:rsidRDefault="000B2CBD" w:rsidP="004F5266">
            <w:pPr>
              <w:jc w:val="both"/>
              <w:rPr>
                <w:b/>
                <w:bCs/>
                <w:sz w:val="20"/>
                <w:szCs w:val="20"/>
              </w:rPr>
            </w:pPr>
            <w:r w:rsidRPr="00ED6365">
              <w:rPr>
                <w:sz w:val="20"/>
                <w:szCs w:val="20"/>
              </w:rPr>
              <w:t xml:space="preserve">Proteínas, peptídeos (insulina, oxitocina) e </w:t>
            </w:r>
            <w:proofErr w:type="spellStart"/>
            <w:r w:rsidRPr="00ED6365">
              <w:rPr>
                <w:sz w:val="20"/>
                <w:szCs w:val="20"/>
              </w:rPr>
              <w:t>biofármacos</w:t>
            </w:r>
            <w:proofErr w:type="spellEnd"/>
          </w:p>
        </w:tc>
        <w:tc>
          <w:tcPr>
            <w:tcW w:w="1701" w:type="dxa"/>
          </w:tcPr>
          <w:p w14:paraId="67049FB4" w14:textId="04E7CE0A" w:rsidR="00DC4DE9" w:rsidRPr="00ED6365" w:rsidRDefault="000B2CBD" w:rsidP="004F5266">
            <w:pPr>
              <w:jc w:val="both"/>
              <w:rPr>
                <w:b/>
                <w:bCs/>
                <w:sz w:val="20"/>
                <w:szCs w:val="20"/>
              </w:rPr>
            </w:pPr>
            <w:r w:rsidRPr="00ED6365">
              <w:rPr>
                <w:sz w:val="20"/>
                <w:szCs w:val="20"/>
              </w:rPr>
              <w:t>Artigo de revisão (análise da estrutura da mucosa olfativa humana e animal)</w:t>
            </w:r>
          </w:p>
        </w:tc>
        <w:tc>
          <w:tcPr>
            <w:tcW w:w="2545" w:type="dxa"/>
          </w:tcPr>
          <w:p w14:paraId="376FA704" w14:textId="6F56417A" w:rsidR="00DC4DE9" w:rsidRPr="00ED6365" w:rsidRDefault="007A318B" w:rsidP="004F5266">
            <w:pPr>
              <w:jc w:val="both"/>
              <w:rPr>
                <w:b/>
                <w:bCs/>
                <w:sz w:val="20"/>
                <w:szCs w:val="20"/>
              </w:rPr>
            </w:pPr>
            <w:r w:rsidRPr="00ED6365">
              <w:rPr>
                <w:sz w:val="20"/>
                <w:szCs w:val="20"/>
              </w:rPr>
              <w:t>Mapeou os parâmetros físico-químicos e fisiológicos (</w:t>
            </w:r>
            <w:proofErr w:type="spellStart"/>
            <w:r w:rsidRPr="00ED6365">
              <w:rPr>
                <w:sz w:val="20"/>
                <w:szCs w:val="20"/>
              </w:rPr>
              <w:t>mucoadesão</w:t>
            </w:r>
            <w:proofErr w:type="spellEnd"/>
            <w:r w:rsidRPr="00ED6365">
              <w:rPr>
                <w:sz w:val="20"/>
                <w:szCs w:val="20"/>
              </w:rPr>
              <w:t xml:space="preserve">, viscosidade, depuração mucociliar) necessários para criar formulações </w:t>
            </w:r>
            <w:proofErr w:type="spellStart"/>
            <w:r w:rsidRPr="00ED6365">
              <w:rPr>
                <w:sz w:val="20"/>
                <w:szCs w:val="20"/>
              </w:rPr>
              <w:t>intranasais</w:t>
            </w:r>
            <w:proofErr w:type="spellEnd"/>
            <w:r w:rsidRPr="00ED6365">
              <w:rPr>
                <w:sz w:val="20"/>
                <w:szCs w:val="20"/>
              </w:rPr>
              <w:t xml:space="preserve"> que prolonguem o tempo de retenção na mucosa olfativa e facilitem o transporte ao SNC.</w:t>
            </w:r>
          </w:p>
        </w:tc>
      </w:tr>
      <w:tr w:rsidR="00FC5451" w:rsidRPr="008D7D3F" w14:paraId="13AB0F86" w14:textId="77777777" w:rsidTr="00FC5451">
        <w:trPr>
          <w:trHeight w:val="2306"/>
        </w:trPr>
        <w:tc>
          <w:tcPr>
            <w:tcW w:w="1413" w:type="dxa"/>
          </w:tcPr>
          <w:p w14:paraId="78FCB7B4" w14:textId="2F4E6787" w:rsidR="00DC4DE9" w:rsidRPr="00ED6365" w:rsidRDefault="00F41483" w:rsidP="004F5266">
            <w:pPr>
              <w:jc w:val="both"/>
              <w:rPr>
                <w:b/>
                <w:bCs/>
                <w:sz w:val="20"/>
                <w:szCs w:val="20"/>
              </w:rPr>
            </w:pPr>
            <w:r w:rsidRPr="00ED6365">
              <w:rPr>
                <w:sz w:val="20"/>
                <w:szCs w:val="20"/>
              </w:rPr>
              <w:lastRenderedPageBreak/>
              <w:t>Quintana et al. (2018)</w:t>
            </w:r>
          </w:p>
        </w:tc>
        <w:tc>
          <w:tcPr>
            <w:tcW w:w="1701" w:type="dxa"/>
          </w:tcPr>
          <w:p w14:paraId="1220702D" w14:textId="4F8173D8" w:rsidR="00DC4DE9" w:rsidRPr="00ED6365" w:rsidRDefault="007A318B" w:rsidP="004F5266">
            <w:pPr>
              <w:jc w:val="both"/>
              <w:rPr>
                <w:b/>
                <w:bCs/>
                <w:sz w:val="20"/>
                <w:szCs w:val="20"/>
              </w:rPr>
            </w:pPr>
            <w:r w:rsidRPr="00ED6365">
              <w:rPr>
                <w:sz w:val="20"/>
                <w:szCs w:val="20"/>
              </w:rPr>
              <w:t>Dispositivo nasal acionado pela respiração do paciente (</w:t>
            </w:r>
            <w:proofErr w:type="spellStart"/>
            <w:r w:rsidRPr="00ED6365">
              <w:rPr>
                <w:sz w:val="20"/>
                <w:szCs w:val="20"/>
              </w:rPr>
              <w:t>Breath</w:t>
            </w:r>
            <w:proofErr w:type="spellEnd"/>
            <w:r w:rsidRPr="00ED6365">
              <w:rPr>
                <w:sz w:val="20"/>
                <w:szCs w:val="20"/>
              </w:rPr>
              <w:t xml:space="preserve"> </w:t>
            </w:r>
            <w:proofErr w:type="spellStart"/>
            <w:r w:rsidRPr="00ED6365">
              <w:rPr>
                <w:sz w:val="20"/>
                <w:szCs w:val="20"/>
              </w:rPr>
              <w:t>Powered</w:t>
            </w:r>
            <w:proofErr w:type="spellEnd"/>
            <w:r w:rsidRPr="00ED6365">
              <w:rPr>
                <w:sz w:val="20"/>
                <w:szCs w:val="20"/>
              </w:rPr>
              <w:t xml:space="preserve"> device / </w:t>
            </w:r>
            <w:proofErr w:type="spellStart"/>
            <w:r w:rsidRPr="00ED6365">
              <w:rPr>
                <w:sz w:val="20"/>
                <w:szCs w:val="20"/>
              </w:rPr>
              <w:t>OptiNose</w:t>
            </w:r>
            <w:proofErr w:type="spellEnd"/>
            <w:r w:rsidRPr="00ED6365">
              <w:rPr>
                <w:sz w:val="20"/>
                <w:szCs w:val="20"/>
              </w:rPr>
              <w:t>)</w:t>
            </w:r>
          </w:p>
        </w:tc>
        <w:tc>
          <w:tcPr>
            <w:tcW w:w="1701" w:type="dxa"/>
          </w:tcPr>
          <w:p w14:paraId="017C2486" w14:textId="6B867F03" w:rsidR="00DC4DE9" w:rsidRPr="00ED6365" w:rsidRDefault="007A318B" w:rsidP="004F5266">
            <w:pPr>
              <w:jc w:val="both"/>
              <w:rPr>
                <w:b/>
                <w:bCs/>
                <w:sz w:val="20"/>
                <w:szCs w:val="20"/>
              </w:rPr>
            </w:pPr>
            <w:r w:rsidRPr="00ED6365">
              <w:rPr>
                <w:sz w:val="20"/>
                <w:szCs w:val="20"/>
              </w:rPr>
              <w:t>Oxitocina (8 IU e 24 IU)</w:t>
            </w:r>
          </w:p>
        </w:tc>
        <w:tc>
          <w:tcPr>
            <w:tcW w:w="1701" w:type="dxa"/>
          </w:tcPr>
          <w:p w14:paraId="1291E8AC" w14:textId="0F2B9C2D" w:rsidR="00DC4DE9" w:rsidRPr="00ED6365" w:rsidRDefault="00C218C1" w:rsidP="004F5266">
            <w:pPr>
              <w:jc w:val="both"/>
              <w:rPr>
                <w:b/>
                <w:bCs/>
                <w:sz w:val="20"/>
                <w:szCs w:val="20"/>
              </w:rPr>
            </w:pPr>
            <w:r w:rsidRPr="00ED6365">
              <w:rPr>
                <w:sz w:val="20"/>
                <w:szCs w:val="20"/>
              </w:rPr>
              <w:t>Ensaio clínico randomizado, duplo-cego, controlado por placebo e cruzado em voluntários humanos masculinos saudáveis (n=1</w:t>
            </w:r>
            <w:r w:rsidR="00F734EF">
              <w:rPr>
                <w:sz w:val="20"/>
                <w:szCs w:val="20"/>
              </w:rPr>
              <w:t>6</w:t>
            </w:r>
            <w:r w:rsidRPr="00ED6365">
              <w:rPr>
                <w:sz w:val="20"/>
                <w:szCs w:val="20"/>
              </w:rPr>
              <w:t>)</w:t>
            </w:r>
          </w:p>
        </w:tc>
        <w:tc>
          <w:tcPr>
            <w:tcW w:w="2545" w:type="dxa"/>
          </w:tcPr>
          <w:p w14:paraId="0297C69C" w14:textId="0C693A18" w:rsidR="00C218C1" w:rsidRPr="00ED6365" w:rsidRDefault="00F734EF" w:rsidP="004F5266">
            <w:pPr>
              <w:jc w:val="both"/>
              <w:rPr>
                <w:b/>
                <w:bCs/>
                <w:sz w:val="20"/>
                <w:szCs w:val="20"/>
              </w:rPr>
            </w:pPr>
            <w:r w:rsidRPr="00F734EF">
              <w:rPr>
                <w:sz w:val="20"/>
                <w:szCs w:val="20"/>
              </w:rPr>
              <w:t xml:space="preserve">Observou que a administração de oxitocina em baixa dose (8 IU) por meio de dispositivo nasal acionado pela respiração esteve associada a alterações na atividade da amígdala e no diâmetro pupilar, contribuindo para a investigação do potencial da via </w:t>
            </w:r>
            <w:proofErr w:type="spellStart"/>
            <w:r w:rsidRPr="00F734EF">
              <w:rPr>
                <w:sz w:val="20"/>
                <w:szCs w:val="20"/>
              </w:rPr>
              <w:t>nose-to-brain</w:t>
            </w:r>
            <w:proofErr w:type="spellEnd"/>
            <w:r w:rsidRPr="00F734EF">
              <w:rPr>
                <w:sz w:val="20"/>
                <w:szCs w:val="20"/>
              </w:rPr>
              <w:t xml:space="preserve"> em humanos.</w:t>
            </w:r>
          </w:p>
        </w:tc>
      </w:tr>
      <w:tr w:rsidR="00FC5451" w:rsidRPr="008D7D3F" w14:paraId="7CBA2ADC" w14:textId="77777777" w:rsidTr="00FC5451">
        <w:tc>
          <w:tcPr>
            <w:tcW w:w="1413" w:type="dxa"/>
          </w:tcPr>
          <w:p w14:paraId="247F5665" w14:textId="0673B707" w:rsidR="00DC4DE9" w:rsidRPr="00ED6365" w:rsidRDefault="00552B9B" w:rsidP="004F5266">
            <w:pPr>
              <w:jc w:val="both"/>
              <w:rPr>
                <w:b/>
                <w:bCs/>
                <w:sz w:val="20"/>
                <w:szCs w:val="20"/>
              </w:rPr>
            </w:pPr>
            <w:r w:rsidRPr="00ED6365">
              <w:rPr>
                <w:sz w:val="20"/>
                <w:szCs w:val="20"/>
              </w:rPr>
              <w:t xml:space="preserve">Chen, da Fonseca e </w:t>
            </w:r>
            <w:proofErr w:type="spellStart"/>
            <w:r w:rsidRPr="00ED6365">
              <w:rPr>
                <w:sz w:val="20"/>
                <w:szCs w:val="20"/>
              </w:rPr>
              <w:t>Schönthal</w:t>
            </w:r>
            <w:proofErr w:type="spellEnd"/>
            <w:r w:rsidRPr="00ED6365">
              <w:rPr>
                <w:sz w:val="20"/>
                <w:szCs w:val="20"/>
              </w:rPr>
              <w:t xml:space="preserve"> (2018)</w:t>
            </w:r>
          </w:p>
        </w:tc>
        <w:tc>
          <w:tcPr>
            <w:tcW w:w="1701" w:type="dxa"/>
          </w:tcPr>
          <w:p w14:paraId="44223732" w14:textId="45AAB12D" w:rsidR="00DC4DE9" w:rsidRPr="00ED6365" w:rsidRDefault="008275FE" w:rsidP="004F5266">
            <w:pPr>
              <w:jc w:val="both"/>
              <w:rPr>
                <w:b/>
                <w:bCs/>
                <w:sz w:val="20"/>
                <w:szCs w:val="20"/>
              </w:rPr>
            </w:pPr>
            <w:r w:rsidRPr="00ED6365">
              <w:rPr>
                <w:sz w:val="20"/>
                <w:szCs w:val="20"/>
              </w:rPr>
              <w:t>Inalação/nebulização intranasal contínua com máscara nasal (NEO100)</w:t>
            </w:r>
          </w:p>
        </w:tc>
        <w:tc>
          <w:tcPr>
            <w:tcW w:w="1701" w:type="dxa"/>
          </w:tcPr>
          <w:p w14:paraId="6FAC5AD5" w14:textId="30CB0B30" w:rsidR="00DC4DE9" w:rsidRPr="00ED6365" w:rsidRDefault="008275FE" w:rsidP="004F5266">
            <w:pPr>
              <w:jc w:val="both"/>
              <w:rPr>
                <w:b/>
                <w:bCs/>
                <w:sz w:val="20"/>
                <w:szCs w:val="20"/>
              </w:rPr>
            </w:pPr>
            <w:r w:rsidRPr="00ED6365">
              <w:rPr>
                <w:sz w:val="20"/>
                <w:szCs w:val="20"/>
              </w:rPr>
              <w:t xml:space="preserve">Álcool </w:t>
            </w:r>
            <w:proofErr w:type="spellStart"/>
            <w:r w:rsidRPr="00ED6365">
              <w:rPr>
                <w:sz w:val="20"/>
                <w:szCs w:val="20"/>
              </w:rPr>
              <w:t>Perilítico</w:t>
            </w:r>
            <w:proofErr w:type="spellEnd"/>
            <w:r w:rsidRPr="00ED6365">
              <w:rPr>
                <w:sz w:val="20"/>
                <w:szCs w:val="20"/>
              </w:rPr>
              <w:t xml:space="preserve"> (POH) / NEO100</w:t>
            </w:r>
          </w:p>
        </w:tc>
        <w:tc>
          <w:tcPr>
            <w:tcW w:w="1701" w:type="dxa"/>
          </w:tcPr>
          <w:p w14:paraId="4225817C" w14:textId="13A0AEE1" w:rsidR="00DC4DE9" w:rsidRPr="00ED6365" w:rsidRDefault="008275FE" w:rsidP="004F5266">
            <w:pPr>
              <w:jc w:val="both"/>
              <w:rPr>
                <w:b/>
                <w:bCs/>
                <w:sz w:val="20"/>
                <w:szCs w:val="20"/>
              </w:rPr>
            </w:pPr>
            <w:r w:rsidRPr="00ED6365">
              <w:rPr>
                <w:sz w:val="20"/>
                <w:szCs w:val="20"/>
              </w:rPr>
              <w:t>Artigo de revisão e relato de desenvolvimento clínico em pacientes humanos com glioma/glioblastoma recorrente e modelos pré-clínicos</w:t>
            </w:r>
          </w:p>
        </w:tc>
        <w:tc>
          <w:tcPr>
            <w:tcW w:w="2545" w:type="dxa"/>
          </w:tcPr>
          <w:p w14:paraId="33E53F4D" w14:textId="4FC29F24" w:rsidR="00DC4DE9" w:rsidRPr="00ED6365" w:rsidRDefault="00787BFD" w:rsidP="004F5266">
            <w:pPr>
              <w:jc w:val="both"/>
              <w:rPr>
                <w:b/>
                <w:bCs/>
                <w:sz w:val="20"/>
                <w:szCs w:val="20"/>
              </w:rPr>
            </w:pPr>
            <w:r w:rsidRPr="00787BFD">
              <w:rPr>
                <w:sz w:val="20"/>
                <w:szCs w:val="20"/>
              </w:rPr>
              <w:t>Apresentou o desenvolvimento clínico da administração intranasal de POH/NEO100 para gliomas, discutindo resultados pré-clínicos e clínicos relacionados à segurança, tolerabilidade e potencial terapêutico da estratégia.</w:t>
            </w:r>
          </w:p>
        </w:tc>
      </w:tr>
      <w:tr w:rsidR="00FC5451" w:rsidRPr="008D7D3F" w14:paraId="727448AF" w14:textId="77777777" w:rsidTr="00FC5451">
        <w:tc>
          <w:tcPr>
            <w:tcW w:w="1413" w:type="dxa"/>
          </w:tcPr>
          <w:p w14:paraId="0D0B3B7A" w14:textId="28255180" w:rsidR="00DC4DE9" w:rsidRPr="00ED6365" w:rsidRDefault="00697B44" w:rsidP="004F5266">
            <w:pPr>
              <w:jc w:val="both"/>
              <w:rPr>
                <w:b/>
                <w:bCs/>
                <w:sz w:val="20"/>
                <w:szCs w:val="20"/>
              </w:rPr>
            </w:pPr>
            <w:r w:rsidRPr="00ED6365">
              <w:rPr>
                <w:sz w:val="20"/>
                <w:szCs w:val="20"/>
              </w:rPr>
              <w:t>Hong et al. (2019)</w:t>
            </w:r>
          </w:p>
        </w:tc>
        <w:tc>
          <w:tcPr>
            <w:tcW w:w="1701" w:type="dxa"/>
          </w:tcPr>
          <w:p w14:paraId="02F56D0C" w14:textId="009B1835" w:rsidR="00DC4DE9" w:rsidRPr="00ED6365" w:rsidRDefault="008A3485" w:rsidP="004F5266">
            <w:pPr>
              <w:jc w:val="both"/>
              <w:rPr>
                <w:b/>
                <w:bCs/>
                <w:sz w:val="20"/>
                <w:szCs w:val="20"/>
              </w:rPr>
            </w:pPr>
            <w:r w:rsidRPr="00ED6365">
              <w:rPr>
                <w:sz w:val="20"/>
                <w:szCs w:val="20"/>
              </w:rPr>
              <w:t xml:space="preserve">Formulações </w:t>
            </w:r>
            <w:proofErr w:type="spellStart"/>
            <w:r w:rsidRPr="00ED6365">
              <w:rPr>
                <w:sz w:val="20"/>
                <w:szCs w:val="20"/>
              </w:rPr>
              <w:t>lipossomais</w:t>
            </w:r>
            <w:proofErr w:type="spellEnd"/>
            <w:r w:rsidRPr="00ED6365">
              <w:rPr>
                <w:sz w:val="20"/>
                <w:szCs w:val="20"/>
              </w:rPr>
              <w:t xml:space="preserve"> (catiônicas, </w:t>
            </w:r>
            <w:proofErr w:type="spellStart"/>
            <w:r w:rsidRPr="00ED6365">
              <w:rPr>
                <w:sz w:val="20"/>
                <w:szCs w:val="20"/>
              </w:rPr>
              <w:t>peguiladas</w:t>
            </w:r>
            <w:proofErr w:type="spellEnd"/>
            <w:r w:rsidRPr="00ED6365">
              <w:rPr>
                <w:sz w:val="20"/>
                <w:szCs w:val="20"/>
              </w:rPr>
              <w:t xml:space="preserve">, </w:t>
            </w:r>
            <w:proofErr w:type="spellStart"/>
            <w:r w:rsidRPr="00ED6365">
              <w:rPr>
                <w:sz w:val="20"/>
                <w:szCs w:val="20"/>
              </w:rPr>
              <w:t>transfersomas</w:t>
            </w:r>
            <w:proofErr w:type="spellEnd"/>
            <w:r w:rsidRPr="00ED6365">
              <w:rPr>
                <w:sz w:val="20"/>
                <w:szCs w:val="20"/>
              </w:rPr>
              <w:t xml:space="preserve"> e </w:t>
            </w:r>
            <w:proofErr w:type="spellStart"/>
            <w:r w:rsidRPr="00ED6365">
              <w:rPr>
                <w:sz w:val="20"/>
                <w:szCs w:val="20"/>
              </w:rPr>
              <w:t>hidrogéis</w:t>
            </w:r>
            <w:proofErr w:type="spellEnd"/>
            <w:r w:rsidRPr="00ED6365">
              <w:rPr>
                <w:sz w:val="20"/>
                <w:szCs w:val="20"/>
              </w:rPr>
              <w:t xml:space="preserve"> </w:t>
            </w:r>
            <w:proofErr w:type="spellStart"/>
            <w:r w:rsidRPr="00ED6365">
              <w:rPr>
                <w:sz w:val="20"/>
                <w:szCs w:val="20"/>
              </w:rPr>
              <w:t>lipossomais</w:t>
            </w:r>
            <w:proofErr w:type="spellEnd"/>
            <w:r w:rsidRPr="00ED6365">
              <w:rPr>
                <w:sz w:val="20"/>
                <w:szCs w:val="20"/>
              </w:rPr>
              <w:t xml:space="preserve"> </w:t>
            </w:r>
            <w:proofErr w:type="spellStart"/>
            <w:r w:rsidRPr="00ED6365">
              <w:rPr>
                <w:sz w:val="20"/>
                <w:szCs w:val="20"/>
              </w:rPr>
              <w:t>mucoadesivos</w:t>
            </w:r>
            <w:proofErr w:type="spellEnd"/>
            <w:r w:rsidRPr="00ED6365">
              <w:rPr>
                <w:sz w:val="20"/>
                <w:szCs w:val="20"/>
              </w:rPr>
              <w:t>)</w:t>
            </w:r>
          </w:p>
        </w:tc>
        <w:tc>
          <w:tcPr>
            <w:tcW w:w="1701" w:type="dxa"/>
          </w:tcPr>
          <w:p w14:paraId="1C6521E7" w14:textId="35256066" w:rsidR="00DC4DE9" w:rsidRPr="00ED6365" w:rsidRDefault="002D21FE" w:rsidP="004F5266">
            <w:pPr>
              <w:jc w:val="both"/>
              <w:rPr>
                <w:b/>
                <w:bCs/>
                <w:sz w:val="20"/>
                <w:szCs w:val="20"/>
              </w:rPr>
            </w:pPr>
            <w:r w:rsidRPr="00ED6365">
              <w:rPr>
                <w:sz w:val="20"/>
                <w:szCs w:val="20"/>
              </w:rPr>
              <w:t xml:space="preserve">Fármacos hidrofílicos de grande porte (GDNF, </w:t>
            </w:r>
            <w:proofErr w:type="spellStart"/>
            <w:r w:rsidRPr="00ED6365">
              <w:rPr>
                <w:sz w:val="20"/>
                <w:szCs w:val="20"/>
              </w:rPr>
              <w:t>bFGF</w:t>
            </w:r>
            <w:proofErr w:type="spellEnd"/>
            <w:r w:rsidRPr="00ED6365">
              <w:rPr>
                <w:sz w:val="20"/>
                <w:szCs w:val="20"/>
              </w:rPr>
              <w:t xml:space="preserve">, </w:t>
            </w:r>
            <w:proofErr w:type="spellStart"/>
            <w:r w:rsidRPr="00ED6365">
              <w:rPr>
                <w:sz w:val="20"/>
                <w:szCs w:val="20"/>
              </w:rPr>
              <w:t>ovalbumina</w:t>
            </w:r>
            <w:proofErr w:type="spellEnd"/>
            <w:r w:rsidRPr="00ED6365">
              <w:rPr>
                <w:sz w:val="20"/>
                <w:szCs w:val="20"/>
              </w:rPr>
              <w:t xml:space="preserve">, </w:t>
            </w:r>
            <w:proofErr w:type="spellStart"/>
            <w:r w:rsidRPr="00ED6365">
              <w:rPr>
                <w:sz w:val="20"/>
                <w:szCs w:val="20"/>
              </w:rPr>
              <w:t>rivastigmina</w:t>
            </w:r>
            <w:proofErr w:type="spellEnd"/>
            <w:r w:rsidRPr="00ED6365">
              <w:rPr>
                <w:sz w:val="20"/>
                <w:szCs w:val="20"/>
              </w:rPr>
              <w:t>) e lipofílicos/anfifílicos (</w:t>
            </w:r>
            <w:proofErr w:type="spellStart"/>
            <w:r w:rsidRPr="00ED6365">
              <w:rPr>
                <w:sz w:val="20"/>
                <w:szCs w:val="20"/>
              </w:rPr>
              <w:t>donepezil</w:t>
            </w:r>
            <w:proofErr w:type="spellEnd"/>
            <w:r w:rsidRPr="00ED6365">
              <w:rPr>
                <w:sz w:val="20"/>
                <w:szCs w:val="20"/>
              </w:rPr>
              <w:t xml:space="preserve">, </w:t>
            </w:r>
            <w:proofErr w:type="spellStart"/>
            <w:r w:rsidRPr="00ED6365">
              <w:rPr>
                <w:sz w:val="20"/>
                <w:szCs w:val="20"/>
              </w:rPr>
              <w:t>fentanil</w:t>
            </w:r>
            <w:proofErr w:type="spellEnd"/>
            <w:r w:rsidRPr="00ED6365">
              <w:rPr>
                <w:sz w:val="20"/>
                <w:szCs w:val="20"/>
              </w:rPr>
              <w:t xml:space="preserve">, </w:t>
            </w:r>
            <w:proofErr w:type="spellStart"/>
            <w:r w:rsidRPr="00ED6365">
              <w:rPr>
                <w:sz w:val="20"/>
                <w:szCs w:val="20"/>
              </w:rPr>
              <w:t>risperidona</w:t>
            </w:r>
            <w:proofErr w:type="spellEnd"/>
            <w:r w:rsidRPr="00ED6365">
              <w:rPr>
                <w:sz w:val="20"/>
                <w:szCs w:val="20"/>
              </w:rPr>
              <w:t xml:space="preserve">, </w:t>
            </w:r>
            <w:proofErr w:type="spellStart"/>
            <w:r w:rsidRPr="00ED6365">
              <w:rPr>
                <w:sz w:val="20"/>
                <w:szCs w:val="20"/>
              </w:rPr>
              <w:t>olanzapina</w:t>
            </w:r>
            <w:proofErr w:type="spellEnd"/>
            <w:r w:rsidRPr="00ED6365">
              <w:rPr>
                <w:sz w:val="20"/>
                <w:szCs w:val="20"/>
              </w:rPr>
              <w:t>)</w:t>
            </w:r>
          </w:p>
        </w:tc>
        <w:tc>
          <w:tcPr>
            <w:tcW w:w="1701" w:type="dxa"/>
          </w:tcPr>
          <w:p w14:paraId="6ED26BC4" w14:textId="042ED2B9" w:rsidR="00DC4DE9" w:rsidRPr="00ED6365" w:rsidRDefault="00D21FB7" w:rsidP="004F5266">
            <w:pPr>
              <w:jc w:val="both"/>
              <w:rPr>
                <w:b/>
                <w:bCs/>
                <w:sz w:val="20"/>
                <w:szCs w:val="20"/>
              </w:rPr>
            </w:pPr>
            <w:r w:rsidRPr="00ED6365">
              <w:rPr>
                <w:sz w:val="20"/>
                <w:szCs w:val="20"/>
              </w:rPr>
              <w:t xml:space="preserve">Artigo de revisão (compilação de estudos pré-clínicos </w:t>
            </w:r>
            <w:r w:rsidRPr="00ED6365">
              <w:rPr>
                <w:rStyle w:val="nfase"/>
                <w:sz w:val="20"/>
                <w:szCs w:val="20"/>
              </w:rPr>
              <w:t>in vivo</w:t>
            </w:r>
            <w:r w:rsidRPr="00ED6365">
              <w:rPr>
                <w:sz w:val="20"/>
                <w:szCs w:val="20"/>
              </w:rPr>
              <w:t xml:space="preserve"> em roedores)</w:t>
            </w:r>
          </w:p>
        </w:tc>
        <w:tc>
          <w:tcPr>
            <w:tcW w:w="2545" w:type="dxa"/>
          </w:tcPr>
          <w:p w14:paraId="197D2EAC" w14:textId="63E9C58E" w:rsidR="00DC4DE9" w:rsidRPr="00ED6365" w:rsidRDefault="00B47C5A" w:rsidP="004F5266">
            <w:pPr>
              <w:jc w:val="both"/>
              <w:rPr>
                <w:b/>
                <w:bCs/>
                <w:sz w:val="20"/>
                <w:szCs w:val="20"/>
              </w:rPr>
            </w:pPr>
            <w:r w:rsidRPr="00ED6365">
              <w:rPr>
                <w:sz w:val="20"/>
                <w:szCs w:val="20"/>
              </w:rPr>
              <w:t xml:space="preserve">Demonstrou que a encapsulação </w:t>
            </w:r>
            <w:proofErr w:type="spellStart"/>
            <w:r w:rsidRPr="00ED6365">
              <w:rPr>
                <w:sz w:val="20"/>
                <w:szCs w:val="20"/>
              </w:rPr>
              <w:t>lipossomal</w:t>
            </w:r>
            <w:proofErr w:type="spellEnd"/>
            <w:r w:rsidRPr="00ED6365">
              <w:rPr>
                <w:sz w:val="20"/>
                <w:szCs w:val="20"/>
              </w:rPr>
              <w:t xml:space="preserve"> protege macromoléculas hidrofílicas e </w:t>
            </w:r>
            <w:proofErr w:type="spellStart"/>
            <w:r w:rsidRPr="00ED6365">
              <w:rPr>
                <w:sz w:val="20"/>
                <w:szCs w:val="20"/>
              </w:rPr>
              <w:t>biofármacos</w:t>
            </w:r>
            <w:proofErr w:type="spellEnd"/>
            <w:r w:rsidRPr="00ED6365">
              <w:rPr>
                <w:sz w:val="20"/>
                <w:szCs w:val="20"/>
              </w:rPr>
              <w:t xml:space="preserve"> contra degradação enzimática e prolonga a retenção nasal, aumentando a biodisponibilidade cerebral.</w:t>
            </w:r>
          </w:p>
        </w:tc>
      </w:tr>
      <w:tr w:rsidR="00FC5451" w:rsidRPr="008D7D3F" w14:paraId="5EFD9A71" w14:textId="77777777" w:rsidTr="00FC5451">
        <w:tc>
          <w:tcPr>
            <w:tcW w:w="1413" w:type="dxa"/>
          </w:tcPr>
          <w:p w14:paraId="7215575C" w14:textId="38835228" w:rsidR="00DC4DE9" w:rsidRPr="00ED6365" w:rsidRDefault="000B736F" w:rsidP="004F5266">
            <w:pPr>
              <w:jc w:val="both"/>
              <w:rPr>
                <w:b/>
                <w:bCs/>
                <w:sz w:val="20"/>
                <w:szCs w:val="20"/>
              </w:rPr>
            </w:pPr>
            <w:r w:rsidRPr="00ED6365">
              <w:rPr>
                <w:sz w:val="20"/>
                <w:szCs w:val="20"/>
              </w:rPr>
              <w:t>Martins et al. (2020)</w:t>
            </w:r>
          </w:p>
        </w:tc>
        <w:tc>
          <w:tcPr>
            <w:tcW w:w="1701" w:type="dxa"/>
          </w:tcPr>
          <w:p w14:paraId="37C552F1" w14:textId="2DD16FB0" w:rsidR="00DC4DE9" w:rsidRPr="00ED6365" w:rsidRDefault="008A3485" w:rsidP="004F5266">
            <w:pPr>
              <w:jc w:val="both"/>
              <w:rPr>
                <w:b/>
                <w:bCs/>
                <w:sz w:val="20"/>
                <w:szCs w:val="20"/>
              </w:rPr>
            </w:pPr>
            <w:r w:rsidRPr="00ED6365">
              <w:rPr>
                <w:sz w:val="20"/>
                <w:szCs w:val="20"/>
              </w:rPr>
              <w:t>Spray nasal padrão vs. Nebulizador (deposição superior) vs. Infusão IV</w:t>
            </w:r>
          </w:p>
        </w:tc>
        <w:tc>
          <w:tcPr>
            <w:tcW w:w="1701" w:type="dxa"/>
          </w:tcPr>
          <w:p w14:paraId="280BBE65" w14:textId="7047F2D9" w:rsidR="00DC4DE9" w:rsidRPr="00ED6365" w:rsidRDefault="002D21FE" w:rsidP="004F5266">
            <w:pPr>
              <w:jc w:val="both"/>
              <w:rPr>
                <w:b/>
                <w:bCs/>
                <w:sz w:val="20"/>
                <w:szCs w:val="20"/>
              </w:rPr>
            </w:pPr>
            <w:r w:rsidRPr="00ED6365">
              <w:rPr>
                <w:sz w:val="20"/>
                <w:szCs w:val="20"/>
              </w:rPr>
              <w:t>Oxitocina sintética (40 IU IN / 10 IU IV)</w:t>
            </w:r>
          </w:p>
        </w:tc>
        <w:tc>
          <w:tcPr>
            <w:tcW w:w="1701" w:type="dxa"/>
          </w:tcPr>
          <w:p w14:paraId="6593F02C" w14:textId="0EEC9610" w:rsidR="00DC4DE9" w:rsidRPr="00ED6365" w:rsidRDefault="00A75F02" w:rsidP="004F5266">
            <w:pPr>
              <w:jc w:val="both"/>
              <w:rPr>
                <w:b/>
                <w:bCs/>
                <w:sz w:val="20"/>
                <w:szCs w:val="20"/>
              </w:rPr>
            </w:pPr>
            <w:r w:rsidRPr="00ED6365">
              <w:rPr>
                <w:sz w:val="20"/>
                <w:szCs w:val="20"/>
              </w:rPr>
              <w:t xml:space="preserve">Ensaio clínico randomizado, duplo-cego, triplo-falso, cruzado em voluntários humanos masculinos saudáveis (n=17) com </w:t>
            </w:r>
            <w:proofErr w:type="spellStart"/>
            <w:r w:rsidRPr="00ED6365">
              <w:rPr>
                <w:sz w:val="20"/>
                <w:szCs w:val="20"/>
              </w:rPr>
              <w:t>fMRI</w:t>
            </w:r>
            <w:proofErr w:type="spellEnd"/>
            <w:r w:rsidRPr="00ED6365">
              <w:rPr>
                <w:sz w:val="20"/>
                <w:szCs w:val="20"/>
              </w:rPr>
              <w:t>/ASL-MRI</w:t>
            </w:r>
          </w:p>
        </w:tc>
        <w:tc>
          <w:tcPr>
            <w:tcW w:w="2545" w:type="dxa"/>
          </w:tcPr>
          <w:p w14:paraId="7771ACC3" w14:textId="64D4DA03" w:rsidR="00DC4DE9" w:rsidRPr="00ED6365" w:rsidRDefault="00D45ABE" w:rsidP="004F5266">
            <w:pPr>
              <w:jc w:val="both"/>
              <w:rPr>
                <w:b/>
                <w:bCs/>
                <w:sz w:val="20"/>
                <w:szCs w:val="20"/>
              </w:rPr>
            </w:pPr>
            <w:r w:rsidRPr="00D45ABE">
              <w:rPr>
                <w:sz w:val="20"/>
                <w:szCs w:val="20"/>
              </w:rPr>
              <w:t>Observou alterações no fluxo sanguíneo cerebral regional após a administração intranasal de oxitocina, mas os resultados indicaram que essas alterações poderiam ser explicadas pelo aumento sistêmico da oxitocina, não permitindo atribuir os efeitos exclusivamente ao transporte direto ao cérebro.</w:t>
            </w:r>
          </w:p>
        </w:tc>
      </w:tr>
      <w:tr w:rsidR="00FC5451" w:rsidRPr="008D7D3F" w14:paraId="3AA32F7D" w14:textId="77777777" w:rsidTr="00FC5451">
        <w:tc>
          <w:tcPr>
            <w:tcW w:w="1413" w:type="dxa"/>
          </w:tcPr>
          <w:p w14:paraId="421AC694" w14:textId="03FE742F" w:rsidR="00DC4DE9" w:rsidRPr="00ED6365" w:rsidRDefault="000B736F" w:rsidP="004F5266">
            <w:pPr>
              <w:jc w:val="both"/>
              <w:rPr>
                <w:b/>
                <w:bCs/>
                <w:sz w:val="20"/>
                <w:szCs w:val="20"/>
              </w:rPr>
            </w:pPr>
            <w:r w:rsidRPr="00ED6365">
              <w:rPr>
                <w:sz w:val="20"/>
                <w:szCs w:val="20"/>
              </w:rPr>
              <w:t xml:space="preserve">Keller, Merkel e </w:t>
            </w:r>
            <w:proofErr w:type="spellStart"/>
            <w:r w:rsidRPr="00ED6365">
              <w:rPr>
                <w:sz w:val="20"/>
                <w:szCs w:val="20"/>
              </w:rPr>
              <w:t>Popp</w:t>
            </w:r>
            <w:proofErr w:type="spellEnd"/>
            <w:r w:rsidRPr="00ED6365">
              <w:rPr>
                <w:sz w:val="20"/>
                <w:szCs w:val="20"/>
              </w:rPr>
              <w:t xml:space="preserve"> (2021)</w:t>
            </w:r>
          </w:p>
        </w:tc>
        <w:tc>
          <w:tcPr>
            <w:tcW w:w="1701" w:type="dxa"/>
          </w:tcPr>
          <w:p w14:paraId="1840FA54" w14:textId="0D122DF2" w:rsidR="00DC4DE9" w:rsidRPr="00ED6365" w:rsidRDefault="008A3485" w:rsidP="004F5266">
            <w:pPr>
              <w:jc w:val="both"/>
              <w:rPr>
                <w:b/>
                <w:bCs/>
                <w:sz w:val="20"/>
                <w:szCs w:val="20"/>
              </w:rPr>
            </w:pPr>
            <w:r w:rsidRPr="00ED6365">
              <w:rPr>
                <w:sz w:val="20"/>
                <w:szCs w:val="20"/>
              </w:rPr>
              <w:t xml:space="preserve">Sistemas de entrega nariz-ao-cérebro (nanotecnologia, insufladores nasais bidirecionais, </w:t>
            </w:r>
            <w:proofErr w:type="spellStart"/>
            <w:r w:rsidRPr="00ED6365">
              <w:rPr>
                <w:sz w:val="20"/>
                <w:szCs w:val="20"/>
              </w:rPr>
              <w:t>hidrogéis</w:t>
            </w:r>
            <w:proofErr w:type="spellEnd"/>
            <w:r w:rsidRPr="00ED6365">
              <w:rPr>
                <w:sz w:val="20"/>
                <w:szCs w:val="20"/>
              </w:rPr>
              <w:t>)</w:t>
            </w:r>
          </w:p>
        </w:tc>
        <w:tc>
          <w:tcPr>
            <w:tcW w:w="1701" w:type="dxa"/>
          </w:tcPr>
          <w:p w14:paraId="0FD024D6" w14:textId="32582869" w:rsidR="00DC4DE9" w:rsidRPr="00ED6365" w:rsidRDefault="00AB0F54" w:rsidP="004F5266">
            <w:pPr>
              <w:jc w:val="both"/>
              <w:rPr>
                <w:b/>
                <w:bCs/>
                <w:sz w:val="20"/>
                <w:szCs w:val="20"/>
              </w:rPr>
            </w:pPr>
            <w:r w:rsidRPr="00ED6365">
              <w:rPr>
                <w:sz w:val="20"/>
                <w:szCs w:val="20"/>
              </w:rPr>
              <w:t xml:space="preserve">Diversas moléculas (pequenas moléculas, peptídeos, proteínas, </w:t>
            </w:r>
            <w:proofErr w:type="spellStart"/>
            <w:r w:rsidRPr="00ED6365">
              <w:rPr>
                <w:sz w:val="20"/>
                <w:szCs w:val="20"/>
              </w:rPr>
              <w:t>siRNA</w:t>
            </w:r>
            <w:proofErr w:type="spellEnd"/>
            <w:r w:rsidRPr="00ED6365">
              <w:rPr>
                <w:sz w:val="20"/>
                <w:szCs w:val="20"/>
              </w:rPr>
              <w:t xml:space="preserve">, </w:t>
            </w:r>
            <w:proofErr w:type="spellStart"/>
            <w:r w:rsidRPr="00ED6365">
              <w:rPr>
                <w:sz w:val="20"/>
                <w:szCs w:val="20"/>
              </w:rPr>
              <w:t>oligonucleotídeos</w:t>
            </w:r>
            <w:proofErr w:type="spellEnd"/>
            <w:r w:rsidRPr="00ED6365">
              <w:rPr>
                <w:sz w:val="20"/>
                <w:szCs w:val="20"/>
              </w:rPr>
              <w:t xml:space="preserve"> </w:t>
            </w:r>
            <w:proofErr w:type="spellStart"/>
            <w:r w:rsidRPr="00ED6365">
              <w:rPr>
                <w:sz w:val="20"/>
                <w:szCs w:val="20"/>
              </w:rPr>
              <w:t>antisense</w:t>
            </w:r>
            <w:proofErr w:type="spellEnd"/>
            <w:r w:rsidRPr="00ED6365">
              <w:rPr>
                <w:sz w:val="20"/>
                <w:szCs w:val="20"/>
              </w:rPr>
              <w:t xml:space="preserve"> e células-tronco)</w:t>
            </w:r>
          </w:p>
        </w:tc>
        <w:tc>
          <w:tcPr>
            <w:tcW w:w="1701" w:type="dxa"/>
          </w:tcPr>
          <w:p w14:paraId="3F21E1AF" w14:textId="1E4F6878" w:rsidR="00DC4DE9" w:rsidRPr="00ED6365" w:rsidRDefault="00A75F02" w:rsidP="004F5266">
            <w:pPr>
              <w:jc w:val="both"/>
              <w:rPr>
                <w:b/>
                <w:bCs/>
                <w:sz w:val="20"/>
                <w:szCs w:val="20"/>
              </w:rPr>
            </w:pPr>
            <w:r w:rsidRPr="00ED6365">
              <w:rPr>
                <w:sz w:val="20"/>
                <w:szCs w:val="20"/>
              </w:rPr>
              <w:t>Artigo de revisão (análise de dados anatômicos, fisiológicos, toxicológicos e clínicos)</w:t>
            </w:r>
          </w:p>
        </w:tc>
        <w:tc>
          <w:tcPr>
            <w:tcW w:w="2545" w:type="dxa"/>
          </w:tcPr>
          <w:p w14:paraId="11DBDC68" w14:textId="58241468" w:rsidR="00DC4DE9" w:rsidRPr="00ED6365" w:rsidRDefault="00CC4B6A" w:rsidP="004F5266">
            <w:pPr>
              <w:jc w:val="both"/>
              <w:rPr>
                <w:b/>
                <w:bCs/>
                <w:sz w:val="20"/>
                <w:szCs w:val="20"/>
              </w:rPr>
            </w:pPr>
            <w:r w:rsidRPr="00ED6365">
              <w:rPr>
                <w:sz w:val="20"/>
                <w:szCs w:val="20"/>
              </w:rPr>
              <w:t>Sistematizou as vias de transporte olfatória e trigeminal (e pulsações perivasculares) e identificou gargalos toxicológicos (depuração mucociliar, toxicidade de excipientes) e regulatórios cruciais para o desenvolvimento seguro.</w:t>
            </w:r>
          </w:p>
        </w:tc>
      </w:tr>
      <w:tr w:rsidR="006E160F" w:rsidRPr="008D7D3F" w14:paraId="405AB0FC" w14:textId="77777777" w:rsidTr="00FC5451">
        <w:tc>
          <w:tcPr>
            <w:tcW w:w="1413" w:type="dxa"/>
          </w:tcPr>
          <w:p w14:paraId="32331A90" w14:textId="6A0671B3" w:rsidR="000B736F" w:rsidRPr="00ED6365" w:rsidRDefault="007369AD" w:rsidP="004F5266">
            <w:pPr>
              <w:jc w:val="both"/>
              <w:rPr>
                <w:sz w:val="20"/>
                <w:szCs w:val="20"/>
              </w:rPr>
            </w:pPr>
            <w:r w:rsidRPr="00ED6365">
              <w:rPr>
                <w:sz w:val="20"/>
                <w:szCs w:val="20"/>
              </w:rPr>
              <w:t xml:space="preserve">Crowe e </w:t>
            </w:r>
            <w:proofErr w:type="spellStart"/>
            <w:r w:rsidRPr="00ED6365">
              <w:rPr>
                <w:sz w:val="20"/>
                <w:szCs w:val="20"/>
              </w:rPr>
              <w:t>Hsu</w:t>
            </w:r>
            <w:proofErr w:type="spellEnd"/>
            <w:r w:rsidRPr="00ED6365">
              <w:rPr>
                <w:sz w:val="20"/>
                <w:szCs w:val="20"/>
              </w:rPr>
              <w:t xml:space="preserve"> (2022)</w:t>
            </w:r>
          </w:p>
        </w:tc>
        <w:tc>
          <w:tcPr>
            <w:tcW w:w="1701" w:type="dxa"/>
          </w:tcPr>
          <w:p w14:paraId="6D8EC1CE" w14:textId="17A6843D" w:rsidR="000B736F" w:rsidRPr="00ED6365" w:rsidRDefault="000F4B47" w:rsidP="004F5266">
            <w:pPr>
              <w:jc w:val="both"/>
              <w:rPr>
                <w:b/>
                <w:bCs/>
                <w:sz w:val="20"/>
                <w:szCs w:val="20"/>
              </w:rPr>
            </w:pPr>
            <w:r w:rsidRPr="00ED6365">
              <w:rPr>
                <w:sz w:val="20"/>
                <w:szCs w:val="20"/>
              </w:rPr>
              <w:t xml:space="preserve">Potencializadores de permeabilidade, </w:t>
            </w:r>
            <w:proofErr w:type="spellStart"/>
            <w:r w:rsidRPr="00ED6365">
              <w:rPr>
                <w:sz w:val="20"/>
                <w:szCs w:val="20"/>
              </w:rPr>
              <w:t>biogéis</w:t>
            </w:r>
            <w:proofErr w:type="spellEnd"/>
            <w:r w:rsidRPr="00ED6365">
              <w:rPr>
                <w:sz w:val="20"/>
                <w:szCs w:val="20"/>
              </w:rPr>
              <w:t xml:space="preserve">, </w:t>
            </w:r>
            <w:proofErr w:type="spellStart"/>
            <w:r w:rsidRPr="00ED6365">
              <w:rPr>
                <w:sz w:val="20"/>
                <w:szCs w:val="20"/>
              </w:rPr>
              <w:t>nanocarreadores</w:t>
            </w:r>
            <w:proofErr w:type="spellEnd"/>
            <w:r w:rsidRPr="00ED6365">
              <w:rPr>
                <w:sz w:val="20"/>
                <w:szCs w:val="20"/>
              </w:rPr>
              <w:t xml:space="preserve"> (quitosana, </w:t>
            </w:r>
            <w:r w:rsidRPr="00ED6365">
              <w:rPr>
                <w:sz w:val="20"/>
                <w:szCs w:val="20"/>
              </w:rPr>
              <w:lastRenderedPageBreak/>
              <w:t xml:space="preserve">PLGA, lipossomas, </w:t>
            </w:r>
            <w:proofErr w:type="spellStart"/>
            <w:r w:rsidRPr="00ED6365">
              <w:rPr>
                <w:sz w:val="20"/>
                <w:szCs w:val="20"/>
              </w:rPr>
              <w:t>SLNs</w:t>
            </w:r>
            <w:proofErr w:type="spellEnd"/>
            <w:r w:rsidRPr="00ED6365">
              <w:rPr>
                <w:sz w:val="20"/>
                <w:szCs w:val="20"/>
              </w:rPr>
              <w:t xml:space="preserve">, </w:t>
            </w:r>
            <w:proofErr w:type="spellStart"/>
            <w:r w:rsidRPr="00ED6365">
              <w:rPr>
                <w:sz w:val="20"/>
                <w:szCs w:val="20"/>
              </w:rPr>
              <w:t>NLCs</w:t>
            </w:r>
            <w:proofErr w:type="spellEnd"/>
            <w:r w:rsidRPr="00ED6365">
              <w:rPr>
                <w:sz w:val="20"/>
                <w:szCs w:val="20"/>
              </w:rPr>
              <w:t>) e dispositivos de precisão (</w:t>
            </w:r>
            <w:proofErr w:type="spellStart"/>
            <w:r w:rsidRPr="00ED6365">
              <w:rPr>
                <w:sz w:val="20"/>
                <w:szCs w:val="20"/>
              </w:rPr>
              <w:t>ViaNase</w:t>
            </w:r>
            <w:proofErr w:type="spellEnd"/>
            <w:r w:rsidRPr="00ED6365">
              <w:rPr>
                <w:sz w:val="20"/>
                <w:szCs w:val="20"/>
              </w:rPr>
              <w:t xml:space="preserve">, </w:t>
            </w:r>
            <w:proofErr w:type="spellStart"/>
            <w:r w:rsidRPr="00ED6365">
              <w:rPr>
                <w:sz w:val="20"/>
                <w:szCs w:val="20"/>
              </w:rPr>
              <w:t>OptiNose</w:t>
            </w:r>
            <w:proofErr w:type="spellEnd"/>
            <w:r w:rsidRPr="00ED6365">
              <w:rPr>
                <w:sz w:val="20"/>
                <w:szCs w:val="20"/>
              </w:rPr>
              <w:t>, POD)</w:t>
            </w:r>
          </w:p>
        </w:tc>
        <w:tc>
          <w:tcPr>
            <w:tcW w:w="1701" w:type="dxa"/>
          </w:tcPr>
          <w:p w14:paraId="18ADDE38" w14:textId="6F1233A4" w:rsidR="000B736F" w:rsidRPr="00ED6365" w:rsidRDefault="00AB0F54" w:rsidP="004F5266">
            <w:pPr>
              <w:jc w:val="both"/>
              <w:rPr>
                <w:b/>
                <w:bCs/>
                <w:sz w:val="20"/>
                <w:szCs w:val="20"/>
              </w:rPr>
            </w:pPr>
            <w:r w:rsidRPr="00ED6365">
              <w:rPr>
                <w:sz w:val="20"/>
                <w:szCs w:val="20"/>
              </w:rPr>
              <w:lastRenderedPageBreak/>
              <w:t xml:space="preserve">Peptídeos bioativos (insulina, oxitocina, leptina, GDNF), pequenas </w:t>
            </w:r>
            <w:r w:rsidRPr="00ED6365">
              <w:rPr>
                <w:sz w:val="20"/>
                <w:szCs w:val="20"/>
              </w:rPr>
              <w:lastRenderedPageBreak/>
              <w:t xml:space="preserve">moléculas, </w:t>
            </w:r>
            <w:proofErr w:type="spellStart"/>
            <w:r w:rsidRPr="00ED6365">
              <w:rPr>
                <w:sz w:val="20"/>
                <w:szCs w:val="20"/>
              </w:rPr>
              <w:t>siRNA</w:t>
            </w:r>
            <w:proofErr w:type="spellEnd"/>
            <w:r w:rsidRPr="00ED6365">
              <w:rPr>
                <w:sz w:val="20"/>
                <w:szCs w:val="20"/>
              </w:rPr>
              <w:t xml:space="preserve"> e células-tronco</w:t>
            </w:r>
          </w:p>
        </w:tc>
        <w:tc>
          <w:tcPr>
            <w:tcW w:w="1701" w:type="dxa"/>
          </w:tcPr>
          <w:p w14:paraId="6132D0D9" w14:textId="72DDA692" w:rsidR="000B736F" w:rsidRPr="00ED6365" w:rsidRDefault="00A75F02" w:rsidP="004F5266">
            <w:pPr>
              <w:jc w:val="both"/>
              <w:rPr>
                <w:b/>
                <w:bCs/>
                <w:sz w:val="20"/>
                <w:szCs w:val="20"/>
              </w:rPr>
            </w:pPr>
            <w:r w:rsidRPr="00ED6365">
              <w:rPr>
                <w:sz w:val="20"/>
                <w:szCs w:val="20"/>
              </w:rPr>
              <w:lastRenderedPageBreak/>
              <w:t>Artigo de revisão (estudos pré-clínicos em roedores e ensaios clínicos em humanos)</w:t>
            </w:r>
          </w:p>
        </w:tc>
        <w:tc>
          <w:tcPr>
            <w:tcW w:w="2545" w:type="dxa"/>
          </w:tcPr>
          <w:p w14:paraId="7583121C" w14:textId="4B66AF98" w:rsidR="000B736F" w:rsidRPr="00ED6365" w:rsidRDefault="00E37F8F" w:rsidP="004F5266">
            <w:pPr>
              <w:jc w:val="both"/>
              <w:rPr>
                <w:b/>
                <w:bCs/>
                <w:sz w:val="20"/>
                <w:szCs w:val="20"/>
              </w:rPr>
            </w:pPr>
            <w:r w:rsidRPr="00E37F8F">
              <w:rPr>
                <w:sz w:val="20"/>
                <w:szCs w:val="20"/>
              </w:rPr>
              <w:t xml:space="preserve">Destacou que a associação entre características das formulações, </w:t>
            </w:r>
            <w:proofErr w:type="spellStart"/>
            <w:r w:rsidRPr="00E37F8F">
              <w:rPr>
                <w:sz w:val="20"/>
                <w:szCs w:val="20"/>
              </w:rPr>
              <w:t>nanocarreadores</w:t>
            </w:r>
            <w:proofErr w:type="spellEnd"/>
            <w:r w:rsidRPr="00E37F8F">
              <w:rPr>
                <w:sz w:val="20"/>
                <w:szCs w:val="20"/>
              </w:rPr>
              <w:t xml:space="preserve"> e dispositivos direcionados pode contribuir para superar </w:t>
            </w:r>
            <w:r w:rsidRPr="00E37F8F">
              <w:rPr>
                <w:sz w:val="20"/>
                <w:szCs w:val="20"/>
              </w:rPr>
              <w:lastRenderedPageBreak/>
              <w:t>barreiras anatômicas e melhorar a eficiência da entrega intranasal ao SNC.</w:t>
            </w:r>
          </w:p>
        </w:tc>
      </w:tr>
      <w:tr w:rsidR="006E160F" w:rsidRPr="008D7D3F" w14:paraId="2E3C4E8A" w14:textId="77777777" w:rsidTr="00FC5451">
        <w:tc>
          <w:tcPr>
            <w:tcW w:w="1413" w:type="dxa"/>
          </w:tcPr>
          <w:p w14:paraId="483361A9" w14:textId="3C53A187" w:rsidR="000B736F" w:rsidRPr="00ED6365" w:rsidRDefault="007369AD" w:rsidP="004F5266">
            <w:pPr>
              <w:jc w:val="both"/>
              <w:rPr>
                <w:sz w:val="20"/>
                <w:szCs w:val="20"/>
              </w:rPr>
            </w:pPr>
            <w:r w:rsidRPr="00ED6365">
              <w:rPr>
                <w:sz w:val="20"/>
                <w:szCs w:val="20"/>
              </w:rPr>
              <w:lastRenderedPageBreak/>
              <w:t>Zheng et al. (2024)</w:t>
            </w:r>
          </w:p>
        </w:tc>
        <w:tc>
          <w:tcPr>
            <w:tcW w:w="1701" w:type="dxa"/>
          </w:tcPr>
          <w:p w14:paraId="76366C41" w14:textId="7FCCC691" w:rsidR="000B736F" w:rsidRPr="00ED6365" w:rsidRDefault="000F4B47" w:rsidP="004F5266">
            <w:pPr>
              <w:jc w:val="both"/>
              <w:rPr>
                <w:b/>
                <w:bCs/>
                <w:sz w:val="20"/>
                <w:szCs w:val="20"/>
              </w:rPr>
            </w:pPr>
            <w:r w:rsidRPr="00ED6365">
              <w:rPr>
                <w:sz w:val="20"/>
                <w:szCs w:val="20"/>
              </w:rPr>
              <w:t>Nanopartículas Lipídicas Sólidas (</w:t>
            </w:r>
            <w:proofErr w:type="spellStart"/>
            <w:r w:rsidRPr="00ED6365">
              <w:rPr>
                <w:sz w:val="20"/>
                <w:szCs w:val="20"/>
              </w:rPr>
              <w:t>SLNs</w:t>
            </w:r>
            <w:proofErr w:type="spellEnd"/>
            <w:r w:rsidRPr="00ED6365">
              <w:rPr>
                <w:sz w:val="20"/>
                <w:szCs w:val="20"/>
              </w:rPr>
              <w:t>) e Carreadores Lipídicos Nanoestruturados (</w:t>
            </w:r>
            <w:proofErr w:type="spellStart"/>
            <w:r w:rsidRPr="00ED6365">
              <w:rPr>
                <w:sz w:val="20"/>
                <w:szCs w:val="20"/>
              </w:rPr>
              <w:t>NLCs</w:t>
            </w:r>
            <w:proofErr w:type="spellEnd"/>
            <w:r w:rsidRPr="00ED6365">
              <w:rPr>
                <w:sz w:val="20"/>
                <w:szCs w:val="20"/>
              </w:rPr>
              <w:t xml:space="preserve">), com/sem modificações de quitosana ou </w:t>
            </w:r>
            <w:proofErr w:type="spellStart"/>
            <w:r w:rsidRPr="00ED6365">
              <w:rPr>
                <w:sz w:val="20"/>
                <w:szCs w:val="20"/>
              </w:rPr>
              <w:t>hidrogéis</w:t>
            </w:r>
            <w:proofErr w:type="spellEnd"/>
          </w:p>
        </w:tc>
        <w:tc>
          <w:tcPr>
            <w:tcW w:w="1701" w:type="dxa"/>
          </w:tcPr>
          <w:p w14:paraId="20E3EDFB" w14:textId="105DB5E1" w:rsidR="000B736F" w:rsidRPr="00ED6365" w:rsidRDefault="00AB0F54" w:rsidP="004F5266">
            <w:pPr>
              <w:jc w:val="both"/>
              <w:rPr>
                <w:b/>
                <w:bCs/>
                <w:sz w:val="20"/>
                <w:szCs w:val="20"/>
              </w:rPr>
            </w:pPr>
            <w:r w:rsidRPr="00ED6365">
              <w:rPr>
                <w:sz w:val="20"/>
                <w:szCs w:val="20"/>
              </w:rPr>
              <w:t>Diversos fármacos para patologias do SNC (</w:t>
            </w:r>
            <w:proofErr w:type="spellStart"/>
            <w:r w:rsidRPr="00ED6365">
              <w:rPr>
                <w:sz w:val="20"/>
                <w:szCs w:val="20"/>
              </w:rPr>
              <w:t>rivastigmina</w:t>
            </w:r>
            <w:proofErr w:type="spellEnd"/>
            <w:r w:rsidRPr="00ED6365">
              <w:rPr>
                <w:sz w:val="20"/>
                <w:szCs w:val="20"/>
              </w:rPr>
              <w:t xml:space="preserve">, </w:t>
            </w:r>
            <w:proofErr w:type="spellStart"/>
            <w:r w:rsidRPr="00ED6365">
              <w:rPr>
                <w:sz w:val="20"/>
                <w:szCs w:val="20"/>
              </w:rPr>
              <w:t>donepezil</w:t>
            </w:r>
            <w:proofErr w:type="spellEnd"/>
            <w:r w:rsidRPr="00ED6365">
              <w:rPr>
                <w:sz w:val="20"/>
                <w:szCs w:val="20"/>
              </w:rPr>
              <w:t xml:space="preserve">, </w:t>
            </w:r>
            <w:proofErr w:type="spellStart"/>
            <w:r w:rsidRPr="00ED6365">
              <w:rPr>
                <w:sz w:val="20"/>
                <w:szCs w:val="20"/>
              </w:rPr>
              <w:t>haloperidol</w:t>
            </w:r>
            <w:proofErr w:type="spellEnd"/>
            <w:r w:rsidRPr="00ED6365">
              <w:rPr>
                <w:sz w:val="20"/>
                <w:szCs w:val="20"/>
              </w:rPr>
              <w:t xml:space="preserve">, berberina, </w:t>
            </w:r>
            <w:proofErr w:type="spellStart"/>
            <w:r w:rsidRPr="00ED6365">
              <w:rPr>
                <w:sz w:val="20"/>
                <w:szCs w:val="20"/>
              </w:rPr>
              <w:t>sumatriptana</w:t>
            </w:r>
            <w:proofErr w:type="spellEnd"/>
            <w:r w:rsidRPr="00ED6365">
              <w:rPr>
                <w:sz w:val="20"/>
                <w:szCs w:val="20"/>
              </w:rPr>
              <w:t>, etc.)</w:t>
            </w:r>
          </w:p>
        </w:tc>
        <w:tc>
          <w:tcPr>
            <w:tcW w:w="1701" w:type="dxa"/>
          </w:tcPr>
          <w:p w14:paraId="632D6D1B" w14:textId="01D5E972" w:rsidR="000B736F" w:rsidRPr="00ED6365" w:rsidRDefault="00AD71B7" w:rsidP="004F5266">
            <w:pPr>
              <w:jc w:val="both"/>
              <w:rPr>
                <w:b/>
                <w:bCs/>
                <w:sz w:val="20"/>
                <w:szCs w:val="20"/>
              </w:rPr>
            </w:pPr>
            <w:r w:rsidRPr="00AD71B7">
              <w:rPr>
                <w:sz w:val="20"/>
                <w:szCs w:val="20"/>
              </w:rPr>
              <w:t>Revisão da literatura</w:t>
            </w:r>
          </w:p>
        </w:tc>
        <w:tc>
          <w:tcPr>
            <w:tcW w:w="2545" w:type="dxa"/>
          </w:tcPr>
          <w:p w14:paraId="60BF841E" w14:textId="35DB23AA" w:rsidR="000B736F" w:rsidRPr="00ED6365" w:rsidRDefault="001667F4" w:rsidP="004F5266">
            <w:pPr>
              <w:jc w:val="both"/>
              <w:rPr>
                <w:b/>
                <w:bCs/>
                <w:sz w:val="20"/>
                <w:szCs w:val="20"/>
              </w:rPr>
            </w:pPr>
            <w:r w:rsidRPr="001667F4">
              <w:rPr>
                <w:sz w:val="20"/>
                <w:szCs w:val="20"/>
              </w:rPr>
              <w:t xml:space="preserve">Reuniu evidências sobre o uso de </w:t>
            </w:r>
            <w:proofErr w:type="spellStart"/>
            <w:r w:rsidRPr="001667F4">
              <w:rPr>
                <w:sz w:val="20"/>
                <w:szCs w:val="20"/>
              </w:rPr>
              <w:t>SLNs</w:t>
            </w:r>
            <w:proofErr w:type="spellEnd"/>
            <w:r w:rsidRPr="001667F4">
              <w:rPr>
                <w:sz w:val="20"/>
                <w:szCs w:val="20"/>
              </w:rPr>
              <w:t xml:space="preserve"> e </w:t>
            </w:r>
            <w:proofErr w:type="spellStart"/>
            <w:r w:rsidRPr="001667F4">
              <w:rPr>
                <w:sz w:val="20"/>
                <w:szCs w:val="20"/>
              </w:rPr>
              <w:t>NLCs</w:t>
            </w:r>
            <w:proofErr w:type="spellEnd"/>
            <w:r w:rsidRPr="001667F4">
              <w:rPr>
                <w:sz w:val="20"/>
                <w:szCs w:val="20"/>
              </w:rPr>
              <w:t xml:space="preserve"> na administração intranasal, destacando seu potencial para favorecer a entrega de diferentes fármacos ao sistema nervoso central e melhorar características como estabilidade, retenção e direcionamento cerebral.</w:t>
            </w:r>
          </w:p>
        </w:tc>
      </w:tr>
      <w:tr w:rsidR="006E160F" w:rsidRPr="008D7D3F" w14:paraId="5AFEF86A" w14:textId="77777777" w:rsidTr="00FC5451">
        <w:tc>
          <w:tcPr>
            <w:tcW w:w="1413" w:type="dxa"/>
          </w:tcPr>
          <w:p w14:paraId="24D82C8B" w14:textId="17B03127" w:rsidR="000B736F" w:rsidRPr="00ED6365" w:rsidRDefault="007369AD" w:rsidP="004F5266">
            <w:pPr>
              <w:jc w:val="both"/>
              <w:rPr>
                <w:sz w:val="20"/>
                <w:szCs w:val="20"/>
              </w:rPr>
            </w:pPr>
            <w:r w:rsidRPr="00ED6365">
              <w:rPr>
                <w:sz w:val="20"/>
                <w:szCs w:val="20"/>
              </w:rPr>
              <w:t>Qiu et al. (2025)</w:t>
            </w:r>
          </w:p>
        </w:tc>
        <w:tc>
          <w:tcPr>
            <w:tcW w:w="1701" w:type="dxa"/>
          </w:tcPr>
          <w:p w14:paraId="1431A0E6" w14:textId="5151CDBC" w:rsidR="000B736F" w:rsidRPr="00ED6365" w:rsidRDefault="000F4B47" w:rsidP="004F5266">
            <w:pPr>
              <w:jc w:val="both"/>
              <w:rPr>
                <w:b/>
                <w:bCs/>
                <w:sz w:val="20"/>
                <w:szCs w:val="20"/>
              </w:rPr>
            </w:pPr>
            <w:proofErr w:type="spellStart"/>
            <w:r w:rsidRPr="00ED6365">
              <w:rPr>
                <w:sz w:val="20"/>
                <w:szCs w:val="20"/>
              </w:rPr>
              <w:t>Nanocarreadores</w:t>
            </w:r>
            <w:proofErr w:type="spellEnd"/>
            <w:r w:rsidRPr="00ED6365">
              <w:rPr>
                <w:sz w:val="20"/>
                <w:szCs w:val="20"/>
              </w:rPr>
              <w:t xml:space="preserve"> (nanopartículas lipídicas, lipossomas, </w:t>
            </w:r>
            <w:proofErr w:type="spellStart"/>
            <w:r w:rsidRPr="00ED6365">
              <w:rPr>
                <w:sz w:val="20"/>
                <w:szCs w:val="20"/>
              </w:rPr>
              <w:t>nanoemulsões</w:t>
            </w:r>
            <w:proofErr w:type="spellEnd"/>
            <w:r w:rsidRPr="00ED6365">
              <w:rPr>
                <w:sz w:val="20"/>
                <w:szCs w:val="20"/>
              </w:rPr>
              <w:t xml:space="preserve">, </w:t>
            </w:r>
            <w:proofErr w:type="spellStart"/>
            <w:r w:rsidRPr="00ED6365">
              <w:rPr>
                <w:sz w:val="20"/>
                <w:szCs w:val="20"/>
              </w:rPr>
              <w:t>dendrímeros</w:t>
            </w:r>
            <w:proofErr w:type="spellEnd"/>
            <w:r w:rsidRPr="00ED6365">
              <w:rPr>
                <w:sz w:val="20"/>
                <w:szCs w:val="20"/>
              </w:rPr>
              <w:t xml:space="preserve">), vetores virais, </w:t>
            </w:r>
            <w:proofErr w:type="spellStart"/>
            <w:r w:rsidRPr="00ED6365">
              <w:rPr>
                <w:sz w:val="20"/>
                <w:szCs w:val="20"/>
              </w:rPr>
              <w:t>exossomos</w:t>
            </w:r>
            <w:proofErr w:type="spellEnd"/>
            <w:r w:rsidRPr="00ED6365">
              <w:rPr>
                <w:sz w:val="20"/>
                <w:szCs w:val="20"/>
              </w:rPr>
              <w:t>/</w:t>
            </w:r>
            <w:proofErr w:type="spellStart"/>
            <w:r w:rsidRPr="00ED6365">
              <w:rPr>
                <w:sz w:val="20"/>
                <w:szCs w:val="20"/>
              </w:rPr>
              <w:t>EVs</w:t>
            </w:r>
            <w:proofErr w:type="spellEnd"/>
            <w:r w:rsidRPr="00ED6365">
              <w:rPr>
                <w:sz w:val="20"/>
                <w:szCs w:val="20"/>
              </w:rPr>
              <w:t xml:space="preserve"> e </w:t>
            </w:r>
            <w:proofErr w:type="spellStart"/>
            <w:r w:rsidRPr="00ED6365">
              <w:rPr>
                <w:sz w:val="20"/>
                <w:szCs w:val="20"/>
              </w:rPr>
              <w:t>hidrogéis</w:t>
            </w:r>
            <w:proofErr w:type="spellEnd"/>
            <w:r w:rsidRPr="00ED6365">
              <w:rPr>
                <w:sz w:val="20"/>
                <w:szCs w:val="20"/>
              </w:rPr>
              <w:t xml:space="preserve"> </w:t>
            </w:r>
            <w:proofErr w:type="spellStart"/>
            <w:r w:rsidRPr="00ED6365">
              <w:rPr>
                <w:sz w:val="20"/>
                <w:szCs w:val="20"/>
              </w:rPr>
              <w:t>termossensíveis</w:t>
            </w:r>
            <w:proofErr w:type="spellEnd"/>
          </w:p>
        </w:tc>
        <w:tc>
          <w:tcPr>
            <w:tcW w:w="1701" w:type="dxa"/>
          </w:tcPr>
          <w:p w14:paraId="4EF64735" w14:textId="19C711FB" w:rsidR="000B736F" w:rsidRPr="00ED6365" w:rsidRDefault="00AB0F54" w:rsidP="004F5266">
            <w:pPr>
              <w:jc w:val="both"/>
              <w:rPr>
                <w:b/>
                <w:bCs/>
                <w:sz w:val="20"/>
                <w:szCs w:val="20"/>
              </w:rPr>
            </w:pPr>
            <w:r w:rsidRPr="00ED6365">
              <w:rPr>
                <w:sz w:val="20"/>
                <w:szCs w:val="20"/>
              </w:rPr>
              <w:t>Pequenas moléculas, proteínas, peptídeos, ácidos nucleicos (</w:t>
            </w:r>
            <w:proofErr w:type="spellStart"/>
            <w:r w:rsidRPr="00ED6365">
              <w:rPr>
                <w:sz w:val="20"/>
                <w:szCs w:val="20"/>
              </w:rPr>
              <w:t>siRNA</w:t>
            </w:r>
            <w:proofErr w:type="spellEnd"/>
            <w:r w:rsidRPr="00ED6365">
              <w:rPr>
                <w:sz w:val="20"/>
                <w:szCs w:val="20"/>
              </w:rPr>
              <w:t xml:space="preserve">, </w:t>
            </w:r>
            <w:proofErr w:type="spellStart"/>
            <w:r w:rsidRPr="00ED6365">
              <w:rPr>
                <w:sz w:val="20"/>
                <w:szCs w:val="20"/>
              </w:rPr>
              <w:t>miRNA</w:t>
            </w:r>
            <w:proofErr w:type="spellEnd"/>
            <w:r w:rsidRPr="00ED6365">
              <w:rPr>
                <w:sz w:val="20"/>
                <w:szCs w:val="20"/>
              </w:rPr>
              <w:t>), células-tronco e compostos fitoterápicos</w:t>
            </w:r>
          </w:p>
        </w:tc>
        <w:tc>
          <w:tcPr>
            <w:tcW w:w="1701" w:type="dxa"/>
          </w:tcPr>
          <w:p w14:paraId="5916AA2C" w14:textId="00FF9B97" w:rsidR="000B736F" w:rsidRPr="00ED6365" w:rsidRDefault="008F7D35" w:rsidP="004F5266">
            <w:pPr>
              <w:jc w:val="both"/>
              <w:rPr>
                <w:b/>
                <w:bCs/>
                <w:sz w:val="20"/>
                <w:szCs w:val="20"/>
              </w:rPr>
            </w:pPr>
            <w:r w:rsidRPr="00ED6365">
              <w:rPr>
                <w:sz w:val="20"/>
                <w:szCs w:val="20"/>
              </w:rPr>
              <w:t xml:space="preserve">Artigo de revisão (compilação de modelos </w:t>
            </w:r>
            <w:r w:rsidRPr="00ED6365">
              <w:rPr>
                <w:rStyle w:val="nfase"/>
                <w:sz w:val="20"/>
                <w:szCs w:val="20"/>
              </w:rPr>
              <w:t>in vivo</w:t>
            </w:r>
            <w:r w:rsidRPr="00ED6365">
              <w:rPr>
                <w:sz w:val="20"/>
                <w:szCs w:val="20"/>
              </w:rPr>
              <w:t xml:space="preserve"> em roedores para doenças centrais e ensaios clínicos)</w:t>
            </w:r>
          </w:p>
        </w:tc>
        <w:tc>
          <w:tcPr>
            <w:tcW w:w="2545" w:type="dxa"/>
          </w:tcPr>
          <w:p w14:paraId="558B45BB" w14:textId="3E3F6BFD" w:rsidR="000B736F" w:rsidRPr="00ED6365" w:rsidRDefault="000A5C0C" w:rsidP="004F5266">
            <w:pPr>
              <w:jc w:val="both"/>
              <w:rPr>
                <w:b/>
                <w:bCs/>
                <w:sz w:val="20"/>
                <w:szCs w:val="20"/>
              </w:rPr>
            </w:pPr>
            <w:r w:rsidRPr="00ED6365">
              <w:rPr>
                <w:sz w:val="20"/>
                <w:szCs w:val="20"/>
              </w:rPr>
              <w:t xml:space="preserve">Sintetizou como </w:t>
            </w:r>
            <w:proofErr w:type="spellStart"/>
            <w:r w:rsidRPr="00ED6365">
              <w:rPr>
                <w:sz w:val="20"/>
                <w:szCs w:val="20"/>
              </w:rPr>
              <w:t>nanossistemas</w:t>
            </w:r>
            <w:proofErr w:type="spellEnd"/>
            <w:r w:rsidRPr="00ED6365">
              <w:rPr>
                <w:sz w:val="20"/>
                <w:szCs w:val="20"/>
              </w:rPr>
              <w:t xml:space="preserve"> e </w:t>
            </w:r>
            <w:proofErr w:type="spellStart"/>
            <w:r w:rsidRPr="00ED6365">
              <w:rPr>
                <w:sz w:val="20"/>
                <w:szCs w:val="20"/>
              </w:rPr>
              <w:t>exossomos</w:t>
            </w:r>
            <w:proofErr w:type="spellEnd"/>
            <w:r w:rsidRPr="00ED6365">
              <w:rPr>
                <w:sz w:val="20"/>
                <w:szCs w:val="20"/>
              </w:rPr>
              <w:t xml:space="preserve"> superam a BHE pelas vias olfatória e trigeminal, atenuando a </w:t>
            </w:r>
            <w:proofErr w:type="spellStart"/>
            <w:r w:rsidRPr="00ED6365">
              <w:rPr>
                <w:sz w:val="20"/>
                <w:szCs w:val="20"/>
              </w:rPr>
              <w:t>neuroinflamação</w:t>
            </w:r>
            <w:proofErr w:type="spellEnd"/>
            <w:r w:rsidRPr="00ED6365">
              <w:rPr>
                <w:sz w:val="20"/>
                <w:szCs w:val="20"/>
              </w:rPr>
              <w:t xml:space="preserve"> e o estresse oxidativo em patologias do SNC.</w:t>
            </w:r>
          </w:p>
        </w:tc>
      </w:tr>
      <w:tr w:rsidR="006E160F" w:rsidRPr="008D7D3F" w14:paraId="207985A8" w14:textId="77777777" w:rsidTr="00FC5451">
        <w:tc>
          <w:tcPr>
            <w:tcW w:w="1413" w:type="dxa"/>
          </w:tcPr>
          <w:p w14:paraId="7E96CA4F" w14:textId="12DF9310" w:rsidR="000B736F" w:rsidRPr="00ED6365" w:rsidRDefault="007369AD" w:rsidP="004F5266">
            <w:pPr>
              <w:jc w:val="both"/>
              <w:rPr>
                <w:sz w:val="20"/>
                <w:szCs w:val="20"/>
              </w:rPr>
            </w:pPr>
            <w:proofErr w:type="spellStart"/>
            <w:r w:rsidRPr="00ED6365">
              <w:rPr>
                <w:sz w:val="20"/>
                <w:szCs w:val="20"/>
              </w:rPr>
              <w:t>Vishnumurthy</w:t>
            </w:r>
            <w:proofErr w:type="spellEnd"/>
            <w:r w:rsidRPr="00ED6365">
              <w:rPr>
                <w:sz w:val="20"/>
                <w:szCs w:val="20"/>
              </w:rPr>
              <w:t xml:space="preserve"> et al. (2025)</w:t>
            </w:r>
          </w:p>
        </w:tc>
        <w:tc>
          <w:tcPr>
            <w:tcW w:w="1701" w:type="dxa"/>
          </w:tcPr>
          <w:p w14:paraId="79DC353A" w14:textId="7F7A4B1E" w:rsidR="000B736F" w:rsidRPr="00ED6365" w:rsidRDefault="001E4932" w:rsidP="004F5266">
            <w:pPr>
              <w:jc w:val="both"/>
              <w:rPr>
                <w:b/>
                <w:bCs/>
                <w:sz w:val="20"/>
                <w:szCs w:val="20"/>
              </w:rPr>
            </w:pPr>
            <w:r w:rsidRPr="00ED6365">
              <w:rPr>
                <w:sz w:val="20"/>
                <w:szCs w:val="20"/>
              </w:rPr>
              <w:t>Sprays nasais, nebulizadores e irrigação nasal avaliados por Mecânica dos Fluidos Computacional (CFD)</w:t>
            </w:r>
          </w:p>
        </w:tc>
        <w:tc>
          <w:tcPr>
            <w:tcW w:w="1701" w:type="dxa"/>
          </w:tcPr>
          <w:p w14:paraId="0FF2EE14" w14:textId="60BD3576" w:rsidR="000B736F" w:rsidRPr="00ED6365" w:rsidRDefault="00710696" w:rsidP="004F5266">
            <w:pPr>
              <w:jc w:val="both"/>
              <w:rPr>
                <w:b/>
                <w:bCs/>
                <w:sz w:val="20"/>
                <w:szCs w:val="20"/>
              </w:rPr>
            </w:pPr>
            <w:r w:rsidRPr="00ED6365">
              <w:rPr>
                <w:sz w:val="20"/>
                <w:szCs w:val="20"/>
              </w:rPr>
              <w:t>Partículas e aerossóis simulados</w:t>
            </w:r>
          </w:p>
        </w:tc>
        <w:tc>
          <w:tcPr>
            <w:tcW w:w="1701" w:type="dxa"/>
          </w:tcPr>
          <w:p w14:paraId="75A4406A" w14:textId="4601FBB4" w:rsidR="000B736F" w:rsidRPr="00ED6365" w:rsidRDefault="008F7D35" w:rsidP="004F5266">
            <w:pPr>
              <w:jc w:val="both"/>
              <w:rPr>
                <w:b/>
                <w:bCs/>
                <w:sz w:val="20"/>
                <w:szCs w:val="20"/>
              </w:rPr>
            </w:pPr>
            <w:r w:rsidRPr="00ED6365">
              <w:rPr>
                <w:sz w:val="20"/>
                <w:szCs w:val="20"/>
              </w:rPr>
              <w:t>Revisão sistemática e meta-análise de simulações CFD em modelos 3D reconstruídos da cavidade nasal humana (tomografia/ressonância)</w:t>
            </w:r>
          </w:p>
        </w:tc>
        <w:tc>
          <w:tcPr>
            <w:tcW w:w="2545" w:type="dxa"/>
          </w:tcPr>
          <w:p w14:paraId="394829D4" w14:textId="052300F0" w:rsidR="000B736F" w:rsidRPr="00ED6365" w:rsidRDefault="000A5C0C" w:rsidP="004F5266">
            <w:pPr>
              <w:jc w:val="both"/>
              <w:rPr>
                <w:b/>
                <w:bCs/>
                <w:sz w:val="20"/>
                <w:szCs w:val="20"/>
              </w:rPr>
            </w:pPr>
            <w:r w:rsidRPr="00ED6365">
              <w:rPr>
                <w:sz w:val="20"/>
                <w:szCs w:val="20"/>
              </w:rPr>
              <w:t>Identificou estatisticamente que o menor tamanho de partícula (</w:t>
            </w:r>
            <w:proofErr w:type="spellStart"/>
            <w:r w:rsidRPr="00ED6365">
              <w:rPr>
                <w:sz w:val="20"/>
                <w:szCs w:val="20"/>
              </w:rPr>
              <w:t>pooled</w:t>
            </w:r>
            <w:proofErr w:type="spellEnd"/>
            <w:r w:rsidRPr="00ED6365">
              <w:rPr>
                <w:sz w:val="20"/>
                <w:szCs w:val="20"/>
              </w:rPr>
              <w:t xml:space="preserve"> r = −0,42) e o menor parâmetro de impactação inercial (r = −0,39) são os fatores determinantes para otimizar a taxa de deposição na fenda olfativa.</w:t>
            </w:r>
          </w:p>
        </w:tc>
      </w:tr>
      <w:tr w:rsidR="006E160F" w:rsidRPr="008D7D3F" w14:paraId="77B8B2BE" w14:textId="77777777" w:rsidTr="00FC5451">
        <w:tc>
          <w:tcPr>
            <w:tcW w:w="1413" w:type="dxa"/>
          </w:tcPr>
          <w:p w14:paraId="45A3C5E4" w14:textId="05F9F4FD" w:rsidR="000B736F" w:rsidRPr="00ED6365" w:rsidRDefault="0012060F" w:rsidP="004F5266">
            <w:pPr>
              <w:jc w:val="both"/>
              <w:rPr>
                <w:sz w:val="20"/>
                <w:szCs w:val="20"/>
              </w:rPr>
            </w:pPr>
            <w:proofErr w:type="spellStart"/>
            <w:r w:rsidRPr="00ED6365">
              <w:rPr>
                <w:sz w:val="20"/>
                <w:szCs w:val="20"/>
              </w:rPr>
              <w:t>Fong</w:t>
            </w:r>
            <w:proofErr w:type="spellEnd"/>
            <w:r w:rsidRPr="00ED6365">
              <w:rPr>
                <w:sz w:val="20"/>
                <w:szCs w:val="20"/>
              </w:rPr>
              <w:t xml:space="preserve"> et al. (2026)</w:t>
            </w:r>
          </w:p>
        </w:tc>
        <w:tc>
          <w:tcPr>
            <w:tcW w:w="1701" w:type="dxa"/>
          </w:tcPr>
          <w:p w14:paraId="36EBA601" w14:textId="11515E3E" w:rsidR="000B736F" w:rsidRPr="00ED6365" w:rsidRDefault="001E4932" w:rsidP="004F5266">
            <w:pPr>
              <w:jc w:val="both"/>
              <w:rPr>
                <w:b/>
                <w:bCs/>
                <w:sz w:val="20"/>
                <w:szCs w:val="20"/>
              </w:rPr>
            </w:pPr>
            <w:r w:rsidRPr="00ED6365">
              <w:rPr>
                <w:sz w:val="20"/>
                <w:szCs w:val="20"/>
              </w:rPr>
              <w:t>Dispositivos de spray por turbilhonamento de pressão (</w:t>
            </w:r>
            <w:proofErr w:type="spellStart"/>
            <w:r w:rsidRPr="00ED6365">
              <w:rPr>
                <w:sz w:val="20"/>
                <w:szCs w:val="20"/>
              </w:rPr>
              <w:t>pressure-swirl</w:t>
            </w:r>
            <w:proofErr w:type="spellEnd"/>
            <w:r w:rsidRPr="00ED6365">
              <w:rPr>
                <w:sz w:val="20"/>
                <w:szCs w:val="20"/>
              </w:rPr>
              <w:t xml:space="preserve">) vs. névoa suave (soft </w:t>
            </w:r>
            <w:proofErr w:type="spellStart"/>
            <w:r w:rsidRPr="00ED6365">
              <w:rPr>
                <w:sz w:val="20"/>
                <w:szCs w:val="20"/>
              </w:rPr>
              <w:t>mist</w:t>
            </w:r>
            <w:proofErr w:type="spellEnd"/>
            <w:r w:rsidRPr="00ED6365">
              <w:rPr>
                <w:sz w:val="20"/>
                <w:szCs w:val="20"/>
              </w:rPr>
              <w:t>)</w:t>
            </w:r>
          </w:p>
        </w:tc>
        <w:tc>
          <w:tcPr>
            <w:tcW w:w="1701" w:type="dxa"/>
          </w:tcPr>
          <w:p w14:paraId="094C369B" w14:textId="7AEBA661" w:rsidR="000B736F" w:rsidRPr="00ED6365" w:rsidRDefault="0029556F" w:rsidP="004F5266">
            <w:pPr>
              <w:jc w:val="both"/>
              <w:rPr>
                <w:b/>
                <w:bCs/>
                <w:sz w:val="20"/>
                <w:szCs w:val="20"/>
              </w:rPr>
            </w:pPr>
            <w:r w:rsidRPr="00ED6365">
              <w:rPr>
                <w:sz w:val="20"/>
                <w:szCs w:val="20"/>
              </w:rPr>
              <w:t>Cafeína (utilizada estritamente como marcador/traçador analítico in vitro)</w:t>
            </w:r>
          </w:p>
        </w:tc>
        <w:tc>
          <w:tcPr>
            <w:tcW w:w="1701" w:type="dxa"/>
          </w:tcPr>
          <w:p w14:paraId="4BD77B4D" w14:textId="792C49F2" w:rsidR="000B736F" w:rsidRPr="00ED6365" w:rsidRDefault="008F7D35" w:rsidP="004F5266">
            <w:pPr>
              <w:jc w:val="both"/>
              <w:rPr>
                <w:b/>
                <w:bCs/>
                <w:sz w:val="20"/>
                <w:szCs w:val="20"/>
              </w:rPr>
            </w:pPr>
            <w:r w:rsidRPr="00ED6365">
              <w:rPr>
                <w:sz w:val="20"/>
                <w:szCs w:val="20"/>
              </w:rPr>
              <w:t xml:space="preserve">Molde nasal humano idealizado </w:t>
            </w:r>
            <w:r w:rsidRPr="00ED6365">
              <w:rPr>
                <w:rStyle w:val="nfase"/>
                <w:sz w:val="20"/>
                <w:szCs w:val="20"/>
              </w:rPr>
              <w:t>in vitro</w:t>
            </w:r>
            <w:r w:rsidRPr="00ED6365">
              <w:rPr>
                <w:sz w:val="20"/>
                <w:szCs w:val="20"/>
              </w:rPr>
              <w:t xml:space="preserve"> (Alberta </w:t>
            </w:r>
            <w:proofErr w:type="spellStart"/>
            <w:r w:rsidRPr="00ED6365">
              <w:rPr>
                <w:sz w:val="20"/>
                <w:szCs w:val="20"/>
              </w:rPr>
              <w:t>Idealised</w:t>
            </w:r>
            <w:proofErr w:type="spellEnd"/>
            <w:r w:rsidRPr="00ED6365">
              <w:rPr>
                <w:sz w:val="20"/>
                <w:szCs w:val="20"/>
              </w:rPr>
              <w:t xml:space="preserve"> Nasal </w:t>
            </w:r>
            <w:proofErr w:type="spellStart"/>
            <w:r w:rsidRPr="00ED6365">
              <w:rPr>
                <w:sz w:val="20"/>
                <w:szCs w:val="20"/>
              </w:rPr>
              <w:t>Inlet</w:t>
            </w:r>
            <w:proofErr w:type="spellEnd"/>
            <w:r w:rsidRPr="00ED6365">
              <w:rPr>
                <w:sz w:val="20"/>
                <w:szCs w:val="20"/>
              </w:rPr>
              <w:t xml:space="preserve">) e Next Generation </w:t>
            </w:r>
            <w:proofErr w:type="spellStart"/>
            <w:r w:rsidRPr="00ED6365">
              <w:rPr>
                <w:sz w:val="20"/>
                <w:szCs w:val="20"/>
              </w:rPr>
              <w:t>Impactor</w:t>
            </w:r>
            <w:proofErr w:type="spellEnd"/>
            <w:r w:rsidRPr="00ED6365">
              <w:rPr>
                <w:sz w:val="20"/>
                <w:szCs w:val="20"/>
              </w:rPr>
              <w:t xml:space="preserve"> sob fluxos inspiratórios simulados</w:t>
            </w:r>
          </w:p>
        </w:tc>
        <w:tc>
          <w:tcPr>
            <w:tcW w:w="2545" w:type="dxa"/>
          </w:tcPr>
          <w:p w14:paraId="24A20C25" w14:textId="69C24FB6" w:rsidR="000B736F" w:rsidRPr="00ED6365" w:rsidRDefault="00AA4EF6" w:rsidP="004F5266">
            <w:pPr>
              <w:jc w:val="both"/>
              <w:rPr>
                <w:b/>
                <w:bCs/>
                <w:sz w:val="20"/>
                <w:szCs w:val="20"/>
              </w:rPr>
            </w:pPr>
            <w:r w:rsidRPr="00ED6365">
              <w:rPr>
                <w:sz w:val="20"/>
                <w:szCs w:val="20"/>
              </w:rPr>
              <w:t>Demonstrou que a viscosidade da formulação e o fluxo inspiratório alteram a deposição regional, mas a deposição direta na fenda olfativa com esses dispositivos foi mínima (≤ 1,1%), reforçando a necessidade de dispositivos específicos direcionados.</w:t>
            </w:r>
          </w:p>
        </w:tc>
      </w:tr>
      <w:tr w:rsidR="006E160F" w:rsidRPr="008D7D3F" w14:paraId="5930DC8A" w14:textId="77777777" w:rsidTr="00FC5451">
        <w:tc>
          <w:tcPr>
            <w:tcW w:w="1413" w:type="dxa"/>
          </w:tcPr>
          <w:p w14:paraId="65D86770" w14:textId="115B4687" w:rsidR="000B736F" w:rsidRPr="00ED6365" w:rsidRDefault="0012060F" w:rsidP="004F5266">
            <w:pPr>
              <w:jc w:val="both"/>
              <w:rPr>
                <w:sz w:val="20"/>
                <w:szCs w:val="20"/>
              </w:rPr>
            </w:pPr>
            <w:proofErr w:type="spellStart"/>
            <w:r w:rsidRPr="00ED6365">
              <w:rPr>
                <w:sz w:val="20"/>
                <w:szCs w:val="20"/>
              </w:rPr>
              <w:t>Séguy</w:t>
            </w:r>
            <w:proofErr w:type="spellEnd"/>
            <w:r w:rsidRPr="00ED6365">
              <w:rPr>
                <w:sz w:val="20"/>
                <w:szCs w:val="20"/>
              </w:rPr>
              <w:t xml:space="preserve"> et al. (2026)</w:t>
            </w:r>
          </w:p>
        </w:tc>
        <w:tc>
          <w:tcPr>
            <w:tcW w:w="1701" w:type="dxa"/>
          </w:tcPr>
          <w:p w14:paraId="3A0516D1" w14:textId="1C2DAC85" w:rsidR="000B736F" w:rsidRPr="00ED6365" w:rsidRDefault="001E4932" w:rsidP="004F5266">
            <w:pPr>
              <w:jc w:val="both"/>
              <w:rPr>
                <w:b/>
                <w:bCs/>
                <w:sz w:val="20"/>
                <w:szCs w:val="20"/>
              </w:rPr>
            </w:pPr>
            <w:r w:rsidRPr="00ED6365">
              <w:rPr>
                <w:sz w:val="20"/>
                <w:szCs w:val="20"/>
              </w:rPr>
              <w:t xml:space="preserve">Lipossomas incorporados em </w:t>
            </w:r>
            <w:proofErr w:type="spellStart"/>
            <w:r w:rsidRPr="00ED6365">
              <w:rPr>
                <w:sz w:val="20"/>
                <w:szCs w:val="20"/>
              </w:rPr>
              <w:t>hidrogel</w:t>
            </w:r>
            <w:proofErr w:type="spellEnd"/>
            <w:r w:rsidRPr="00ED6365">
              <w:rPr>
                <w:sz w:val="20"/>
                <w:szCs w:val="20"/>
              </w:rPr>
              <w:t xml:space="preserve"> </w:t>
            </w:r>
            <w:proofErr w:type="spellStart"/>
            <w:r w:rsidRPr="00ED6365">
              <w:rPr>
                <w:sz w:val="20"/>
                <w:szCs w:val="20"/>
              </w:rPr>
              <w:t>termossensível</w:t>
            </w:r>
            <w:proofErr w:type="spellEnd"/>
            <w:r w:rsidRPr="00ED6365">
              <w:rPr>
                <w:sz w:val="20"/>
                <w:szCs w:val="20"/>
              </w:rPr>
              <w:t xml:space="preserve"> </w:t>
            </w:r>
            <w:proofErr w:type="spellStart"/>
            <w:r w:rsidRPr="00ED6365">
              <w:rPr>
                <w:sz w:val="20"/>
                <w:szCs w:val="20"/>
              </w:rPr>
              <w:t>nanocompósito</w:t>
            </w:r>
            <w:proofErr w:type="spellEnd"/>
            <w:r w:rsidRPr="00ED6365">
              <w:rPr>
                <w:sz w:val="20"/>
                <w:szCs w:val="20"/>
              </w:rPr>
              <w:t xml:space="preserve"> (</w:t>
            </w:r>
            <w:proofErr w:type="spellStart"/>
            <w:r w:rsidRPr="00ED6365">
              <w:rPr>
                <w:sz w:val="20"/>
                <w:szCs w:val="20"/>
              </w:rPr>
              <w:t>poloxâmero</w:t>
            </w:r>
            <w:proofErr w:type="spellEnd"/>
            <w:r w:rsidRPr="00ED6365">
              <w:rPr>
                <w:sz w:val="20"/>
                <w:szCs w:val="20"/>
              </w:rPr>
              <w:t xml:space="preserve"> P407/P188) / </w:t>
            </w:r>
            <w:proofErr w:type="spellStart"/>
            <w:r w:rsidRPr="00ED6365">
              <w:rPr>
                <w:sz w:val="20"/>
                <w:szCs w:val="20"/>
              </w:rPr>
              <w:t>Nanoemulsões</w:t>
            </w:r>
            <w:proofErr w:type="spellEnd"/>
            <w:r w:rsidRPr="00ED6365">
              <w:rPr>
                <w:sz w:val="20"/>
                <w:szCs w:val="20"/>
              </w:rPr>
              <w:t xml:space="preserve"> decoradas com peptídeo-22</w:t>
            </w:r>
          </w:p>
        </w:tc>
        <w:tc>
          <w:tcPr>
            <w:tcW w:w="1701" w:type="dxa"/>
          </w:tcPr>
          <w:p w14:paraId="704935AD" w14:textId="662DABBF" w:rsidR="000B736F" w:rsidRPr="00ED6365" w:rsidRDefault="00BF2D06" w:rsidP="004F5266">
            <w:pPr>
              <w:jc w:val="both"/>
              <w:rPr>
                <w:b/>
                <w:bCs/>
                <w:sz w:val="20"/>
                <w:szCs w:val="20"/>
              </w:rPr>
            </w:pPr>
            <w:proofErr w:type="spellStart"/>
            <w:r w:rsidRPr="00ED6365">
              <w:rPr>
                <w:sz w:val="20"/>
                <w:szCs w:val="20"/>
              </w:rPr>
              <w:t>Tegaserode</w:t>
            </w:r>
            <w:proofErr w:type="spellEnd"/>
          </w:p>
        </w:tc>
        <w:tc>
          <w:tcPr>
            <w:tcW w:w="1701" w:type="dxa"/>
          </w:tcPr>
          <w:p w14:paraId="439D2150" w14:textId="3A1A3822" w:rsidR="000B736F" w:rsidRPr="00ED6365" w:rsidRDefault="008F7D35" w:rsidP="004F5266">
            <w:pPr>
              <w:jc w:val="both"/>
              <w:rPr>
                <w:b/>
                <w:bCs/>
                <w:sz w:val="20"/>
                <w:szCs w:val="20"/>
              </w:rPr>
            </w:pPr>
            <w:r w:rsidRPr="00ED6365">
              <w:rPr>
                <w:sz w:val="20"/>
                <w:szCs w:val="20"/>
              </w:rPr>
              <w:t xml:space="preserve">Modelo </w:t>
            </w:r>
            <w:r w:rsidRPr="00ED6365">
              <w:rPr>
                <w:rStyle w:val="nfase"/>
                <w:sz w:val="20"/>
                <w:szCs w:val="20"/>
              </w:rPr>
              <w:t>in vitro</w:t>
            </w:r>
            <w:r w:rsidRPr="00ED6365">
              <w:rPr>
                <w:sz w:val="20"/>
                <w:szCs w:val="20"/>
              </w:rPr>
              <w:t xml:space="preserve"> da barreira hematoencefálica humana e camundongos C57BL/6 </w:t>
            </w:r>
            <w:r w:rsidRPr="00ED6365">
              <w:rPr>
                <w:rStyle w:val="nfase"/>
                <w:sz w:val="20"/>
                <w:szCs w:val="20"/>
              </w:rPr>
              <w:t>in vivo</w:t>
            </w:r>
          </w:p>
        </w:tc>
        <w:tc>
          <w:tcPr>
            <w:tcW w:w="2545" w:type="dxa"/>
          </w:tcPr>
          <w:p w14:paraId="7E13D074" w14:textId="1E8D0109" w:rsidR="000B736F" w:rsidRPr="00ED6365" w:rsidRDefault="00AA4EF6" w:rsidP="004F5266">
            <w:pPr>
              <w:jc w:val="both"/>
              <w:rPr>
                <w:b/>
                <w:bCs/>
                <w:sz w:val="20"/>
                <w:szCs w:val="20"/>
              </w:rPr>
            </w:pPr>
            <w:r w:rsidRPr="00ED6365">
              <w:rPr>
                <w:sz w:val="20"/>
                <w:szCs w:val="20"/>
              </w:rPr>
              <w:t xml:space="preserve">Evidenciou que a formulação </w:t>
            </w:r>
            <w:proofErr w:type="spellStart"/>
            <w:r w:rsidRPr="00ED6365">
              <w:rPr>
                <w:sz w:val="20"/>
                <w:szCs w:val="20"/>
              </w:rPr>
              <w:t>lipossomal</w:t>
            </w:r>
            <w:proofErr w:type="spellEnd"/>
            <w:r w:rsidRPr="00ED6365">
              <w:rPr>
                <w:sz w:val="20"/>
                <w:szCs w:val="20"/>
              </w:rPr>
              <w:t xml:space="preserve"> em gel </w:t>
            </w:r>
            <w:proofErr w:type="spellStart"/>
            <w:r w:rsidRPr="00ED6365">
              <w:rPr>
                <w:sz w:val="20"/>
                <w:szCs w:val="20"/>
              </w:rPr>
              <w:t>termossensível</w:t>
            </w:r>
            <w:proofErr w:type="spellEnd"/>
            <w:r w:rsidRPr="00ED6365">
              <w:rPr>
                <w:sz w:val="20"/>
                <w:szCs w:val="20"/>
              </w:rPr>
              <w:t xml:space="preserve"> apresenta perfil reológico e de liberação ideais para a via intranasal,</w:t>
            </w:r>
            <w:r w:rsidR="001D2AD5">
              <w:rPr>
                <w:sz w:val="20"/>
                <w:szCs w:val="20"/>
              </w:rPr>
              <w:t xml:space="preserve"> </w:t>
            </w:r>
            <w:r w:rsidR="001D2AD5" w:rsidRPr="001D2AD5">
              <w:rPr>
                <w:sz w:val="20"/>
                <w:szCs w:val="20"/>
              </w:rPr>
              <w:t xml:space="preserve">favorecendo a entrega do </w:t>
            </w:r>
            <w:proofErr w:type="spellStart"/>
            <w:r w:rsidR="001D2AD5" w:rsidRPr="001D2AD5">
              <w:rPr>
                <w:sz w:val="20"/>
                <w:szCs w:val="20"/>
              </w:rPr>
              <w:t>tegaserode</w:t>
            </w:r>
            <w:proofErr w:type="spellEnd"/>
            <w:r w:rsidR="001D2AD5" w:rsidRPr="001D2AD5">
              <w:rPr>
                <w:sz w:val="20"/>
                <w:szCs w:val="20"/>
              </w:rPr>
              <w:t xml:space="preserve"> ao cérebro em modelo animal</w:t>
            </w:r>
            <w:r w:rsidRPr="00ED6365">
              <w:rPr>
                <w:sz w:val="20"/>
                <w:szCs w:val="20"/>
              </w:rPr>
              <w:t>.</w:t>
            </w:r>
          </w:p>
        </w:tc>
      </w:tr>
      <w:tr w:rsidR="006E160F" w:rsidRPr="008D7D3F" w14:paraId="03413171" w14:textId="77777777" w:rsidTr="00FC5451">
        <w:tc>
          <w:tcPr>
            <w:tcW w:w="1413" w:type="dxa"/>
          </w:tcPr>
          <w:p w14:paraId="3E9FAB7E" w14:textId="4947B4EF" w:rsidR="000B736F" w:rsidRPr="00ED6365" w:rsidRDefault="0012060F" w:rsidP="004F5266">
            <w:pPr>
              <w:jc w:val="both"/>
              <w:rPr>
                <w:sz w:val="20"/>
                <w:szCs w:val="20"/>
              </w:rPr>
            </w:pPr>
            <w:r w:rsidRPr="00ED6365">
              <w:rPr>
                <w:sz w:val="20"/>
                <w:szCs w:val="20"/>
              </w:rPr>
              <w:t>Zhang et al. (2026)</w:t>
            </w:r>
          </w:p>
        </w:tc>
        <w:tc>
          <w:tcPr>
            <w:tcW w:w="1701" w:type="dxa"/>
          </w:tcPr>
          <w:p w14:paraId="0E82E64E" w14:textId="5B565B27" w:rsidR="000B736F" w:rsidRPr="00ED6365" w:rsidRDefault="002325B7" w:rsidP="004F5266">
            <w:pPr>
              <w:jc w:val="both"/>
              <w:rPr>
                <w:b/>
                <w:bCs/>
                <w:sz w:val="20"/>
                <w:szCs w:val="20"/>
              </w:rPr>
            </w:pPr>
            <w:r w:rsidRPr="00ED6365">
              <w:rPr>
                <w:sz w:val="20"/>
                <w:szCs w:val="20"/>
              </w:rPr>
              <w:t xml:space="preserve">Mapeamento de </w:t>
            </w:r>
            <w:proofErr w:type="spellStart"/>
            <w:r w:rsidRPr="00ED6365">
              <w:rPr>
                <w:sz w:val="20"/>
                <w:szCs w:val="20"/>
              </w:rPr>
              <w:t>nanovetores</w:t>
            </w:r>
            <w:proofErr w:type="spellEnd"/>
            <w:r w:rsidRPr="00ED6365">
              <w:rPr>
                <w:sz w:val="20"/>
                <w:szCs w:val="20"/>
              </w:rPr>
              <w:t xml:space="preserve"> </w:t>
            </w:r>
            <w:r w:rsidRPr="00ED6365">
              <w:rPr>
                <w:sz w:val="20"/>
                <w:szCs w:val="20"/>
              </w:rPr>
              <w:lastRenderedPageBreak/>
              <w:t xml:space="preserve">(nanopartículas lipídicas, </w:t>
            </w:r>
            <w:proofErr w:type="spellStart"/>
            <w:r w:rsidRPr="00ED6365">
              <w:rPr>
                <w:sz w:val="20"/>
                <w:szCs w:val="20"/>
              </w:rPr>
              <w:t>exossomos</w:t>
            </w:r>
            <w:proofErr w:type="spellEnd"/>
            <w:r w:rsidRPr="00ED6365">
              <w:rPr>
                <w:sz w:val="20"/>
                <w:szCs w:val="20"/>
              </w:rPr>
              <w:t xml:space="preserve">, </w:t>
            </w:r>
            <w:proofErr w:type="spellStart"/>
            <w:r w:rsidRPr="00ED6365">
              <w:rPr>
                <w:sz w:val="20"/>
                <w:szCs w:val="20"/>
              </w:rPr>
              <w:t>SLNs</w:t>
            </w:r>
            <w:proofErr w:type="spellEnd"/>
            <w:r w:rsidRPr="00ED6365">
              <w:rPr>
                <w:sz w:val="20"/>
                <w:szCs w:val="20"/>
              </w:rPr>
              <w:t xml:space="preserve">, </w:t>
            </w:r>
            <w:proofErr w:type="spellStart"/>
            <w:r w:rsidRPr="00ED6365">
              <w:rPr>
                <w:sz w:val="20"/>
                <w:szCs w:val="20"/>
              </w:rPr>
              <w:t>NLCs</w:t>
            </w:r>
            <w:proofErr w:type="spellEnd"/>
            <w:r w:rsidRPr="00ED6365">
              <w:rPr>
                <w:sz w:val="20"/>
                <w:szCs w:val="20"/>
              </w:rPr>
              <w:t xml:space="preserve">, </w:t>
            </w:r>
            <w:proofErr w:type="spellStart"/>
            <w:r w:rsidRPr="00ED6365">
              <w:rPr>
                <w:sz w:val="20"/>
                <w:szCs w:val="20"/>
              </w:rPr>
              <w:t>hidrogéis</w:t>
            </w:r>
            <w:proofErr w:type="spellEnd"/>
            <w:r w:rsidRPr="00ED6365">
              <w:rPr>
                <w:sz w:val="20"/>
                <w:szCs w:val="20"/>
              </w:rPr>
              <w:t>, etc.)</w:t>
            </w:r>
          </w:p>
        </w:tc>
        <w:tc>
          <w:tcPr>
            <w:tcW w:w="1701" w:type="dxa"/>
          </w:tcPr>
          <w:p w14:paraId="4EC9F688" w14:textId="6CC73C04" w:rsidR="000B736F" w:rsidRPr="00ED6365" w:rsidRDefault="00C7512A" w:rsidP="004F5266">
            <w:pPr>
              <w:jc w:val="both"/>
              <w:rPr>
                <w:b/>
                <w:bCs/>
                <w:sz w:val="20"/>
                <w:szCs w:val="20"/>
              </w:rPr>
            </w:pPr>
            <w:r w:rsidRPr="00ED6365">
              <w:rPr>
                <w:sz w:val="20"/>
                <w:szCs w:val="20"/>
              </w:rPr>
              <w:lastRenderedPageBreak/>
              <w:t xml:space="preserve">Diversos fármacos analisados na </w:t>
            </w:r>
            <w:r w:rsidRPr="00ED6365">
              <w:rPr>
                <w:sz w:val="20"/>
                <w:szCs w:val="20"/>
              </w:rPr>
              <w:lastRenderedPageBreak/>
              <w:t xml:space="preserve">literatura (oxitocina, insulina, </w:t>
            </w:r>
            <w:proofErr w:type="spellStart"/>
            <w:r w:rsidRPr="00ED6365">
              <w:rPr>
                <w:sz w:val="20"/>
                <w:szCs w:val="20"/>
              </w:rPr>
              <w:t>temozolomida</w:t>
            </w:r>
            <w:proofErr w:type="spellEnd"/>
            <w:r w:rsidRPr="00ED6365">
              <w:rPr>
                <w:sz w:val="20"/>
                <w:szCs w:val="20"/>
              </w:rPr>
              <w:t xml:space="preserve">, álcool </w:t>
            </w:r>
            <w:proofErr w:type="spellStart"/>
            <w:r w:rsidRPr="00ED6365">
              <w:rPr>
                <w:sz w:val="20"/>
                <w:szCs w:val="20"/>
              </w:rPr>
              <w:t>perilílico</w:t>
            </w:r>
            <w:proofErr w:type="spellEnd"/>
            <w:r w:rsidRPr="00ED6365">
              <w:rPr>
                <w:sz w:val="20"/>
                <w:szCs w:val="20"/>
              </w:rPr>
              <w:t>, etc.)</w:t>
            </w:r>
          </w:p>
        </w:tc>
        <w:tc>
          <w:tcPr>
            <w:tcW w:w="1701" w:type="dxa"/>
          </w:tcPr>
          <w:p w14:paraId="3503A216" w14:textId="7FBBA70A" w:rsidR="000B736F" w:rsidRPr="00ED6365" w:rsidRDefault="00FF0E33" w:rsidP="004F5266">
            <w:pPr>
              <w:jc w:val="both"/>
              <w:rPr>
                <w:b/>
                <w:bCs/>
                <w:sz w:val="20"/>
                <w:szCs w:val="20"/>
              </w:rPr>
            </w:pPr>
            <w:r w:rsidRPr="00ED6365">
              <w:rPr>
                <w:sz w:val="20"/>
                <w:szCs w:val="20"/>
              </w:rPr>
              <w:lastRenderedPageBreak/>
              <w:t xml:space="preserve">Análise bibliométrica e </w:t>
            </w:r>
            <w:r w:rsidRPr="00ED6365">
              <w:rPr>
                <w:sz w:val="20"/>
                <w:szCs w:val="20"/>
              </w:rPr>
              <w:lastRenderedPageBreak/>
              <w:t xml:space="preserve">revisão sistemática de 4.009 artigos recuperados da Web </w:t>
            </w:r>
            <w:proofErr w:type="spellStart"/>
            <w:r w:rsidRPr="00ED6365">
              <w:rPr>
                <w:sz w:val="20"/>
                <w:szCs w:val="20"/>
              </w:rPr>
              <w:t>of</w:t>
            </w:r>
            <w:proofErr w:type="spellEnd"/>
            <w:r w:rsidRPr="00ED6365">
              <w:rPr>
                <w:sz w:val="20"/>
                <w:szCs w:val="20"/>
              </w:rPr>
              <w:t xml:space="preserve"> Science Core </w:t>
            </w:r>
            <w:proofErr w:type="spellStart"/>
            <w:r w:rsidRPr="00ED6365">
              <w:rPr>
                <w:sz w:val="20"/>
                <w:szCs w:val="20"/>
              </w:rPr>
              <w:t>Collection</w:t>
            </w:r>
            <w:proofErr w:type="spellEnd"/>
            <w:r w:rsidRPr="00ED6365">
              <w:rPr>
                <w:sz w:val="20"/>
                <w:szCs w:val="20"/>
              </w:rPr>
              <w:t xml:space="preserve"> (2000–2025)</w:t>
            </w:r>
          </w:p>
        </w:tc>
        <w:tc>
          <w:tcPr>
            <w:tcW w:w="2545" w:type="dxa"/>
          </w:tcPr>
          <w:p w14:paraId="676E084C" w14:textId="3A688543" w:rsidR="000B736F" w:rsidRPr="00ED6365" w:rsidRDefault="00AA4EF6" w:rsidP="004F5266">
            <w:pPr>
              <w:jc w:val="both"/>
              <w:rPr>
                <w:b/>
                <w:bCs/>
                <w:sz w:val="20"/>
                <w:szCs w:val="20"/>
              </w:rPr>
            </w:pPr>
            <w:r w:rsidRPr="00ED6365">
              <w:rPr>
                <w:sz w:val="20"/>
                <w:szCs w:val="20"/>
              </w:rPr>
              <w:lastRenderedPageBreak/>
              <w:t xml:space="preserve">Mapeou a evolução temática do campo (da absorção </w:t>
            </w:r>
            <w:r w:rsidRPr="00ED6365">
              <w:rPr>
                <w:sz w:val="20"/>
                <w:szCs w:val="20"/>
              </w:rPr>
              <w:lastRenderedPageBreak/>
              <w:t xml:space="preserve">mucosa para </w:t>
            </w:r>
            <w:proofErr w:type="spellStart"/>
            <w:r w:rsidRPr="00ED6365">
              <w:rPr>
                <w:sz w:val="20"/>
                <w:szCs w:val="20"/>
              </w:rPr>
              <w:t>nanocarreadores</w:t>
            </w:r>
            <w:proofErr w:type="spellEnd"/>
            <w:r w:rsidRPr="00ED6365">
              <w:rPr>
                <w:sz w:val="20"/>
                <w:szCs w:val="20"/>
              </w:rPr>
              <w:t xml:space="preserve"> lipídicos e </w:t>
            </w:r>
            <w:proofErr w:type="spellStart"/>
            <w:r w:rsidRPr="00ED6365">
              <w:rPr>
                <w:sz w:val="20"/>
                <w:szCs w:val="20"/>
              </w:rPr>
              <w:t>exossomos</w:t>
            </w:r>
            <w:proofErr w:type="spellEnd"/>
            <w:r w:rsidRPr="00ED6365">
              <w:rPr>
                <w:sz w:val="20"/>
                <w:szCs w:val="20"/>
              </w:rPr>
              <w:t>) e enfatizou a lacuna translacional entre dados pré-clínicos e aplicação clínica.</w:t>
            </w:r>
          </w:p>
        </w:tc>
      </w:tr>
      <w:tr w:rsidR="006E160F" w:rsidRPr="008D7D3F" w14:paraId="50F24C9C" w14:textId="77777777" w:rsidTr="00FC5451">
        <w:tc>
          <w:tcPr>
            <w:tcW w:w="1413" w:type="dxa"/>
          </w:tcPr>
          <w:p w14:paraId="575435AA" w14:textId="24AFF728" w:rsidR="000B736F" w:rsidRPr="00ED6365" w:rsidRDefault="00AA3C9D" w:rsidP="004F5266">
            <w:pPr>
              <w:jc w:val="both"/>
              <w:rPr>
                <w:sz w:val="20"/>
                <w:szCs w:val="20"/>
              </w:rPr>
            </w:pPr>
            <w:r w:rsidRPr="00ED6365">
              <w:rPr>
                <w:sz w:val="20"/>
                <w:szCs w:val="20"/>
              </w:rPr>
              <w:lastRenderedPageBreak/>
              <w:t>D’Souza et al. (2026)</w:t>
            </w:r>
          </w:p>
        </w:tc>
        <w:tc>
          <w:tcPr>
            <w:tcW w:w="1701" w:type="dxa"/>
          </w:tcPr>
          <w:p w14:paraId="549BA9BA" w14:textId="4C9E0D82" w:rsidR="000B736F" w:rsidRPr="00ED6365" w:rsidRDefault="002325B7" w:rsidP="004F5266">
            <w:pPr>
              <w:jc w:val="both"/>
              <w:rPr>
                <w:b/>
                <w:bCs/>
                <w:sz w:val="20"/>
                <w:szCs w:val="20"/>
              </w:rPr>
            </w:pPr>
            <w:r w:rsidRPr="00ED6365">
              <w:rPr>
                <w:sz w:val="20"/>
                <w:szCs w:val="20"/>
              </w:rPr>
              <w:t xml:space="preserve">Formulações direcionadas (ligantes, </w:t>
            </w:r>
            <w:proofErr w:type="spellStart"/>
            <w:r w:rsidRPr="00ED6365">
              <w:rPr>
                <w:sz w:val="20"/>
                <w:szCs w:val="20"/>
              </w:rPr>
              <w:t>CPPs</w:t>
            </w:r>
            <w:proofErr w:type="spellEnd"/>
            <w:r w:rsidRPr="00ED6365">
              <w:rPr>
                <w:sz w:val="20"/>
                <w:szCs w:val="20"/>
              </w:rPr>
              <w:t xml:space="preserve">, micelas) e estratégias físicas/dispositivos de precisão (MIND, cateteres, </w:t>
            </w:r>
            <w:proofErr w:type="spellStart"/>
            <w:r w:rsidRPr="00ED6365">
              <w:rPr>
                <w:sz w:val="20"/>
                <w:szCs w:val="20"/>
              </w:rPr>
              <w:t>ViaNase</w:t>
            </w:r>
            <w:proofErr w:type="spellEnd"/>
            <w:r w:rsidRPr="00ED6365">
              <w:rPr>
                <w:sz w:val="20"/>
                <w:szCs w:val="20"/>
              </w:rPr>
              <w:t xml:space="preserve">, </w:t>
            </w:r>
            <w:proofErr w:type="spellStart"/>
            <w:r w:rsidRPr="00ED6365">
              <w:rPr>
                <w:sz w:val="20"/>
                <w:szCs w:val="20"/>
              </w:rPr>
              <w:t>OptiMist</w:t>
            </w:r>
            <w:proofErr w:type="spellEnd"/>
            <w:r w:rsidRPr="00ED6365">
              <w:rPr>
                <w:sz w:val="20"/>
                <w:szCs w:val="20"/>
              </w:rPr>
              <w:t xml:space="preserve">, </w:t>
            </w:r>
            <w:proofErr w:type="spellStart"/>
            <w:r w:rsidRPr="00ED6365">
              <w:rPr>
                <w:sz w:val="20"/>
                <w:szCs w:val="20"/>
              </w:rPr>
              <w:t>Sipnose</w:t>
            </w:r>
            <w:proofErr w:type="spellEnd"/>
            <w:r w:rsidRPr="00ED6365">
              <w:rPr>
                <w:sz w:val="20"/>
                <w:szCs w:val="20"/>
              </w:rPr>
              <w:t>, N2B-system)</w:t>
            </w:r>
          </w:p>
        </w:tc>
        <w:tc>
          <w:tcPr>
            <w:tcW w:w="1701" w:type="dxa"/>
          </w:tcPr>
          <w:p w14:paraId="72CB1EC8" w14:textId="7C7473FD" w:rsidR="000B736F" w:rsidRPr="00ED6365" w:rsidRDefault="00C7512A" w:rsidP="004F5266">
            <w:pPr>
              <w:jc w:val="both"/>
              <w:rPr>
                <w:b/>
                <w:bCs/>
                <w:sz w:val="20"/>
                <w:szCs w:val="20"/>
              </w:rPr>
            </w:pPr>
            <w:r w:rsidRPr="00ED6365">
              <w:rPr>
                <w:sz w:val="20"/>
                <w:szCs w:val="20"/>
              </w:rPr>
              <w:t xml:space="preserve">Diversos </w:t>
            </w:r>
            <w:proofErr w:type="spellStart"/>
            <w:r w:rsidRPr="00ED6365">
              <w:rPr>
                <w:sz w:val="20"/>
                <w:szCs w:val="20"/>
              </w:rPr>
              <w:t>biofármacos</w:t>
            </w:r>
            <w:proofErr w:type="spellEnd"/>
            <w:r w:rsidRPr="00ED6365">
              <w:rPr>
                <w:sz w:val="20"/>
                <w:szCs w:val="20"/>
              </w:rPr>
              <w:t xml:space="preserve"> (peptídeos, proteínas, anticorpos, </w:t>
            </w:r>
            <w:proofErr w:type="spellStart"/>
            <w:r w:rsidRPr="00ED6365">
              <w:rPr>
                <w:sz w:val="20"/>
                <w:szCs w:val="20"/>
              </w:rPr>
              <w:t>exossomos</w:t>
            </w:r>
            <w:proofErr w:type="spellEnd"/>
            <w:r w:rsidRPr="00ED6365">
              <w:rPr>
                <w:sz w:val="20"/>
                <w:szCs w:val="20"/>
              </w:rPr>
              <w:t xml:space="preserve"> </w:t>
            </w:r>
            <w:proofErr w:type="spellStart"/>
            <w:r w:rsidRPr="00ED6365">
              <w:rPr>
                <w:sz w:val="20"/>
                <w:szCs w:val="20"/>
              </w:rPr>
              <w:t>engenheirados</w:t>
            </w:r>
            <w:proofErr w:type="spellEnd"/>
            <w:r w:rsidRPr="00ED6365">
              <w:rPr>
                <w:sz w:val="20"/>
                <w:szCs w:val="20"/>
              </w:rPr>
              <w:t>)</w:t>
            </w:r>
          </w:p>
        </w:tc>
        <w:tc>
          <w:tcPr>
            <w:tcW w:w="1701" w:type="dxa"/>
          </w:tcPr>
          <w:p w14:paraId="7568D32B" w14:textId="240596C6" w:rsidR="000B736F" w:rsidRPr="00ED6365" w:rsidRDefault="00FF0E33" w:rsidP="004F5266">
            <w:pPr>
              <w:jc w:val="both"/>
              <w:rPr>
                <w:b/>
                <w:bCs/>
                <w:sz w:val="20"/>
                <w:szCs w:val="20"/>
              </w:rPr>
            </w:pPr>
            <w:r w:rsidRPr="00ED6365">
              <w:rPr>
                <w:sz w:val="20"/>
                <w:szCs w:val="20"/>
              </w:rPr>
              <w:t xml:space="preserve">Artigo de revisão (avaliação de modelos </w:t>
            </w:r>
            <w:r w:rsidRPr="00ED6365">
              <w:rPr>
                <w:rStyle w:val="nfase"/>
                <w:sz w:val="20"/>
                <w:szCs w:val="20"/>
              </w:rPr>
              <w:t>in vitro</w:t>
            </w:r>
            <w:r w:rsidRPr="00ED6365">
              <w:rPr>
                <w:sz w:val="20"/>
                <w:szCs w:val="20"/>
              </w:rPr>
              <w:t xml:space="preserve">, </w:t>
            </w:r>
            <w:proofErr w:type="spellStart"/>
            <w:r w:rsidRPr="00ED6365">
              <w:rPr>
                <w:rStyle w:val="nfase"/>
                <w:sz w:val="20"/>
                <w:szCs w:val="20"/>
              </w:rPr>
              <w:t>ex</w:t>
            </w:r>
            <w:proofErr w:type="spellEnd"/>
            <w:r w:rsidRPr="00ED6365">
              <w:rPr>
                <w:rStyle w:val="nfase"/>
                <w:sz w:val="20"/>
                <w:szCs w:val="20"/>
              </w:rPr>
              <w:t xml:space="preserve"> vivo</w:t>
            </w:r>
            <w:r w:rsidRPr="00ED6365">
              <w:rPr>
                <w:sz w:val="20"/>
                <w:szCs w:val="20"/>
              </w:rPr>
              <w:t xml:space="preserve"> e </w:t>
            </w:r>
            <w:r w:rsidRPr="00ED6365">
              <w:rPr>
                <w:rStyle w:val="nfase"/>
                <w:sz w:val="20"/>
                <w:szCs w:val="20"/>
              </w:rPr>
              <w:t>in vivo</w:t>
            </w:r>
            <w:r w:rsidRPr="00ED6365">
              <w:rPr>
                <w:sz w:val="20"/>
                <w:szCs w:val="20"/>
              </w:rPr>
              <w:t xml:space="preserve"> em roedores, primatas e humanos)</w:t>
            </w:r>
          </w:p>
        </w:tc>
        <w:tc>
          <w:tcPr>
            <w:tcW w:w="2545" w:type="dxa"/>
          </w:tcPr>
          <w:p w14:paraId="517A03D8" w14:textId="2E7FF676" w:rsidR="000B736F" w:rsidRPr="00ED6365" w:rsidRDefault="00970707" w:rsidP="004F5266">
            <w:pPr>
              <w:keepNext/>
              <w:jc w:val="both"/>
              <w:rPr>
                <w:b/>
                <w:bCs/>
                <w:sz w:val="20"/>
                <w:szCs w:val="20"/>
              </w:rPr>
            </w:pPr>
            <w:r w:rsidRPr="00970707">
              <w:rPr>
                <w:sz w:val="20"/>
                <w:szCs w:val="20"/>
              </w:rPr>
              <w:t xml:space="preserve">Discutiu as diferenças </w:t>
            </w:r>
            <w:proofErr w:type="spellStart"/>
            <w:r w:rsidRPr="00970707">
              <w:rPr>
                <w:sz w:val="20"/>
                <w:szCs w:val="20"/>
              </w:rPr>
              <w:t>histofuncionais</w:t>
            </w:r>
            <w:proofErr w:type="spellEnd"/>
            <w:r w:rsidRPr="00970707">
              <w:rPr>
                <w:sz w:val="20"/>
                <w:szCs w:val="20"/>
              </w:rPr>
              <w:t xml:space="preserve"> entre os epitélios olfatório e respiratório e analisou estratégias destinadas a favorecer o direcionamento da formulação ao epitélio olfatório e o transporte de diferentes cargas terapêuticas ao SNC.</w:t>
            </w:r>
          </w:p>
        </w:tc>
      </w:tr>
    </w:tbl>
    <w:p w14:paraId="4442ACCC" w14:textId="2CEEADB6" w:rsidR="00DC4DE9" w:rsidRPr="0014607D" w:rsidRDefault="005D41BD" w:rsidP="004F5266">
      <w:pPr>
        <w:pStyle w:val="Legenda"/>
        <w:spacing w:after="0"/>
        <w:rPr>
          <w:b/>
          <w:bCs/>
          <w:sz w:val="24"/>
          <w:szCs w:val="24"/>
        </w:rPr>
      </w:pPr>
      <w:r>
        <w:t>Fonte</w:t>
      </w:r>
      <w:r w:rsidR="00EF74C9">
        <w:t>: Elaborado pelo autor (2026)</w:t>
      </w:r>
    </w:p>
    <w:p w14:paraId="69F45786" w14:textId="77777777" w:rsidR="00023CF0" w:rsidRDefault="00023CF0" w:rsidP="004F5266">
      <w:pPr>
        <w:pStyle w:val="NormalWeb"/>
        <w:spacing w:before="0" w:beforeAutospacing="0" w:after="0" w:afterAutospacing="0" w:line="360" w:lineRule="auto"/>
        <w:ind w:firstLine="709"/>
        <w:jc w:val="both"/>
      </w:pPr>
    </w:p>
    <w:p w14:paraId="799F16E0" w14:textId="023B0351" w:rsidR="00A52BC3" w:rsidRPr="00A52BC3" w:rsidRDefault="00A52BC3" w:rsidP="00A52BC3">
      <w:pPr>
        <w:spacing w:line="360" w:lineRule="auto"/>
        <w:rPr>
          <w:b/>
          <w:bCs/>
          <w:sz w:val="24"/>
          <w:szCs w:val="24"/>
        </w:rPr>
      </w:pPr>
      <w:r w:rsidRPr="007218B6">
        <w:rPr>
          <w:b/>
          <w:bCs/>
          <w:sz w:val="24"/>
          <w:szCs w:val="24"/>
        </w:rPr>
        <w:t>4.</w:t>
      </w:r>
      <w:r w:rsidR="00C14FF2">
        <w:rPr>
          <w:b/>
          <w:bCs/>
          <w:sz w:val="24"/>
          <w:szCs w:val="24"/>
        </w:rPr>
        <w:t>2</w:t>
      </w:r>
      <w:r w:rsidRPr="007218B6">
        <w:rPr>
          <w:b/>
          <w:bCs/>
          <w:sz w:val="24"/>
          <w:szCs w:val="24"/>
        </w:rPr>
        <w:t xml:space="preserve"> </w:t>
      </w:r>
      <w:r>
        <w:rPr>
          <w:b/>
          <w:bCs/>
          <w:sz w:val="24"/>
          <w:szCs w:val="24"/>
        </w:rPr>
        <w:t>Discuss</w:t>
      </w:r>
      <w:r w:rsidR="00C14FF2">
        <w:rPr>
          <w:b/>
          <w:bCs/>
          <w:sz w:val="24"/>
          <w:szCs w:val="24"/>
        </w:rPr>
        <w:t>ão</w:t>
      </w:r>
    </w:p>
    <w:p w14:paraId="40D3A5D7" w14:textId="77777777" w:rsidR="00A52BC3" w:rsidRDefault="00A52BC3" w:rsidP="00023CF0">
      <w:pPr>
        <w:pStyle w:val="NormalWeb"/>
        <w:spacing w:before="0" w:beforeAutospacing="0" w:after="0" w:afterAutospacing="0" w:line="360" w:lineRule="auto"/>
        <w:jc w:val="both"/>
        <w:rPr>
          <w:b/>
          <w:bCs/>
        </w:rPr>
      </w:pPr>
    </w:p>
    <w:p w14:paraId="598C8D52" w14:textId="673D96EB" w:rsidR="00023CF0" w:rsidRPr="00023CF0" w:rsidRDefault="00023CF0" w:rsidP="00023CF0">
      <w:pPr>
        <w:pStyle w:val="NormalWeb"/>
        <w:spacing w:before="0" w:beforeAutospacing="0" w:after="0" w:afterAutospacing="0" w:line="360" w:lineRule="auto"/>
        <w:jc w:val="both"/>
        <w:rPr>
          <w:b/>
          <w:bCs/>
        </w:rPr>
      </w:pPr>
      <w:r w:rsidRPr="00023CF0">
        <w:rPr>
          <w:b/>
          <w:bCs/>
        </w:rPr>
        <w:t>4</w:t>
      </w:r>
      <w:r w:rsidR="00A52BC3">
        <w:rPr>
          <w:b/>
          <w:bCs/>
        </w:rPr>
        <w:t>.2</w:t>
      </w:r>
      <w:r w:rsidRPr="00023CF0">
        <w:rPr>
          <w:b/>
          <w:bCs/>
        </w:rPr>
        <w:t xml:space="preserve">.1 Evolução dos vetores </w:t>
      </w:r>
      <w:proofErr w:type="spellStart"/>
      <w:r w:rsidRPr="00023CF0">
        <w:rPr>
          <w:b/>
          <w:bCs/>
        </w:rPr>
        <w:t>nanotecnológicos</w:t>
      </w:r>
      <w:proofErr w:type="spellEnd"/>
    </w:p>
    <w:p w14:paraId="76D2284D" w14:textId="77777777" w:rsidR="00023CF0" w:rsidRDefault="00023CF0" w:rsidP="004F5266">
      <w:pPr>
        <w:pStyle w:val="NormalWeb"/>
        <w:spacing w:before="0" w:beforeAutospacing="0" w:after="0" w:afterAutospacing="0" w:line="360" w:lineRule="auto"/>
        <w:ind w:firstLine="709"/>
        <w:jc w:val="both"/>
      </w:pPr>
    </w:p>
    <w:p w14:paraId="34B3B089" w14:textId="5DCE973B" w:rsidR="00BB3D1A" w:rsidRPr="0014607D" w:rsidRDefault="00BB3D1A" w:rsidP="004F5266">
      <w:pPr>
        <w:pStyle w:val="NormalWeb"/>
        <w:spacing w:before="0" w:beforeAutospacing="0" w:after="0" w:afterAutospacing="0" w:line="360" w:lineRule="auto"/>
        <w:ind w:firstLine="709"/>
        <w:jc w:val="both"/>
      </w:pPr>
      <w:r w:rsidRPr="0014607D">
        <w:t xml:space="preserve">A evolução das estratégias de administração intranasal ao longo da última década demonstra uma crescente preocupação em proteger a carga terapêutica e melhorar sua permanência e distribuição no ambiente nasal. </w:t>
      </w:r>
      <w:proofErr w:type="spellStart"/>
      <w:r w:rsidRPr="0014607D">
        <w:t>Kamei</w:t>
      </w:r>
      <w:proofErr w:type="spellEnd"/>
      <w:r w:rsidRPr="0014607D">
        <w:t xml:space="preserve"> (2017) apresentou uma estratégia baseada na coadministração de peptídeos de penetração celular, utilizando </w:t>
      </w:r>
      <w:proofErr w:type="spellStart"/>
      <w:r w:rsidRPr="0014607D">
        <w:t>penetratina</w:t>
      </w:r>
      <w:proofErr w:type="spellEnd"/>
      <w:r w:rsidRPr="0014607D">
        <w:t xml:space="preserve"> associada à insulina, enquanto </w:t>
      </w:r>
      <w:proofErr w:type="spellStart"/>
      <w:r w:rsidRPr="0014607D">
        <w:t>Gänger</w:t>
      </w:r>
      <w:proofErr w:type="spellEnd"/>
      <w:r w:rsidRPr="0014607D">
        <w:t xml:space="preserve"> e </w:t>
      </w:r>
      <w:proofErr w:type="spellStart"/>
      <w:r w:rsidRPr="0014607D">
        <w:t>Schindowski</w:t>
      </w:r>
      <w:proofErr w:type="spellEnd"/>
      <w:r w:rsidRPr="0014607D">
        <w:t xml:space="preserve"> (2018) destacaram a utilização de formulações mucoadesivas e sistemas particulados como alternativas para aumentar a retenção na mucosa olfatória. </w:t>
      </w:r>
    </w:p>
    <w:p w14:paraId="6C885966" w14:textId="77777777" w:rsidR="00BB3D1A" w:rsidRPr="0014607D" w:rsidRDefault="00BB3D1A" w:rsidP="004F5266">
      <w:pPr>
        <w:pStyle w:val="NormalWeb"/>
        <w:spacing w:before="0" w:beforeAutospacing="0" w:after="0" w:afterAutospacing="0" w:line="360" w:lineRule="auto"/>
        <w:ind w:firstLine="709"/>
        <w:jc w:val="both"/>
      </w:pPr>
      <w:r w:rsidRPr="0014607D">
        <w:t xml:space="preserve">A partir desse desenvolvimento, os lipossomas passaram a ocupar papel importante entre os sistemas de entrega. Hong et al. (2019) reuniram evidências sobre diferentes formulações </w:t>
      </w:r>
      <w:proofErr w:type="spellStart"/>
      <w:r w:rsidRPr="0014607D">
        <w:t>lipossomais</w:t>
      </w:r>
      <w:proofErr w:type="spellEnd"/>
      <w:r w:rsidRPr="0014607D">
        <w:t xml:space="preserve">, incluindo sistemas catiônicos, </w:t>
      </w:r>
      <w:proofErr w:type="spellStart"/>
      <w:r w:rsidRPr="0014607D">
        <w:t>peguilados</w:t>
      </w:r>
      <w:proofErr w:type="spellEnd"/>
      <w:r w:rsidRPr="0014607D">
        <w:t xml:space="preserve"> e associados a </w:t>
      </w:r>
      <w:proofErr w:type="spellStart"/>
      <w:r w:rsidRPr="0014607D">
        <w:t>hidrogéis</w:t>
      </w:r>
      <w:proofErr w:type="spellEnd"/>
      <w:r w:rsidRPr="0014607D">
        <w:t xml:space="preserve"> </w:t>
      </w:r>
      <w:proofErr w:type="spellStart"/>
      <w:r w:rsidRPr="0014607D">
        <w:t>mucoadesivos</w:t>
      </w:r>
      <w:proofErr w:type="spellEnd"/>
      <w:r w:rsidRPr="0014607D">
        <w:t xml:space="preserve">, destacando seu potencial para proteger moléculas de maior complexidade e favorecer a retenção nasal. Posteriormente, Crowe e </w:t>
      </w:r>
      <w:proofErr w:type="spellStart"/>
      <w:r w:rsidRPr="0014607D">
        <w:t>Hsu</w:t>
      </w:r>
      <w:proofErr w:type="spellEnd"/>
      <w:r w:rsidRPr="0014607D">
        <w:t xml:space="preserve"> (2022) ampliaram essa perspectiva ao reunir diferentes </w:t>
      </w:r>
      <w:proofErr w:type="spellStart"/>
      <w:r w:rsidRPr="0014607D">
        <w:t>nanocarreadores</w:t>
      </w:r>
      <w:proofErr w:type="spellEnd"/>
      <w:r w:rsidRPr="0014607D">
        <w:t xml:space="preserve">, como sistemas baseados em quitosana, PLGA, lipossomas, </w:t>
      </w:r>
      <w:proofErr w:type="spellStart"/>
      <w:r w:rsidRPr="0014607D">
        <w:t>SLNs</w:t>
      </w:r>
      <w:proofErr w:type="spellEnd"/>
      <w:r w:rsidRPr="0014607D">
        <w:t xml:space="preserve"> e </w:t>
      </w:r>
      <w:proofErr w:type="spellStart"/>
      <w:r w:rsidRPr="0014607D">
        <w:t>NLCs</w:t>
      </w:r>
      <w:proofErr w:type="spellEnd"/>
      <w:r w:rsidRPr="0014607D">
        <w:t xml:space="preserve">. </w:t>
      </w:r>
    </w:p>
    <w:p w14:paraId="45DA91E5" w14:textId="77777777" w:rsidR="00BB3D1A" w:rsidRPr="0014607D" w:rsidRDefault="00BB3D1A" w:rsidP="004F5266">
      <w:pPr>
        <w:pStyle w:val="NormalWeb"/>
        <w:spacing w:before="0" w:beforeAutospacing="0" w:after="0" w:afterAutospacing="0" w:line="360" w:lineRule="auto"/>
        <w:ind w:firstLine="709"/>
        <w:jc w:val="both"/>
      </w:pPr>
      <w:r w:rsidRPr="0014607D">
        <w:t xml:space="preserve">Esse processo tornou-se ainda mais evidente nos estudos recentes. Zheng et al. (2024) avaliaram especificamente </w:t>
      </w:r>
      <w:proofErr w:type="spellStart"/>
      <w:r w:rsidRPr="0014607D">
        <w:t>SLNs</w:t>
      </w:r>
      <w:proofErr w:type="spellEnd"/>
      <w:r w:rsidRPr="0014607D">
        <w:t xml:space="preserve"> e </w:t>
      </w:r>
      <w:proofErr w:type="spellStart"/>
      <w:r w:rsidRPr="0014607D">
        <w:t>NLCs</w:t>
      </w:r>
      <w:proofErr w:type="spellEnd"/>
      <w:r w:rsidRPr="0014607D">
        <w:t xml:space="preserve">, enquanto Qiu et al. (2025) reuniram diferentes plataformas, incluindo nanopartículas lipídicas, lipossomas, </w:t>
      </w:r>
      <w:proofErr w:type="spellStart"/>
      <w:r w:rsidRPr="0014607D">
        <w:t>nanoemulsões</w:t>
      </w:r>
      <w:proofErr w:type="spellEnd"/>
      <w:r w:rsidRPr="0014607D">
        <w:t xml:space="preserve">, </w:t>
      </w:r>
      <w:proofErr w:type="spellStart"/>
      <w:r w:rsidRPr="0014607D">
        <w:t>dendrímeros</w:t>
      </w:r>
      <w:proofErr w:type="spellEnd"/>
      <w:r w:rsidRPr="0014607D">
        <w:t xml:space="preserve">, </w:t>
      </w:r>
      <w:r w:rsidRPr="0014607D">
        <w:lastRenderedPageBreak/>
        <w:t xml:space="preserve">vetores virais e </w:t>
      </w:r>
      <w:proofErr w:type="spellStart"/>
      <w:r w:rsidRPr="0014607D">
        <w:t>exossomos</w:t>
      </w:r>
      <w:proofErr w:type="spellEnd"/>
      <w:r w:rsidRPr="0014607D">
        <w:t xml:space="preserve">. Em 2026, </w:t>
      </w:r>
      <w:proofErr w:type="spellStart"/>
      <w:r w:rsidRPr="0014607D">
        <w:t>Séguy</w:t>
      </w:r>
      <w:proofErr w:type="spellEnd"/>
      <w:r w:rsidRPr="0014607D">
        <w:t xml:space="preserve"> et al. demonstraram a associação entre lipossomas e </w:t>
      </w:r>
      <w:proofErr w:type="spellStart"/>
      <w:r w:rsidRPr="0014607D">
        <w:t>hidrogel</w:t>
      </w:r>
      <w:proofErr w:type="spellEnd"/>
      <w:r w:rsidRPr="0014607D">
        <w:t xml:space="preserve"> </w:t>
      </w:r>
      <w:proofErr w:type="spellStart"/>
      <w:r w:rsidRPr="0014607D">
        <w:t>termossensível</w:t>
      </w:r>
      <w:proofErr w:type="spellEnd"/>
      <w:r w:rsidRPr="0014607D">
        <w:t xml:space="preserve"> para a administração de </w:t>
      </w:r>
      <w:proofErr w:type="spellStart"/>
      <w:r w:rsidRPr="0014607D">
        <w:t>tegaserode</w:t>
      </w:r>
      <w:proofErr w:type="spellEnd"/>
      <w:r w:rsidRPr="0014607D">
        <w:t xml:space="preserve">, enquanto Zhang et al. (2026), por meio de análise bibliométrica e revisão sistemática, identificaram a expansão do campo em direção a </w:t>
      </w:r>
      <w:proofErr w:type="spellStart"/>
      <w:r w:rsidRPr="0014607D">
        <w:t>nanocarreadores</w:t>
      </w:r>
      <w:proofErr w:type="spellEnd"/>
      <w:r w:rsidRPr="0014607D">
        <w:t xml:space="preserve"> lipídicos e sistemas derivados de vesículas extracelulares. </w:t>
      </w:r>
    </w:p>
    <w:p w14:paraId="03F43F85" w14:textId="001AA161" w:rsidR="00023CF0" w:rsidRDefault="00BB3D1A" w:rsidP="004F5266">
      <w:pPr>
        <w:pStyle w:val="NormalWeb"/>
        <w:spacing w:before="0" w:beforeAutospacing="0" w:after="0" w:afterAutospacing="0" w:line="360" w:lineRule="auto"/>
        <w:ind w:firstLine="709"/>
        <w:jc w:val="both"/>
      </w:pPr>
      <w:r w:rsidRPr="0014607D">
        <w:t>Assim, observa-se uma mudança de estratégias mais simples para sistemas cada vez mais elaborados, capazes de combinar proteção da carga, retenção nasal e direcionamento. Entretanto, o aumento da complexidade das formulações também mantém desafios relacionados à estabilidade, segurança, padronização e possibilidade de produção em escala.</w:t>
      </w:r>
    </w:p>
    <w:p w14:paraId="087FA3F4" w14:textId="77777777" w:rsidR="00023CF0" w:rsidRDefault="00023CF0" w:rsidP="004F5266">
      <w:pPr>
        <w:pStyle w:val="NormalWeb"/>
        <w:spacing w:before="0" w:beforeAutospacing="0" w:after="0" w:afterAutospacing="0" w:line="360" w:lineRule="auto"/>
        <w:ind w:firstLine="709"/>
        <w:jc w:val="both"/>
      </w:pPr>
    </w:p>
    <w:p w14:paraId="264421FB" w14:textId="3940342F" w:rsidR="00023CF0" w:rsidRDefault="00023CF0" w:rsidP="00023CF0">
      <w:pPr>
        <w:pStyle w:val="NormalWeb"/>
        <w:spacing w:before="0" w:beforeAutospacing="0" w:after="0" w:afterAutospacing="0" w:line="360" w:lineRule="auto"/>
        <w:jc w:val="both"/>
        <w:rPr>
          <w:b/>
          <w:bCs/>
        </w:rPr>
      </w:pPr>
      <w:r w:rsidRPr="00023CF0">
        <w:rPr>
          <w:b/>
          <w:bCs/>
        </w:rPr>
        <w:t>4.2</w:t>
      </w:r>
      <w:r w:rsidR="00A52BC3">
        <w:rPr>
          <w:b/>
          <w:bCs/>
        </w:rPr>
        <w:t>.2</w:t>
      </w:r>
      <w:r w:rsidRPr="00023CF0">
        <w:rPr>
          <w:b/>
          <w:bCs/>
        </w:rPr>
        <w:t xml:space="preserve"> Modulação reológica e de permeação epitelial</w:t>
      </w:r>
    </w:p>
    <w:p w14:paraId="6320301B" w14:textId="77777777" w:rsidR="00023CF0" w:rsidRPr="00023CF0" w:rsidRDefault="00023CF0" w:rsidP="00023CF0">
      <w:pPr>
        <w:pStyle w:val="NormalWeb"/>
        <w:spacing w:before="0" w:beforeAutospacing="0" w:after="0" w:afterAutospacing="0" w:line="360" w:lineRule="auto"/>
        <w:jc w:val="both"/>
        <w:rPr>
          <w:b/>
          <w:bCs/>
        </w:rPr>
      </w:pPr>
    </w:p>
    <w:p w14:paraId="43D9055D" w14:textId="59301FE3" w:rsidR="00BB3D1A" w:rsidRPr="0014607D" w:rsidRDefault="00BB3D1A" w:rsidP="004F5266">
      <w:pPr>
        <w:pStyle w:val="NormalWeb"/>
        <w:spacing w:before="0" w:beforeAutospacing="0" w:after="0" w:afterAutospacing="0" w:line="360" w:lineRule="auto"/>
        <w:ind w:firstLine="709"/>
        <w:jc w:val="both"/>
      </w:pPr>
      <w:r w:rsidRPr="0014607D">
        <w:t xml:space="preserve">Paralelamente ao desenvolvimento dos vetores, outra frente importante foi a tentativa de superar as limitações fisiológicas da própria cavidade nasal. </w:t>
      </w:r>
      <w:proofErr w:type="spellStart"/>
      <w:r w:rsidRPr="0014607D">
        <w:t>Gänger</w:t>
      </w:r>
      <w:proofErr w:type="spellEnd"/>
      <w:r w:rsidRPr="0014607D">
        <w:t xml:space="preserve"> e </w:t>
      </w:r>
      <w:proofErr w:type="spellStart"/>
      <w:r w:rsidRPr="0014607D">
        <w:t>Schindowski</w:t>
      </w:r>
      <w:proofErr w:type="spellEnd"/>
      <w:r w:rsidRPr="0014607D">
        <w:t xml:space="preserve"> (2018) destacaram que características como viscosidade, </w:t>
      </w:r>
      <w:proofErr w:type="spellStart"/>
      <w:r w:rsidRPr="0014607D">
        <w:t>mucoadesão</w:t>
      </w:r>
      <w:proofErr w:type="spellEnd"/>
      <w:r w:rsidRPr="0014607D">
        <w:t xml:space="preserve"> e depuração mucociliar devem ser consideradas na elaboração das formulações, uma vez que influenciam diretamente o tempo de permanência do sistema na mucosa. </w:t>
      </w:r>
    </w:p>
    <w:p w14:paraId="77AFA0D7" w14:textId="77777777" w:rsidR="00BB3D1A" w:rsidRPr="0014607D" w:rsidRDefault="00BB3D1A" w:rsidP="004F5266">
      <w:pPr>
        <w:pStyle w:val="NormalWeb"/>
        <w:spacing w:before="0" w:beforeAutospacing="0" w:after="0" w:afterAutospacing="0" w:line="360" w:lineRule="auto"/>
        <w:ind w:firstLine="709"/>
        <w:jc w:val="both"/>
      </w:pPr>
      <w:r w:rsidRPr="0014607D">
        <w:t xml:space="preserve">Nesse contexto, estratégias destinadas à modificação da permeabilidade também foram investigadas. </w:t>
      </w:r>
      <w:proofErr w:type="spellStart"/>
      <w:r w:rsidRPr="0014607D">
        <w:t>Kamei</w:t>
      </w:r>
      <w:proofErr w:type="spellEnd"/>
      <w:r w:rsidRPr="0014607D">
        <w:t xml:space="preserve"> (2017) observou que a associação da </w:t>
      </w:r>
      <w:proofErr w:type="spellStart"/>
      <w:r w:rsidRPr="0014607D">
        <w:t>penetratina</w:t>
      </w:r>
      <w:proofErr w:type="spellEnd"/>
      <w:r w:rsidRPr="0014607D">
        <w:t xml:space="preserve"> à insulina favoreceu seu transporte em modelos animais, demonstrando que a própria interação entre a molécula transportada e componentes capazes de facilitar a passagem pelo epitélio pode modificar a eficiência da entrega. Crowe e </w:t>
      </w:r>
      <w:proofErr w:type="spellStart"/>
      <w:r w:rsidRPr="0014607D">
        <w:t>Hsu</w:t>
      </w:r>
      <w:proofErr w:type="spellEnd"/>
      <w:r w:rsidRPr="0014607D">
        <w:t xml:space="preserve"> (2022) e Keller, Merkel e </w:t>
      </w:r>
      <w:proofErr w:type="spellStart"/>
      <w:r w:rsidRPr="0014607D">
        <w:t>Popp</w:t>
      </w:r>
      <w:proofErr w:type="spellEnd"/>
      <w:r w:rsidRPr="0014607D">
        <w:t xml:space="preserve"> (2021) também destacaram o uso de modificadores de permeabilidade, sistemas </w:t>
      </w:r>
      <w:proofErr w:type="spellStart"/>
      <w:r w:rsidRPr="0014607D">
        <w:t>mucoadesivos</w:t>
      </w:r>
      <w:proofErr w:type="spellEnd"/>
      <w:r w:rsidRPr="0014607D">
        <w:t xml:space="preserve"> e </w:t>
      </w:r>
      <w:proofErr w:type="spellStart"/>
      <w:r w:rsidRPr="0014607D">
        <w:t>hidrogéis</w:t>
      </w:r>
      <w:proofErr w:type="spellEnd"/>
      <w:r w:rsidRPr="0014607D">
        <w:t xml:space="preserve"> como alternativas para contornar as limitações anatômicas e fisiológicas da via. </w:t>
      </w:r>
    </w:p>
    <w:p w14:paraId="27BA5311" w14:textId="77777777" w:rsidR="00BB3D1A" w:rsidRPr="0014607D" w:rsidRDefault="00BB3D1A" w:rsidP="004F5266">
      <w:pPr>
        <w:pStyle w:val="NormalWeb"/>
        <w:spacing w:before="0" w:beforeAutospacing="0" w:after="0" w:afterAutospacing="0" w:line="360" w:lineRule="auto"/>
        <w:ind w:firstLine="709"/>
        <w:jc w:val="both"/>
      </w:pPr>
      <w:r w:rsidRPr="0014607D">
        <w:t xml:space="preserve">Entre as estratégias mais recentes, </w:t>
      </w:r>
      <w:proofErr w:type="spellStart"/>
      <w:r w:rsidRPr="0014607D">
        <w:t>Séguy</w:t>
      </w:r>
      <w:proofErr w:type="spellEnd"/>
      <w:r w:rsidRPr="0014607D">
        <w:t xml:space="preserve"> et al. (2026) associaram lipossomas a um </w:t>
      </w:r>
      <w:proofErr w:type="spellStart"/>
      <w:r w:rsidRPr="0014607D">
        <w:t>hidrogel</w:t>
      </w:r>
      <w:proofErr w:type="spellEnd"/>
      <w:r w:rsidRPr="0014607D">
        <w:t xml:space="preserve"> </w:t>
      </w:r>
      <w:proofErr w:type="spellStart"/>
      <w:r w:rsidRPr="0014607D">
        <w:t>termossensível</w:t>
      </w:r>
      <w:proofErr w:type="spellEnd"/>
      <w:r w:rsidRPr="0014607D">
        <w:t xml:space="preserve"> </w:t>
      </w:r>
      <w:proofErr w:type="spellStart"/>
      <w:r w:rsidRPr="0014607D">
        <w:t>nanocompósito</w:t>
      </w:r>
      <w:proofErr w:type="spellEnd"/>
      <w:r w:rsidRPr="0014607D">
        <w:t xml:space="preserve">, buscando reunir as vantagens do sistema de transporte com características reológicas adequadas à administração intranasal. O estudo demonstrou, em modelos pré-clínicos, uma maior exposição cerebral do </w:t>
      </w:r>
      <w:proofErr w:type="spellStart"/>
      <w:r w:rsidRPr="0014607D">
        <w:t>tegaserode</w:t>
      </w:r>
      <w:proofErr w:type="spellEnd"/>
      <w:r w:rsidRPr="0014607D">
        <w:t xml:space="preserve"> após a administração intranasal da formulação. Qiu et al. (2025) também destacaram os </w:t>
      </w:r>
      <w:proofErr w:type="spellStart"/>
      <w:r w:rsidRPr="0014607D">
        <w:t>hidrogéis</w:t>
      </w:r>
      <w:proofErr w:type="spellEnd"/>
      <w:r w:rsidRPr="0014607D">
        <w:t xml:space="preserve"> </w:t>
      </w:r>
      <w:proofErr w:type="spellStart"/>
      <w:r w:rsidRPr="0014607D">
        <w:t>termossensíveis</w:t>
      </w:r>
      <w:proofErr w:type="spellEnd"/>
      <w:r w:rsidRPr="0014607D">
        <w:t xml:space="preserve"> entre as estratégias utilizadas para melhorar a permanência e a entrega de diferentes cargas terapêuticas. </w:t>
      </w:r>
    </w:p>
    <w:p w14:paraId="32116980" w14:textId="3D2C2F63" w:rsidR="00BB3D1A" w:rsidRDefault="00BB3D1A" w:rsidP="004F5266">
      <w:pPr>
        <w:pStyle w:val="NormalWeb"/>
        <w:spacing w:before="0" w:beforeAutospacing="0" w:after="0" w:afterAutospacing="0" w:line="360" w:lineRule="auto"/>
        <w:ind w:firstLine="709"/>
        <w:jc w:val="both"/>
      </w:pPr>
      <w:r w:rsidRPr="0014607D">
        <w:t xml:space="preserve">Dessa forma, a evolução das formulações demonstra que não basta transportar o fármaco até a cavidade nasal. É necessário controlar suas propriedades físico-químicas e sua interação </w:t>
      </w:r>
      <w:r w:rsidRPr="0014607D">
        <w:lastRenderedPageBreak/>
        <w:t>com a mucosa, buscando equilibrar retenção, permeabilidade, estabilidade e capacidade de administração.</w:t>
      </w:r>
    </w:p>
    <w:p w14:paraId="6322C846" w14:textId="1698D86E" w:rsidR="00023CF0" w:rsidRDefault="00023CF0" w:rsidP="004F5266">
      <w:pPr>
        <w:pStyle w:val="NormalWeb"/>
        <w:spacing w:before="0" w:beforeAutospacing="0" w:after="0" w:afterAutospacing="0" w:line="360" w:lineRule="auto"/>
        <w:ind w:firstLine="709"/>
        <w:jc w:val="both"/>
      </w:pPr>
    </w:p>
    <w:p w14:paraId="00B3A4D2" w14:textId="31298CBB" w:rsidR="00023CF0" w:rsidRPr="00023CF0" w:rsidRDefault="00023CF0" w:rsidP="00023CF0">
      <w:pPr>
        <w:pStyle w:val="NormalWeb"/>
        <w:spacing w:before="0" w:beforeAutospacing="0" w:after="0" w:afterAutospacing="0" w:line="360" w:lineRule="auto"/>
        <w:jc w:val="both"/>
        <w:rPr>
          <w:b/>
          <w:bCs/>
        </w:rPr>
      </w:pPr>
      <w:r w:rsidRPr="00023CF0">
        <w:rPr>
          <w:b/>
          <w:bCs/>
        </w:rPr>
        <w:t>4.</w:t>
      </w:r>
      <w:r w:rsidR="00C14FF2">
        <w:rPr>
          <w:b/>
          <w:bCs/>
        </w:rPr>
        <w:t>2.</w:t>
      </w:r>
      <w:r w:rsidRPr="00023CF0">
        <w:rPr>
          <w:b/>
          <w:bCs/>
        </w:rPr>
        <w:t>3 Engenharia de dispositivos nasais e deposição regional na fenda olfativa</w:t>
      </w:r>
    </w:p>
    <w:p w14:paraId="0E7039A5" w14:textId="77777777" w:rsidR="00023CF0" w:rsidRDefault="00023CF0" w:rsidP="004F5266">
      <w:pPr>
        <w:pStyle w:val="NormalWeb"/>
        <w:spacing w:before="0" w:beforeAutospacing="0" w:after="0" w:afterAutospacing="0" w:line="360" w:lineRule="auto"/>
        <w:ind w:firstLine="709"/>
        <w:jc w:val="both"/>
      </w:pPr>
    </w:p>
    <w:p w14:paraId="365428D7" w14:textId="31349139" w:rsidR="00BB3D1A" w:rsidRPr="0014607D" w:rsidRDefault="00BB3D1A" w:rsidP="004F5266">
      <w:pPr>
        <w:pStyle w:val="NormalWeb"/>
        <w:spacing w:before="0" w:beforeAutospacing="0" w:after="0" w:afterAutospacing="0" w:line="360" w:lineRule="auto"/>
        <w:ind w:firstLine="709"/>
        <w:jc w:val="both"/>
      </w:pPr>
      <w:r w:rsidRPr="0014607D">
        <w:t xml:space="preserve">A evolução da administração intranasal também ocorreu por meio do aperfeiçoamento dos dispositivos utilizados para realizar a deposição. Quintana et al. (2018) demonstraram, em voluntários humanos, a utilização de um dispositivo acionado pela respiração capaz de direcionar a oxitocina para regiões superiores da cavidade nasal. </w:t>
      </w:r>
      <w:r w:rsidR="00032450" w:rsidRPr="00032450">
        <w:t>Martins et al. (2020), por sua vez, compararam spray nasal convencional, nebulizador com deposição superior e administração intravenosa, observando alterações no fluxo sanguíneo cerebral após a administração de oxitocina. Entretanto, os resultados indicaram que essas alterações poderiam ser explicadas pelo aumento sistêmico da oxitocina, não permitindo atribuir os efeitos observados exclusivamente ao transporte direto da cavidade nasal para o cérebro.</w:t>
      </w:r>
      <w:r w:rsidRPr="0014607D">
        <w:t xml:space="preserve"> </w:t>
      </w:r>
    </w:p>
    <w:p w14:paraId="55AF9C91" w14:textId="77777777" w:rsidR="00BB3D1A" w:rsidRPr="0014607D" w:rsidRDefault="00BB3D1A" w:rsidP="004F5266">
      <w:pPr>
        <w:pStyle w:val="NormalWeb"/>
        <w:spacing w:before="0" w:beforeAutospacing="0" w:after="0" w:afterAutospacing="0" w:line="360" w:lineRule="auto"/>
        <w:ind w:firstLine="709"/>
        <w:jc w:val="both"/>
      </w:pPr>
      <w:r w:rsidRPr="0014607D">
        <w:t xml:space="preserve">Estudos mais recentes passaram a investigar de maneira mais precisa a relação entre características do dispositivo, propriedades das partículas e local de deposição. </w:t>
      </w:r>
      <w:proofErr w:type="spellStart"/>
      <w:r w:rsidRPr="0014607D">
        <w:t>Vishnumurthy</w:t>
      </w:r>
      <w:proofErr w:type="spellEnd"/>
      <w:r w:rsidRPr="0014607D">
        <w:t xml:space="preserve"> et al. (2025), utilizando modelagem por Mecânica dos Fluidos Computacional, analisaram fatores associados à deposição na região olfatória. </w:t>
      </w:r>
      <w:proofErr w:type="spellStart"/>
      <w:r w:rsidRPr="0014607D">
        <w:t>Fong</w:t>
      </w:r>
      <w:proofErr w:type="spellEnd"/>
      <w:r w:rsidRPr="0014607D">
        <w:t xml:space="preserve"> et al. (2026), comparando dispositivos de </w:t>
      </w:r>
      <w:proofErr w:type="spellStart"/>
      <w:r w:rsidRPr="0014607D">
        <w:rPr>
          <w:rStyle w:val="nfase"/>
        </w:rPr>
        <w:t>pressure-swirl</w:t>
      </w:r>
      <w:proofErr w:type="spellEnd"/>
      <w:r w:rsidRPr="0014607D">
        <w:t xml:space="preserve"> e </w:t>
      </w:r>
      <w:r w:rsidRPr="0014607D">
        <w:rPr>
          <w:rStyle w:val="nfase"/>
        </w:rPr>
        <w:t xml:space="preserve">soft </w:t>
      </w:r>
      <w:proofErr w:type="spellStart"/>
      <w:r w:rsidRPr="0014607D">
        <w:rPr>
          <w:rStyle w:val="nfase"/>
        </w:rPr>
        <w:t>mist</w:t>
      </w:r>
      <w:proofErr w:type="spellEnd"/>
      <w:r w:rsidRPr="0014607D">
        <w:t xml:space="preserve">, observaram que características como viscosidade da formulação e fluxo inspiratório interferem na deposição regional, enquanto a deposição direta na fenda olfativa permaneceu reduzida com os dispositivos avaliados. </w:t>
      </w:r>
    </w:p>
    <w:p w14:paraId="4D16460F" w14:textId="77777777" w:rsidR="00BB3D1A" w:rsidRPr="0014607D" w:rsidRDefault="00BB3D1A" w:rsidP="004F5266">
      <w:pPr>
        <w:pStyle w:val="NormalWeb"/>
        <w:spacing w:before="0" w:beforeAutospacing="0" w:after="0" w:afterAutospacing="0" w:line="360" w:lineRule="auto"/>
        <w:ind w:firstLine="709"/>
        <w:jc w:val="both"/>
      </w:pPr>
      <w:r w:rsidRPr="0014607D">
        <w:t xml:space="preserve">Essa preocupação com o direcionamento regional também aparece na revisão de D’Souza et al. (2026), que analisou diferentes formulações e dispositivos desenvolvidos para favorecer a deposição no epitélio olfatório. </w:t>
      </w:r>
      <w:proofErr w:type="spellStart"/>
      <w:r w:rsidRPr="0014607D">
        <w:t>Gänger</w:t>
      </w:r>
      <w:proofErr w:type="spellEnd"/>
      <w:r w:rsidRPr="0014607D">
        <w:t xml:space="preserve"> e </w:t>
      </w:r>
      <w:proofErr w:type="spellStart"/>
      <w:r w:rsidRPr="0014607D">
        <w:t>Schindowski</w:t>
      </w:r>
      <w:proofErr w:type="spellEnd"/>
      <w:r w:rsidRPr="0014607D">
        <w:t xml:space="preserve"> (2018) e Crowe e </w:t>
      </w:r>
      <w:proofErr w:type="spellStart"/>
      <w:r w:rsidRPr="0014607D">
        <w:t>Hsu</w:t>
      </w:r>
      <w:proofErr w:type="spellEnd"/>
      <w:r w:rsidRPr="0014607D">
        <w:t xml:space="preserve"> (2022) já apontavam a importância da associação entre características da formulação e dispositivos capazes de melhorar a distribuição na cavidade nasal. </w:t>
      </w:r>
    </w:p>
    <w:p w14:paraId="5D9DF921" w14:textId="1D825468" w:rsidR="00023CF0" w:rsidRDefault="00BB3D1A" w:rsidP="00023CF0">
      <w:pPr>
        <w:pStyle w:val="NormalWeb"/>
        <w:spacing w:before="0" w:beforeAutospacing="0" w:after="0" w:afterAutospacing="0" w:line="360" w:lineRule="auto"/>
        <w:ind w:firstLine="709"/>
        <w:jc w:val="both"/>
      </w:pPr>
      <w:r w:rsidRPr="0014607D">
        <w:t xml:space="preserve">Portanto, a evolução observada indica que o desenvolvimento da estratégia </w:t>
      </w:r>
      <w:proofErr w:type="spellStart"/>
      <w:r w:rsidRPr="0014607D">
        <w:t>nose-to-brain</w:t>
      </w:r>
      <w:proofErr w:type="spellEnd"/>
      <w:r w:rsidRPr="0014607D">
        <w:t xml:space="preserve"> passou a considerar não apenas </w:t>
      </w:r>
      <w:r w:rsidRPr="0014607D">
        <w:rPr>
          <w:rStyle w:val="Forte"/>
        </w:rPr>
        <w:t>o que administrar</w:t>
      </w:r>
      <w:r w:rsidRPr="0014607D">
        <w:t xml:space="preserve">, mas também </w:t>
      </w:r>
      <w:r w:rsidRPr="0014607D">
        <w:rPr>
          <w:rStyle w:val="Forte"/>
        </w:rPr>
        <w:t>como e onde depositar</w:t>
      </w:r>
      <w:r w:rsidRPr="0014607D">
        <w:t xml:space="preserve"> a formulação. A utilização de dispositivos específicos e de ferramentas computacionais representa, assim, uma complementação importante ao desenvolvimento farmacotécnico.</w:t>
      </w:r>
    </w:p>
    <w:p w14:paraId="2C03B5A4" w14:textId="77777777" w:rsidR="00023CF0" w:rsidRDefault="00023CF0" w:rsidP="00023CF0">
      <w:pPr>
        <w:pStyle w:val="NormalWeb"/>
        <w:spacing w:before="0" w:beforeAutospacing="0" w:after="0" w:afterAutospacing="0" w:line="360" w:lineRule="auto"/>
        <w:ind w:firstLine="709"/>
        <w:jc w:val="both"/>
      </w:pPr>
    </w:p>
    <w:p w14:paraId="17F9E081" w14:textId="443DCAEC" w:rsidR="00023CF0" w:rsidRPr="00023CF0" w:rsidRDefault="00023CF0" w:rsidP="00023CF0">
      <w:pPr>
        <w:pStyle w:val="NormalWeb"/>
        <w:spacing w:before="0" w:beforeAutospacing="0" w:after="0" w:afterAutospacing="0" w:line="360" w:lineRule="auto"/>
        <w:jc w:val="both"/>
        <w:rPr>
          <w:b/>
          <w:bCs/>
        </w:rPr>
      </w:pPr>
      <w:r w:rsidRPr="00023CF0">
        <w:rPr>
          <w:b/>
          <w:bCs/>
        </w:rPr>
        <w:t>4.</w:t>
      </w:r>
      <w:r w:rsidR="00C14FF2">
        <w:rPr>
          <w:b/>
          <w:bCs/>
        </w:rPr>
        <w:t>2.</w:t>
      </w:r>
      <w:r w:rsidRPr="00023CF0">
        <w:rPr>
          <w:b/>
          <w:bCs/>
        </w:rPr>
        <w:t>4 Tradução clínica, evidências em humanos e a lacuna entre o pré-clínico e a aplicação clínica</w:t>
      </w:r>
    </w:p>
    <w:p w14:paraId="6EC39DA9" w14:textId="77777777" w:rsidR="00023CF0" w:rsidRPr="00023CF0" w:rsidRDefault="00023CF0" w:rsidP="00023CF0"/>
    <w:p w14:paraId="0ADECD30" w14:textId="5534B687" w:rsidR="00BB3D1A" w:rsidRPr="0014607D" w:rsidRDefault="00BB3D1A" w:rsidP="004F5266">
      <w:pPr>
        <w:pStyle w:val="NormalWeb"/>
        <w:spacing w:before="0" w:beforeAutospacing="0" w:after="0" w:afterAutospacing="0" w:line="360" w:lineRule="auto"/>
        <w:ind w:firstLine="709"/>
        <w:jc w:val="both"/>
      </w:pPr>
      <w:r w:rsidRPr="0014607D">
        <w:t xml:space="preserve">Apesar do crescimento das estratégias experimentais, a aproximação com a aplicação clínica permanece um dos principais desafios. Entre os estudos selecionados, Quintana et al. (2018) e Martins et al. (2020) representam importantes evidências obtidas em humanos, utilizando oxitocina e diferentes métodos de administração intranasal. </w:t>
      </w:r>
      <w:r w:rsidR="004D2380" w:rsidRPr="004D2380">
        <w:t>Os resultados desses estudos demonstram a importância de avaliar cuidadosamente a relação entre o método de administração, a deposição nasal e as respostas centrais observadas, especialmente porque alterações cerebrais após a administração intranasal não necessariamente indicam transporte direto ao SNC.</w:t>
      </w:r>
      <w:r w:rsidRPr="0014607D">
        <w:t xml:space="preserve"> </w:t>
      </w:r>
    </w:p>
    <w:p w14:paraId="207257C5" w14:textId="77777777" w:rsidR="00BB3D1A" w:rsidRPr="0014607D" w:rsidRDefault="00BB3D1A" w:rsidP="004F5266">
      <w:pPr>
        <w:pStyle w:val="NormalWeb"/>
        <w:spacing w:before="0" w:beforeAutospacing="0" w:after="0" w:afterAutospacing="0" w:line="360" w:lineRule="auto"/>
        <w:ind w:firstLine="709"/>
        <w:jc w:val="both"/>
      </w:pPr>
      <w:r w:rsidRPr="0014607D">
        <w:t xml:space="preserve">Outro exemplo de desenvolvimento clínico é apresentado por Chen, da Fonseca e </w:t>
      </w:r>
      <w:proofErr w:type="spellStart"/>
      <w:r w:rsidRPr="0014607D">
        <w:t>Schönthal</w:t>
      </w:r>
      <w:proofErr w:type="spellEnd"/>
      <w:r w:rsidRPr="0014607D">
        <w:t xml:space="preserve"> (2018), que discutiram a administração intranasal de álcool </w:t>
      </w:r>
      <w:proofErr w:type="spellStart"/>
      <w:r w:rsidRPr="0014607D">
        <w:t>perilítico</w:t>
      </w:r>
      <w:proofErr w:type="spellEnd"/>
      <w:r w:rsidRPr="0014607D">
        <w:t xml:space="preserve"> por meio da formulação NEO100 em pacientes com glioma recorrente, demonstrando o avanço dessa estratégia para estudos clínicos em oncologia neurológica. </w:t>
      </w:r>
    </w:p>
    <w:p w14:paraId="5D9DF648" w14:textId="77777777" w:rsidR="00BB3D1A" w:rsidRPr="0014607D" w:rsidRDefault="00BB3D1A" w:rsidP="004F5266">
      <w:pPr>
        <w:pStyle w:val="NormalWeb"/>
        <w:spacing w:before="0" w:beforeAutospacing="0" w:after="0" w:afterAutospacing="0" w:line="360" w:lineRule="auto"/>
        <w:ind w:firstLine="709"/>
        <w:jc w:val="both"/>
      </w:pPr>
      <w:r w:rsidRPr="0014607D">
        <w:t xml:space="preserve">Entretanto, a presença de estudos em humanos não elimina a dificuldade de translação dos resultados experimentais. Keller, Merkel e </w:t>
      </w:r>
      <w:proofErr w:type="spellStart"/>
      <w:r w:rsidRPr="0014607D">
        <w:t>Popp</w:t>
      </w:r>
      <w:proofErr w:type="spellEnd"/>
      <w:r w:rsidRPr="0014607D">
        <w:t xml:space="preserve"> (2021) destacaram questões toxicológicas, fisiológicas e relacionadas ao desenvolvimento das formulações, enquanto Qiu et al. (2025) discutiram a aplicação de diferentes sistemas em modelos pré-clínicos e estudos clínicos. D’Souza et al. (2026) também evidenciaram a necessidade de considerar as diferenças entre os epitélios nasais e os diferentes modelos utilizados na avaliação da entrega. </w:t>
      </w:r>
    </w:p>
    <w:p w14:paraId="28630B37" w14:textId="57786F86" w:rsidR="00BB3D1A" w:rsidRPr="0014607D" w:rsidRDefault="00BB3D1A" w:rsidP="004F5266">
      <w:pPr>
        <w:pStyle w:val="NormalWeb"/>
        <w:spacing w:before="0" w:beforeAutospacing="0" w:after="0" w:afterAutospacing="0" w:line="360" w:lineRule="auto"/>
        <w:ind w:firstLine="709"/>
        <w:jc w:val="both"/>
      </w:pPr>
      <w:r w:rsidRPr="0014607D">
        <w:t xml:space="preserve">Por fim, Zhang et al. (2026) reforçaram, por meio da análise da produção científica, que o campo apresenta crescimento tecnológico importante, mas ainda enfrenta uma lacuna entre os resultados pré-clínicos e sua aplicação clínica. Dessa forma, a evolução observada na última década demonstra avanços simultâneos nas formulações, nos dispositivos e nos métodos de avaliação, mas a consolidação da administração </w:t>
      </w:r>
      <w:proofErr w:type="spellStart"/>
      <w:r w:rsidRPr="0014607D">
        <w:t>nose-to-brain</w:t>
      </w:r>
      <w:proofErr w:type="spellEnd"/>
      <w:r w:rsidRPr="0014607D">
        <w:t xml:space="preserve"> como estratégia terapêutica ainda depende de maior padronização, segurança e capacidade de reproduzir os resultados obtidos em modelos experimentais na realidade clínica.</w:t>
      </w:r>
    </w:p>
    <w:p w14:paraId="18511F72" w14:textId="77777777" w:rsidR="00BB3D1A" w:rsidRPr="0014607D" w:rsidRDefault="00BB3D1A" w:rsidP="004F5266">
      <w:pPr>
        <w:spacing w:line="360" w:lineRule="auto"/>
        <w:rPr>
          <w:b/>
          <w:bCs/>
          <w:sz w:val="24"/>
          <w:szCs w:val="24"/>
        </w:rPr>
      </w:pPr>
    </w:p>
    <w:p w14:paraId="1EAAD7E9" w14:textId="77777777" w:rsidR="00251D43" w:rsidRPr="0014607D" w:rsidRDefault="00774866" w:rsidP="004F5266">
      <w:pPr>
        <w:spacing w:line="360" w:lineRule="auto"/>
        <w:rPr>
          <w:sz w:val="24"/>
          <w:szCs w:val="24"/>
        </w:rPr>
      </w:pPr>
      <w:r w:rsidRPr="0014607D">
        <w:rPr>
          <w:b/>
          <w:bCs/>
          <w:sz w:val="24"/>
          <w:szCs w:val="24"/>
        </w:rPr>
        <w:t>5 CONSIDERAÇÕES FINAIS</w:t>
      </w:r>
    </w:p>
    <w:p w14:paraId="25FBD913" w14:textId="77777777" w:rsidR="008416CC" w:rsidRPr="008416CC" w:rsidRDefault="008416CC" w:rsidP="004F5266">
      <w:pPr>
        <w:spacing w:line="360" w:lineRule="auto"/>
        <w:rPr>
          <w:b/>
          <w:bCs/>
          <w:sz w:val="24"/>
          <w:szCs w:val="24"/>
        </w:rPr>
      </w:pPr>
    </w:p>
    <w:p w14:paraId="680B5171" w14:textId="0D952F07" w:rsidR="008416CC" w:rsidRPr="008416CC" w:rsidRDefault="008416CC" w:rsidP="004F5266">
      <w:pPr>
        <w:spacing w:line="360" w:lineRule="auto"/>
        <w:ind w:firstLine="709"/>
        <w:jc w:val="both"/>
        <w:rPr>
          <w:sz w:val="24"/>
          <w:szCs w:val="24"/>
        </w:rPr>
      </w:pPr>
      <w:r w:rsidRPr="008416CC">
        <w:rPr>
          <w:sz w:val="24"/>
          <w:szCs w:val="24"/>
        </w:rPr>
        <w:t xml:space="preserve">A análise dos estudos selecionados permitiu observar que a administração intranasal para entrega de fármacos ao sistema nervoso central apresentou evolução significativa ao longo da última década. Inicialmente, as estratégias concentravam-se principalmente na superação das limitações da mucosa nasal, utilizando recursos como peptídeos de penetração celular, </w:t>
      </w:r>
      <w:r w:rsidRPr="008416CC">
        <w:rPr>
          <w:sz w:val="24"/>
          <w:szCs w:val="24"/>
        </w:rPr>
        <w:lastRenderedPageBreak/>
        <w:t xml:space="preserve">sistemas </w:t>
      </w:r>
      <w:proofErr w:type="spellStart"/>
      <w:r w:rsidRPr="008416CC">
        <w:rPr>
          <w:sz w:val="24"/>
          <w:szCs w:val="24"/>
        </w:rPr>
        <w:t>mucoadesivos</w:t>
      </w:r>
      <w:proofErr w:type="spellEnd"/>
      <w:r w:rsidRPr="008416CC">
        <w:rPr>
          <w:sz w:val="24"/>
          <w:szCs w:val="24"/>
        </w:rPr>
        <w:t xml:space="preserve"> e formulações destinadas a aumentar a permanência do fármaco na cavidade nasal. Posteriormente, houve maior incorporação de </w:t>
      </w:r>
      <w:proofErr w:type="spellStart"/>
      <w:r w:rsidRPr="008416CC">
        <w:rPr>
          <w:sz w:val="24"/>
          <w:szCs w:val="24"/>
        </w:rPr>
        <w:t>nanocarreadores</w:t>
      </w:r>
      <w:proofErr w:type="spellEnd"/>
      <w:r w:rsidRPr="008416CC">
        <w:rPr>
          <w:sz w:val="24"/>
          <w:szCs w:val="24"/>
        </w:rPr>
        <w:t xml:space="preserve">, sistemas lipídicos, </w:t>
      </w:r>
      <w:proofErr w:type="spellStart"/>
      <w:r w:rsidRPr="008416CC">
        <w:rPr>
          <w:sz w:val="24"/>
          <w:szCs w:val="24"/>
        </w:rPr>
        <w:t>hidrogéis</w:t>
      </w:r>
      <w:proofErr w:type="spellEnd"/>
      <w:r w:rsidRPr="008416CC">
        <w:rPr>
          <w:sz w:val="24"/>
          <w:szCs w:val="24"/>
        </w:rPr>
        <w:t xml:space="preserve"> e estratégias de direcionamento, acompanhada pelo desenvolvimento de dispositivos capazes de modificar a deposição regional da formulação.</w:t>
      </w:r>
    </w:p>
    <w:p w14:paraId="5EEC94A2" w14:textId="41E3DB4B" w:rsidR="008416CC" w:rsidRPr="008416CC" w:rsidRDefault="008416CC" w:rsidP="004F5266">
      <w:pPr>
        <w:spacing w:line="360" w:lineRule="auto"/>
        <w:ind w:firstLine="709"/>
        <w:jc w:val="both"/>
        <w:rPr>
          <w:sz w:val="24"/>
          <w:szCs w:val="24"/>
        </w:rPr>
      </w:pPr>
      <w:r w:rsidRPr="008416CC">
        <w:rPr>
          <w:sz w:val="24"/>
          <w:szCs w:val="24"/>
        </w:rPr>
        <w:t xml:space="preserve">Os estudos também demonstraram que a evolução da estratégia </w:t>
      </w:r>
      <w:proofErr w:type="spellStart"/>
      <w:r w:rsidRPr="008416CC">
        <w:rPr>
          <w:sz w:val="24"/>
          <w:szCs w:val="24"/>
        </w:rPr>
        <w:t>nose-to-brain</w:t>
      </w:r>
      <w:proofErr w:type="spellEnd"/>
      <w:r w:rsidRPr="008416CC">
        <w:rPr>
          <w:sz w:val="24"/>
          <w:szCs w:val="24"/>
        </w:rPr>
        <w:t xml:space="preserve"> não depende exclusivamente do desenvolvimento de novos sistemas de liberação. Características físico-químicas da formulação, interação com a mucosa, propriedades das partículas, fluxo inspiratório e características dos dispositivos utilizados podem interferir na deposição nasal e, consequentemente, no potencial de entrega ao SNC. Dessa forma, a evolução observada envolve a integração entre farmacotécnica, tecnologia de dispositivos e conhecimento anatômico e fisiológico da cavidade nasal.</w:t>
      </w:r>
    </w:p>
    <w:p w14:paraId="17A76921" w14:textId="0D242D86" w:rsidR="008416CC" w:rsidRPr="008416CC" w:rsidRDefault="008416CC" w:rsidP="004F5266">
      <w:pPr>
        <w:spacing w:line="360" w:lineRule="auto"/>
        <w:ind w:firstLine="709"/>
        <w:jc w:val="both"/>
        <w:rPr>
          <w:sz w:val="24"/>
          <w:szCs w:val="24"/>
        </w:rPr>
      </w:pPr>
      <w:r w:rsidRPr="008416CC">
        <w:rPr>
          <w:sz w:val="24"/>
          <w:szCs w:val="24"/>
        </w:rPr>
        <w:t>Apesar dos avanços identificados, permanecem desafios relacionados à segurança, padronização das formulações, controle da deposição, diferenças anatômicas entre modelos experimentais e seres humanos e translação dos resultados pré-clínicos para a prática clínica. Assim, a administração intranasal apresenta potencial como estratégia menos invasiva para favorecer a entrega de fármacos ao SNC, mas sua consolidação terapêutica ainda depende da produção de evidências clínicas mais consistentes e da padronização dos métodos utilizados no desenvolvimento e na avaliação dessas tecnologias.</w:t>
      </w:r>
    </w:p>
    <w:p w14:paraId="779D2188" w14:textId="0C78E272" w:rsidR="0014607D" w:rsidRPr="008416CC" w:rsidRDefault="008416CC" w:rsidP="004F5266">
      <w:pPr>
        <w:spacing w:line="360" w:lineRule="auto"/>
        <w:ind w:firstLine="709"/>
        <w:jc w:val="both"/>
        <w:rPr>
          <w:sz w:val="24"/>
          <w:szCs w:val="24"/>
        </w:rPr>
      </w:pPr>
      <w:r w:rsidRPr="008416CC">
        <w:rPr>
          <w:sz w:val="24"/>
          <w:szCs w:val="24"/>
        </w:rPr>
        <w:t xml:space="preserve">Conclui-se, portanto, que a evolução da administração intranasal na última década ocorreu por meio da combinação progressiva de diferentes estratégias farmacotécnicas e tecnológicas, passando da preocupação inicial com a permanência e permeação na mucosa para sistemas mais complexos de transporte e maior controle da deposição nasal. O avanço futuro da abordagem </w:t>
      </w:r>
      <w:proofErr w:type="spellStart"/>
      <w:r w:rsidRPr="008416CC">
        <w:rPr>
          <w:sz w:val="24"/>
          <w:szCs w:val="24"/>
        </w:rPr>
        <w:t>nose-to-brain</w:t>
      </w:r>
      <w:proofErr w:type="spellEnd"/>
      <w:r w:rsidRPr="008416CC">
        <w:rPr>
          <w:sz w:val="24"/>
          <w:szCs w:val="24"/>
        </w:rPr>
        <w:t xml:space="preserve"> dependerá da capacidade de transformar esses resultados experimentais em estratégias seguras, reprodutíveis e aplicáveis à prática clínica.</w:t>
      </w:r>
    </w:p>
    <w:p w14:paraId="15129EB1" w14:textId="77777777" w:rsidR="0014607D" w:rsidRPr="0014607D" w:rsidRDefault="0014607D" w:rsidP="004F5266">
      <w:pPr>
        <w:spacing w:line="360" w:lineRule="auto"/>
        <w:rPr>
          <w:b/>
          <w:bCs/>
          <w:sz w:val="24"/>
          <w:szCs w:val="24"/>
        </w:rPr>
      </w:pPr>
    </w:p>
    <w:p w14:paraId="733E8D95" w14:textId="77777777" w:rsidR="00B368A3" w:rsidRDefault="00774866" w:rsidP="004F5266">
      <w:pPr>
        <w:jc w:val="center"/>
        <w:rPr>
          <w:b/>
          <w:bCs/>
          <w:sz w:val="24"/>
          <w:szCs w:val="24"/>
        </w:rPr>
      </w:pPr>
      <w:r w:rsidRPr="0014607D">
        <w:rPr>
          <w:b/>
          <w:bCs/>
          <w:sz w:val="24"/>
          <w:szCs w:val="24"/>
        </w:rPr>
        <w:t>REFERÊNCIAS</w:t>
      </w:r>
    </w:p>
    <w:p w14:paraId="3FE917E9" w14:textId="77777777" w:rsidR="00B368A3" w:rsidRDefault="00B368A3" w:rsidP="004F5266">
      <w:pPr>
        <w:jc w:val="center"/>
        <w:rPr>
          <w:b/>
          <w:bCs/>
          <w:sz w:val="24"/>
          <w:szCs w:val="24"/>
        </w:rPr>
      </w:pPr>
    </w:p>
    <w:p w14:paraId="402E826D" w14:textId="0463B70D" w:rsidR="00B368A3" w:rsidRPr="00334E99" w:rsidRDefault="00E24352" w:rsidP="004F5266">
      <w:pPr>
        <w:rPr>
          <w:b/>
          <w:bCs/>
          <w:sz w:val="24"/>
          <w:szCs w:val="24"/>
          <w:lang w:val="en-US"/>
        </w:rPr>
      </w:pPr>
      <w:r w:rsidRPr="00334E99">
        <w:rPr>
          <w:color w:val="222222"/>
          <w:sz w:val="24"/>
          <w:szCs w:val="24"/>
          <w:shd w:val="clear" w:color="auto" w:fill="FFFFFF"/>
        </w:rPr>
        <w:t xml:space="preserve">CHEN, Thomas C.; DA FONSECA, Clovis O.; SCHÖNTHAL, Axel H. Intranasal </w:t>
      </w:r>
      <w:proofErr w:type="spellStart"/>
      <w:r w:rsidRPr="00334E99">
        <w:rPr>
          <w:color w:val="222222"/>
          <w:sz w:val="24"/>
          <w:szCs w:val="24"/>
          <w:shd w:val="clear" w:color="auto" w:fill="FFFFFF"/>
        </w:rPr>
        <w:t>perillyl</w:t>
      </w:r>
      <w:proofErr w:type="spellEnd"/>
      <w:r w:rsidRPr="00334E99">
        <w:rPr>
          <w:color w:val="222222"/>
          <w:sz w:val="24"/>
          <w:szCs w:val="24"/>
          <w:shd w:val="clear" w:color="auto" w:fill="FFFFFF"/>
        </w:rPr>
        <w:t xml:space="preserve"> </w:t>
      </w:r>
      <w:proofErr w:type="spellStart"/>
      <w:r w:rsidRPr="00334E99">
        <w:rPr>
          <w:color w:val="222222"/>
          <w:sz w:val="24"/>
          <w:szCs w:val="24"/>
          <w:shd w:val="clear" w:color="auto" w:fill="FFFFFF"/>
        </w:rPr>
        <w:t>alcohol</w:t>
      </w:r>
      <w:proofErr w:type="spellEnd"/>
      <w:r w:rsidRPr="00334E99">
        <w:rPr>
          <w:color w:val="222222"/>
          <w:sz w:val="24"/>
          <w:szCs w:val="24"/>
          <w:shd w:val="clear" w:color="auto" w:fill="FFFFFF"/>
        </w:rPr>
        <w:t xml:space="preserve"> for glioma </w:t>
      </w:r>
      <w:proofErr w:type="spellStart"/>
      <w:r w:rsidRPr="00334E99">
        <w:rPr>
          <w:color w:val="222222"/>
          <w:sz w:val="24"/>
          <w:szCs w:val="24"/>
          <w:shd w:val="clear" w:color="auto" w:fill="FFFFFF"/>
        </w:rPr>
        <w:t>therapy</w:t>
      </w:r>
      <w:proofErr w:type="spellEnd"/>
      <w:r w:rsidRPr="00334E99">
        <w:rPr>
          <w:color w:val="222222"/>
          <w:sz w:val="24"/>
          <w:szCs w:val="24"/>
          <w:shd w:val="clear" w:color="auto" w:fill="FFFFFF"/>
        </w:rPr>
        <w:t xml:space="preserve">: molecular </w:t>
      </w:r>
      <w:proofErr w:type="spellStart"/>
      <w:r w:rsidRPr="00334E99">
        <w:rPr>
          <w:color w:val="222222"/>
          <w:sz w:val="24"/>
          <w:szCs w:val="24"/>
          <w:shd w:val="clear" w:color="auto" w:fill="FFFFFF"/>
        </w:rPr>
        <w:t>mechanisms</w:t>
      </w:r>
      <w:proofErr w:type="spellEnd"/>
      <w:r w:rsidRPr="00334E99">
        <w:rPr>
          <w:color w:val="222222"/>
          <w:sz w:val="24"/>
          <w:szCs w:val="24"/>
          <w:shd w:val="clear" w:color="auto" w:fill="FFFFFF"/>
        </w:rPr>
        <w:t xml:space="preserve"> </w:t>
      </w:r>
      <w:proofErr w:type="spellStart"/>
      <w:r w:rsidRPr="00334E99">
        <w:rPr>
          <w:color w:val="222222"/>
          <w:sz w:val="24"/>
          <w:szCs w:val="24"/>
          <w:shd w:val="clear" w:color="auto" w:fill="FFFFFF"/>
        </w:rPr>
        <w:t>and</w:t>
      </w:r>
      <w:proofErr w:type="spellEnd"/>
      <w:r w:rsidRPr="00334E99">
        <w:rPr>
          <w:color w:val="222222"/>
          <w:sz w:val="24"/>
          <w:szCs w:val="24"/>
          <w:shd w:val="clear" w:color="auto" w:fill="FFFFFF"/>
        </w:rPr>
        <w:t xml:space="preserve"> </w:t>
      </w:r>
      <w:proofErr w:type="spellStart"/>
      <w:r w:rsidRPr="00334E99">
        <w:rPr>
          <w:color w:val="222222"/>
          <w:sz w:val="24"/>
          <w:szCs w:val="24"/>
          <w:shd w:val="clear" w:color="auto" w:fill="FFFFFF"/>
        </w:rPr>
        <w:t>clinical</w:t>
      </w:r>
      <w:proofErr w:type="spellEnd"/>
      <w:r w:rsidRPr="00334E99">
        <w:rPr>
          <w:color w:val="222222"/>
          <w:sz w:val="24"/>
          <w:szCs w:val="24"/>
          <w:shd w:val="clear" w:color="auto" w:fill="FFFFFF"/>
        </w:rPr>
        <w:t xml:space="preserve"> </w:t>
      </w:r>
      <w:proofErr w:type="spellStart"/>
      <w:r w:rsidRPr="00334E99">
        <w:rPr>
          <w:color w:val="222222"/>
          <w:sz w:val="24"/>
          <w:szCs w:val="24"/>
          <w:shd w:val="clear" w:color="auto" w:fill="FFFFFF"/>
        </w:rPr>
        <w:t>development</w:t>
      </w:r>
      <w:proofErr w:type="spellEnd"/>
      <w:r w:rsidRPr="00334E99">
        <w:rPr>
          <w:color w:val="222222"/>
          <w:sz w:val="24"/>
          <w:szCs w:val="24"/>
          <w:shd w:val="clear" w:color="auto" w:fill="FFFFFF"/>
        </w:rPr>
        <w:t>. </w:t>
      </w:r>
      <w:r w:rsidRPr="00334E99">
        <w:rPr>
          <w:b/>
          <w:bCs/>
          <w:color w:val="222222"/>
          <w:sz w:val="24"/>
          <w:szCs w:val="24"/>
          <w:shd w:val="clear" w:color="auto" w:fill="FFFFFF"/>
          <w:lang w:val="en-US"/>
        </w:rPr>
        <w:t>International journal of molecular sciences</w:t>
      </w:r>
      <w:r w:rsidRPr="00334E99">
        <w:rPr>
          <w:color w:val="222222"/>
          <w:sz w:val="24"/>
          <w:szCs w:val="24"/>
          <w:shd w:val="clear" w:color="auto" w:fill="FFFFFF"/>
          <w:lang w:val="en-US"/>
        </w:rPr>
        <w:t>, v. 19, n. 12, p. 3905, 2018.</w:t>
      </w:r>
      <w:r w:rsidR="00B368A3" w:rsidRPr="00334E99">
        <w:rPr>
          <w:sz w:val="24"/>
          <w:szCs w:val="24"/>
          <w:lang w:val="en-US"/>
        </w:rPr>
        <w:t xml:space="preserve"> DOI: 10.3390/ijms19123905.</w:t>
      </w:r>
    </w:p>
    <w:p w14:paraId="79EBB951" w14:textId="77777777" w:rsidR="004F5266" w:rsidRPr="00334E99" w:rsidRDefault="004F5266" w:rsidP="004F5266">
      <w:pPr>
        <w:pStyle w:val="NormalWeb"/>
        <w:spacing w:before="0" w:beforeAutospacing="0" w:after="0" w:afterAutospacing="0"/>
        <w:rPr>
          <w:lang w:val="en-US"/>
        </w:rPr>
      </w:pPr>
    </w:p>
    <w:p w14:paraId="534E6DA2" w14:textId="76213E05" w:rsidR="00B368A3" w:rsidRPr="00334E99" w:rsidRDefault="00857F4D" w:rsidP="004F5266">
      <w:pPr>
        <w:pStyle w:val="NormalWeb"/>
        <w:spacing w:before="0" w:beforeAutospacing="0" w:after="0" w:afterAutospacing="0"/>
        <w:rPr>
          <w:lang w:val="en-US"/>
        </w:rPr>
      </w:pPr>
      <w:r w:rsidRPr="00334E99">
        <w:rPr>
          <w:color w:val="222222"/>
          <w:shd w:val="clear" w:color="auto" w:fill="FFFFFF"/>
          <w:lang w:val="en-US"/>
        </w:rPr>
        <w:t>CROWE, Tyler P.; HSU, Walter H. Evaluation of recent intranasal drug delivery systems to the central nervous system. </w:t>
      </w:r>
      <w:r w:rsidRPr="00334E99">
        <w:rPr>
          <w:b/>
          <w:bCs/>
          <w:color w:val="222222"/>
          <w:shd w:val="clear" w:color="auto" w:fill="FFFFFF"/>
          <w:lang w:val="en-US"/>
        </w:rPr>
        <w:t>Pharmaceutics</w:t>
      </w:r>
      <w:r w:rsidRPr="00334E99">
        <w:rPr>
          <w:color w:val="222222"/>
          <w:shd w:val="clear" w:color="auto" w:fill="FFFFFF"/>
          <w:lang w:val="en-US"/>
        </w:rPr>
        <w:t>, v. 14, n. 3, p. 629, 2022.</w:t>
      </w:r>
    </w:p>
    <w:p w14:paraId="74956784" w14:textId="77777777" w:rsidR="004F5266" w:rsidRPr="00334E99" w:rsidRDefault="004F5266" w:rsidP="004F5266">
      <w:pPr>
        <w:pStyle w:val="NormalWeb"/>
        <w:spacing w:before="0" w:beforeAutospacing="0" w:after="0" w:afterAutospacing="0"/>
        <w:rPr>
          <w:lang w:val="en-US"/>
        </w:rPr>
      </w:pPr>
    </w:p>
    <w:p w14:paraId="02D0B81F" w14:textId="6331479E" w:rsidR="00B368A3" w:rsidRPr="00334E99" w:rsidRDefault="00B368A3" w:rsidP="004F5266">
      <w:pPr>
        <w:pStyle w:val="NormalWeb"/>
        <w:spacing w:before="0" w:beforeAutospacing="0" w:after="0" w:afterAutospacing="0"/>
        <w:rPr>
          <w:lang w:val="en-US"/>
        </w:rPr>
      </w:pPr>
      <w:r w:rsidRPr="00334E99">
        <w:rPr>
          <w:lang w:val="en-US"/>
        </w:rPr>
        <w:t xml:space="preserve">D’SOUZA, Anisha A. et al. Differential targeting of olfactory epithelium and respiratory epithelium in nose-to-brain drug delivery. </w:t>
      </w:r>
      <w:r w:rsidRPr="00334E99">
        <w:rPr>
          <w:b/>
          <w:bCs/>
          <w:lang w:val="en-US"/>
        </w:rPr>
        <w:t>Expert Opinion on Drug Delivery</w:t>
      </w:r>
      <w:r w:rsidRPr="00334E99">
        <w:rPr>
          <w:lang w:val="en-US"/>
        </w:rPr>
        <w:t>, v. 23, n. 1, p. 17-36, 2026. DOI: 10.1080/17425247.2025.2568093.</w:t>
      </w:r>
    </w:p>
    <w:p w14:paraId="7F69A0DD" w14:textId="77777777" w:rsidR="004F5266" w:rsidRPr="00334E99" w:rsidRDefault="004F5266" w:rsidP="004F5266">
      <w:pPr>
        <w:pStyle w:val="NormalWeb"/>
        <w:spacing w:before="0" w:beforeAutospacing="0" w:after="0" w:afterAutospacing="0"/>
        <w:rPr>
          <w:lang w:val="en-US"/>
        </w:rPr>
      </w:pPr>
    </w:p>
    <w:p w14:paraId="1C342FB1" w14:textId="22B11B1B" w:rsidR="00B368A3" w:rsidRPr="00334E99" w:rsidRDefault="00B368A3" w:rsidP="004F5266">
      <w:pPr>
        <w:pStyle w:val="NormalWeb"/>
        <w:spacing w:before="0" w:beforeAutospacing="0" w:after="0" w:afterAutospacing="0"/>
        <w:rPr>
          <w:lang w:val="en-US"/>
        </w:rPr>
      </w:pPr>
      <w:r w:rsidRPr="00334E99">
        <w:rPr>
          <w:lang w:val="en-US"/>
        </w:rPr>
        <w:t xml:space="preserve">FONG, Tsz Yan Alice et al. The effect of spray properties and inspiratory flow rate on regional nasal deposition for pressure-swirl versus soft mist devices. </w:t>
      </w:r>
      <w:r w:rsidRPr="00334E99">
        <w:rPr>
          <w:b/>
          <w:bCs/>
          <w:lang w:val="en-US"/>
        </w:rPr>
        <w:t>International Journal of Pharmaceutics</w:t>
      </w:r>
      <w:r w:rsidRPr="00334E99">
        <w:rPr>
          <w:lang w:val="en-US"/>
        </w:rPr>
        <w:t>, v. 700, p. 126991, 2026. DOI: 10.1016/j.ijpharm.2026.126991.</w:t>
      </w:r>
    </w:p>
    <w:p w14:paraId="376EBE3A" w14:textId="77777777" w:rsidR="004F5266" w:rsidRPr="00334E99" w:rsidRDefault="004F5266" w:rsidP="004F5266">
      <w:pPr>
        <w:pStyle w:val="NormalWeb"/>
        <w:spacing w:before="0" w:beforeAutospacing="0" w:after="0" w:afterAutospacing="0"/>
        <w:rPr>
          <w:lang w:val="en-US"/>
        </w:rPr>
      </w:pPr>
    </w:p>
    <w:p w14:paraId="19165626" w14:textId="124D381F" w:rsidR="00B368A3" w:rsidRPr="00334E99" w:rsidRDefault="00B368A3" w:rsidP="004F5266">
      <w:pPr>
        <w:pStyle w:val="NormalWeb"/>
        <w:spacing w:before="0" w:beforeAutospacing="0" w:after="0" w:afterAutospacing="0"/>
        <w:rPr>
          <w:lang w:val="en-US"/>
        </w:rPr>
      </w:pPr>
      <w:r w:rsidRPr="00334E99">
        <w:rPr>
          <w:lang w:val="en-US"/>
        </w:rPr>
        <w:t xml:space="preserve">GÄNGER, Stella; SCHINDOWSKI, Katharina. Tailoring formulations for intranasal nose-to-brain delivery: a review on architecture, </w:t>
      </w:r>
      <w:proofErr w:type="spellStart"/>
      <w:r w:rsidRPr="00334E99">
        <w:rPr>
          <w:lang w:val="en-US"/>
        </w:rPr>
        <w:t>physico</w:t>
      </w:r>
      <w:proofErr w:type="spellEnd"/>
      <w:r w:rsidRPr="00334E99">
        <w:rPr>
          <w:lang w:val="en-US"/>
        </w:rPr>
        <w:t xml:space="preserve">-chemical characteristics and </w:t>
      </w:r>
      <w:proofErr w:type="spellStart"/>
      <w:r w:rsidRPr="00334E99">
        <w:rPr>
          <w:lang w:val="en-US"/>
        </w:rPr>
        <w:t>mucociliary</w:t>
      </w:r>
      <w:proofErr w:type="spellEnd"/>
      <w:r w:rsidRPr="00334E99">
        <w:rPr>
          <w:lang w:val="en-US"/>
        </w:rPr>
        <w:t xml:space="preserve"> clearance of the nasal olfactory mucosa. </w:t>
      </w:r>
      <w:r w:rsidRPr="00334E99">
        <w:rPr>
          <w:b/>
          <w:bCs/>
          <w:lang w:val="en-US"/>
        </w:rPr>
        <w:t>Pharmaceutics</w:t>
      </w:r>
      <w:r w:rsidRPr="00334E99">
        <w:rPr>
          <w:lang w:val="en-US"/>
        </w:rPr>
        <w:t>, v. 10, n. 3, p. 116, 2018. DOI: 10.3390/pharmaceutics10030116.</w:t>
      </w:r>
    </w:p>
    <w:p w14:paraId="2BBE4E97" w14:textId="77777777" w:rsidR="004F5266" w:rsidRPr="00334E99" w:rsidRDefault="004F5266" w:rsidP="004F5266">
      <w:pPr>
        <w:pStyle w:val="NormalWeb"/>
        <w:spacing w:before="0" w:beforeAutospacing="0" w:after="0" w:afterAutospacing="0"/>
        <w:rPr>
          <w:lang w:val="en-US"/>
        </w:rPr>
      </w:pPr>
    </w:p>
    <w:p w14:paraId="08F3A6CE" w14:textId="2E847D0E" w:rsidR="00B368A3" w:rsidRPr="00334E99" w:rsidRDefault="00B368A3" w:rsidP="004F5266">
      <w:pPr>
        <w:pStyle w:val="NormalWeb"/>
        <w:spacing w:before="0" w:beforeAutospacing="0" w:after="0" w:afterAutospacing="0"/>
        <w:rPr>
          <w:lang w:val="en-US"/>
        </w:rPr>
      </w:pPr>
      <w:r w:rsidRPr="00334E99">
        <w:rPr>
          <w:lang w:val="en-US"/>
        </w:rPr>
        <w:t xml:space="preserve">HONG, Soon-Seok et al. Liposomal formulations for nose-to-brain delivery: recent advances and future perspectives. </w:t>
      </w:r>
      <w:r w:rsidRPr="00334E99">
        <w:rPr>
          <w:b/>
          <w:bCs/>
          <w:lang w:val="en-US"/>
        </w:rPr>
        <w:t>Pharmaceutics</w:t>
      </w:r>
      <w:r w:rsidRPr="00334E99">
        <w:rPr>
          <w:lang w:val="en-US"/>
        </w:rPr>
        <w:t>, v. 11, n. 10, p. 540, 2019. DOI: 10.3390/pharmaceutics11100540.</w:t>
      </w:r>
    </w:p>
    <w:p w14:paraId="4206126B" w14:textId="77777777" w:rsidR="004F5266" w:rsidRPr="00334E99" w:rsidRDefault="004F5266" w:rsidP="004F5266">
      <w:pPr>
        <w:pStyle w:val="NormalWeb"/>
        <w:spacing w:before="0" w:beforeAutospacing="0" w:after="0" w:afterAutospacing="0"/>
        <w:rPr>
          <w:lang w:val="en-US"/>
        </w:rPr>
      </w:pPr>
    </w:p>
    <w:p w14:paraId="0652ECC1" w14:textId="3ED9BBCA" w:rsidR="00B368A3" w:rsidRPr="00334E99" w:rsidRDefault="00B368A3" w:rsidP="004F5266">
      <w:pPr>
        <w:pStyle w:val="NormalWeb"/>
        <w:spacing w:before="0" w:beforeAutospacing="0" w:after="0" w:afterAutospacing="0"/>
        <w:rPr>
          <w:lang w:val="en-US"/>
        </w:rPr>
      </w:pPr>
      <w:r w:rsidRPr="00334E99">
        <w:rPr>
          <w:lang w:val="en-US"/>
        </w:rPr>
        <w:t xml:space="preserve">KAMEI, </w:t>
      </w:r>
      <w:proofErr w:type="spellStart"/>
      <w:r w:rsidRPr="00334E99">
        <w:rPr>
          <w:lang w:val="en-US"/>
        </w:rPr>
        <w:t>Noriyasu</w:t>
      </w:r>
      <w:proofErr w:type="spellEnd"/>
      <w:r w:rsidRPr="00334E99">
        <w:rPr>
          <w:lang w:val="en-US"/>
        </w:rPr>
        <w:t xml:space="preserve">. Nose-to-brain delivery of peptide drugs enhanced by coadministration of cell-penetrating peptides: therapeutic potential for dementia. </w:t>
      </w:r>
      <w:proofErr w:type="spellStart"/>
      <w:r w:rsidRPr="00334E99">
        <w:rPr>
          <w:b/>
          <w:bCs/>
          <w:lang w:val="en-US"/>
        </w:rPr>
        <w:t>Yakugaku</w:t>
      </w:r>
      <w:proofErr w:type="spellEnd"/>
      <w:r w:rsidRPr="00334E99">
        <w:rPr>
          <w:b/>
          <w:bCs/>
          <w:lang w:val="en-US"/>
        </w:rPr>
        <w:t xml:space="preserve"> </w:t>
      </w:r>
      <w:proofErr w:type="spellStart"/>
      <w:r w:rsidRPr="00334E99">
        <w:rPr>
          <w:b/>
          <w:bCs/>
          <w:lang w:val="en-US"/>
        </w:rPr>
        <w:t>Zasshi</w:t>
      </w:r>
      <w:proofErr w:type="spellEnd"/>
      <w:r w:rsidRPr="00334E99">
        <w:rPr>
          <w:lang w:val="en-US"/>
        </w:rPr>
        <w:t>, v. 137, n. 10, p. 1247-1253, 2017. DOI: 10.1248/yakushi.17-00138.</w:t>
      </w:r>
    </w:p>
    <w:p w14:paraId="7E03F680" w14:textId="77777777" w:rsidR="004F5266" w:rsidRPr="00334E99" w:rsidRDefault="004F5266" w:rsidP="004F5266">
      <w:pPr>
        <w:pStyle w:val="NormalWeb"/>
        <w:spacing w:before="0" w:beforeAutospacing="0" w:after="0" w:afterAutospacing="0"/>
        <w:rPr>
          <w:lang w:val="en-US"/>
        </w:rPr>
      </w:pPr>
    </w:p>
    <w:p w14:paraId="36515944" w14:textId="7DFD6B22" w:rsidR="00B368A3" w:rsidRPr="00334E99" w:rsidRDefault="00B368A3" w:rsidP="004F5266">
      <w:pPr>
        <w:pStyle w:val="NormalWeb"/>
        <w:spacing w:before="0" w:beforeAutospacing="0" w:after="0" w:afterAutospacing="0"/>
        <w:rPr>
          <w:lang w:val="en-US"/>
        </w:rPr>
      </w:pPr>
      <w:r w:rsidRPr="00334E99">
        <w:rPr>
          <w:lang w:val="en-US"/>
        </w:rPr>
        <w:t xml:space="preserve">KELLER, Lea-Adriana; MERKEL, Olivia; POPP, Andreas. Intranasal drug delivery: opportunities and toxicologic challenges during drug development. Drug Delivery and </w:t>
      </w:r>
      <w:r w:rsidRPr="00334E99">
        <w:rPr>
          <w:b/>
          <w:bCs/>
          <w:lang w:val="en-US"/>
        </w:rPr>
        <w:t>Translational Research</w:t>
      </w:r>
      <w:r w:rsidRPr="00334E99">
        <w:rPr>
          <w:lang w:val="en-US"/>
        </w:rPr>
        <w:t>, v. 12, n. 4, p. 735-757, 2022. DOI: 10.1007/s13346-020-00891-5.</w:t>
      </w:r>
    </w:p>
    <w:p w14:paraId="25D0D6D8" w14:textId="77777777" w:rsidR="004F5266" w:rsidRPr="00334E99" w:rsidRDefault="004F5266" w:rsidP="004F5266">
      <w:pPr>
        <w:pStyle w:val="NormalWeb"/>
        <w:spacing w:before="0" w:beforeAutospacing="0" w:after="0" w:afterAutospacing="0"/>
        <w:rPr>
          <w:lang w:val="en-US"/>
        </w:rPr>
      </w:pPr>
    </w:p>
    <w:p w14:paraId="69DA6589" w14:textId="79149624" w:rsidR="00B368A3" w:rsidRPr="00334E99" w:rsidRDefault="00B368A3" w:rsidP="004F5266">
      <w:pPr>
        <w:pStyle w:val="NormalWeb"/>
        <w:spacing w:before="0" w:beforeAutospacing="0" w:after="0" w:afterAutospacing="0"/>
      </w:pPr>
      <w:r w:rsidRPr="00334E99">
        <w:rPr>
          <w:lang w:val="en-US"/>
        </w:rPr>
        <w:t xml:space="preserve">LEE, David; MINKO, Tamara. Nanotherapeutics for nose-to-brain drug delivery: an approach to bypass the blood brain barrier. </w:t>
      </w:r>
      <w:proofErr w:type="spellStart"/>
      <w:r w:rsidRPr="00334E99">
        <w:rPr>
          <w:b/>
          <w:bCs/>
        </w:rPr>
        <w:t>Pharmaceutics</w:t>
      </w:r>
      <w:proofErr w:type="spellEnd"/>
      <w:r w:rsidRPr="00334E99">
        <w:t>, v. 13, n. 12, p. 2049, 2021. DOI: 10.3390/pharmaceutics13122049.</w:t>
      </w:r>
    </w:p>
    <w:p w14:paraId="37B55E6D" w14:textId="77777777" w:rsidR="004F5266" w:rsidRPr="00334E99" w:rsidRDefault="004F5266" w:rsidP="004F5266">
      <w:pPr>
        <w:pStyle w:val="NormalWeb"/>
        <w:spacing w:before="0" w:beforeAutospacing="0" w:after="0" w:afterAutospacing="0"/>
      </w:pPr>
    </w:p>
    <w:p w14:paraId="7A761ED2" w14:textId="57CEE85F" w:rsidR="00B368A3" w:rsidRPr="00334E99" w:rsidRDefault="00B368A3" w:rsidP="004F5266">
      <w:pPr>
        <w:pStyle w:val="NormalWeb"/>
        <w:spacing w:before="0" w:beforeAutospacing="0" w:after="0" w:afterAutospacing="0"/>
        <w:rPr>
          <w:lang w:val="en-US"/>
        </w:rPr>
      </w:pPr>
      <w:r w:rsidRPr="00334E99">
        <w:t xml:space="preserve">LIU, </w:t>
      </w:r>
      <w:proofErr w:type="spellStart"/>
      <w:r w:rsidRPr="00334E99">
        <w:t>Xiaoxue</w:t>
      </w:r>
      <w:proofErr w:type="spellEnd"/>
      <w:r w:rsidRPr="00334E99">
        <w:t xml:space="preserve"> et al. </w:t>
      </w:r>
      <w:r w:rsidRPr="00334E99">
        <w:rPr>
          <w:lang w:val="en-US"/>
        </w:rPr>
        <w:t xml:space="preserve">Advanced sensing and delivery technologies for nose-to-brain administration: from nanocarriers to sensor-integrated organ-on-chips. </w:t>
      </w:r>
      <w:r w:rsidRPr="00334E99">
        <w:rPr>
          <w:b/>
          <w:bCs/>
          <w:lang w:val="en-US"/>
        </w:rPr>
        <w:t>Sensors</w:t>
      </w:r>
      <w:r w:rsidRPr="00334E99">
        <w:rPr>
          <w:lang w:val="en-US"/>
        </w:rPr>
        <w:t>, v. 26, n. 8, p. 2523, 2026. DOI: 10.3390/s26082523.</w:t>
      </w:r>
    </w:p>
    <w:p w14:paraId="0F507D6F" w14:textId="77777777" w:rsidR="004F5266" w:rsidRPr="00334E99" w:rsidRDefault="004F5266" w:rsidP="004F5266">
      <w:pPr>
        <w:pStyle w:val="NormalWeb"/>
        <w:spacing w:before="0" w:beforeAutospacing="0" w:after="0" w:afterAutospacing="0"/>
        <w:rPr>
          <w:lang w:val="en-US"/>
        </w:rPr>
      </w:pPr>
    </w:p>
    <w:p w14:paraId="20894744" w14:textId="43F4543D" w:rsidR="00B368A3" w:rsidRPr="00334E99" w:rsidRDefault="00B368A3" w:rsidP="004F5266">
      <w:pPr>
        <w:pStyle w:val="NormalWeb"/>
        <w:spacing w:before="0" w:beforeAutospacing="0" w:after="0" w:afterAutospacing="0"/>
        <w:rPr>
          <w:lang w:val="en-US"/>
        </w:rPr>
      </w:pPr>
      <w:r w:rsidRPr="00334E99">
        <w:rPr>
          <w:lang w:val="en-US"/>
        </w:rPr>
        <w:t xml:space="preserve">MARTINS, D. A. et al. Effects of route of administration on oxytocin-induced changes in regional cerebral blood flow in humans. </w:t>
      </w:r>
      <w:r w:rsidRPr="00334E99">
        <w:rPr>
          <w:b/>
          <w:bCs/>
          <w:lang w:val="en-US"/>
        </w:rPr>
        <w:t>Nature Communications</w:t>
      </w:r>
      <w:r w:rsidRPr="00334E99">
        <w:rPr>
          <w:lang w:val="en-US"/>
        </w:rPr>
        <w:t>, v. 11, p. 1160, 2020. DOI: 10.1038/s41467-020-14845-5.</w:t>
      </w:r>
    </w:p>
    <w:p w14:paraId="55BDF301" w14:textId="77777777" w:rsidR="004F5266" w:rsidRPr="00334E99" w:rsidRDefault="004F5266" w:rsidP="004F5266">
      <w:pPr>
        <w:pStyle w:val="NormalWeb"/>
        <w:spacing w:before="0" w:beforeAutospacing="0" w:after="0" w:afterAutospacing="0"/>
        <w:rPr>
          <w:lang w:val="en-US"/>
        </w:rPr>
      </w:pPr>
    </w:p>
    <w:p w14:paraId="4D7FC19C" w14:textId="4F5D9F88" w:rsidR="00B368A3" w:rsidRPr="00334E99" w:rsidRDefault="00B368A3" w:rsidP="004F5266">
      <w:pPr>
        <w:pStyle w:val="NormalWeb"/>
        <w:spacing w:before="0" w:beforeAutospacing="0" w:after="0" w:afterAutospacing="0"/>
        <w:rPr>
          <w:lang w:val="en-US"/>
        </w:rPr>
      </w:pPr>
      <w:r w:rsidRPr="00334E99">
        <w:rPr>
          <w:lang w:val="en-US"/>
        </w:rPr>
        <w:t xml:space="preserve">PARDRIDGE, William M. Advanced blood-brain barrier drug delivery. </w:t>
      </w:r>
      <w:r w:rsidRPr="00334E99">
        <w:rPr>
          <w:b/>
          <w:bCs/>
          <w:lang w:val="en-US"/>
        </w:rPr>
        <w:t>Pharmaceutics</w:t>
      </w:r>
      <w:r w:rsidRPr="00334E99">
        <w:rPr>
          <w:lang w:val="en-US"/>
        </w:rPr>
        <w:t>, v. 15, n. 1, p. 93, 2023. DOI: 10.3390/pharmaceutics15010093.</w:t>
      </w:r>
    </w:p>
    <w:p w14:paraId="3B74A3BD" w14:textId="77777777" w:rsidR="004F5266" w:rsidRPr="00334E99" w:rsidRDefault="004F5266" w:rsidP="004F5266">
      <w:pPr>
        <w:pStyle w:val="NormalWeb"/>
        <w:spacing w:before="0" w:beforeAutospacing="0" w:after="0" w:afterAutospacing="0"/>
        <w:rPr>
          <w:lang w:val="en-US"/>
        </w:rPr>
      </w:pPr>
    </w:p>
    <w:p w14:paraId="39336992" w14:textId="73205BF4" w:rsidR="00B368A3" w:rsidRPr="00334E99" w:rsidRDefault="00B368A3" w:rsidP="004F5266">
      <w:pPr>
        <w:pStyle w:val="NormalWeb"/>
        <w:spacing w:before="0" w:beforeAutospacing="0" w:after="0" w:afterAutospacing="0"/>
        <w:rPr>
          <w:lang w:val="en-US"/>
        </w:rPr>
      </w:pPr>
      <w:r w:rsidRPr="00334E99">
        <w:rPr>
          <w:lang w:val="en-US"/>
        </w:rPr>
        <w:t xml:space="preserve">PATHARAPANKAL, Elizabeth J. et al. Nose-to-brain (N2B) delivery: an alternative route for the delivery of biologics in the management and treatment of central nervous system disorders. </w:t>
      </w:r>
      <w:r w:rsidRPr="00334E99">
        <w:rPr>
          <w:b/>
          <w:bCs/>
          <w:lang w:val="en-US"/>
        </w:rPr>
        <w:t>Pharmaceutics</w:t>
      </w:r>
      <w:r w:rsidRPr="00334E99">
        <w:rPr>
          <w:lang w:val="en-US"/>
        </w:rPr>
        <w:t>, v. 16, n. 1, p. 66, 2024. DOI: 10.3390/pharmaceutics16010066.</w:t>
      </w:r>
    </w:p>
    <w:p w14:paraId="7EE0E7A6" w14:textId="77777777" w:rsidR="004F5266" w:rsidRPr="00334E99" w:rsidRDefault="004F5266" w:rsidP="004F5266">
      <w:pPr>
        <w:pStyle w:val="NormalWeb"/>
        <w:spacing w:before="0" w:beforeAutospacing="0" w:after="0" w:afterAutospacing="0"/>
        <w:rPr>
          <w:lang w:val="en-US"/>
        </w:rPr>
      </w:pPr>
    </w:p>
    <w:p w14:paraId="0465CF19" w14:textId="04BA6C7F" w:rsidR="00B368A3" w:rsidRPr="00334E99" w:rsidRDefault="00B368A3" w:rsidP="004F5266">
      <w:pPr>
        <w:pStyle w:val="NormalWeb"/>
        <w:spacing w:before="0" w:beforeAutospacing="0" w:after="0" w:afterAutospacing="0"/>
        <w:rPr>
          <w:lang w:val="en-US"/>
        </w:rPr>
      </w:pPr>
      <w:r w:rsidRPr="00334E99">
        <w:rPr>
          <w:lang w:val="en-US"/>
        </w:rPr>
        <w:t xml:space="preserve">QIU, Yi et al. The nasal-brain drug delivery route: mechanisms and applications to central nervous system diseases. </w:t>
      </w:r>
      <w:proofErr w:type="spellStart"/>
      <w:r w:rsidRPr="00334E99">
        <w:rPr>
          <w:b/>
          <w:bCs/>
          <w:lang w:val="en-US"/>
        </w:rPr>
        <w:t>MedComm</w:t>
      </w:r>
      <w:proofErr w:type="spellEnd"/>
      <w:r w:rsidRPr="00334E99">
        <w:rPr>
          <w:lang w:val="en-US"/>
        </w:rPr>
        <w:t>, v. 6, n. 6, p. e70213, 2025. DOI: 10.1002/mco2.70213.</w:t>
      </w:r>
    </w:p>
    <w:p w14:paraId="19D2C582" w14:textId="77777777" w:rsidR="004F5266" w:rsidRPr="00334E99" w:rsidRDefault="004F5266" w:rsidP="004F5266">
      <w:pPr>
        <w:pStyle w:val="NormalWeb"/>
        <w:spacing w:before="0" w:beforeAutospacing="0" w:after="0" w:afterAutospacing="0"/>
        <w:rPr>
          <w:lang w:val="en-US"/>
        </w:rPr>
      </w:pPr>
    </w:p>
    <w:p w14:paraId="50C6A961" w14:textId="1523CF42" w:rsidR="00B368A3" w:rsidRPr="00334E99" w:rsidRDefault="00B368A3" w:rsidP="004F5266">
      <w:pPr>
        <w:pStyle w:val="NormalWeb"/>
        <w:spacing w:before="0" w:beforeAutospacing="0" w:after="0" w:afterAutospacing="0"/>
        <w:rPr>
          <w:lang w:val="en-US"/>
        </w:rPr>
      </w:pPr>
      <w:r w:rsidRPr="00334E99">
        <w:rPr>
          <w:lang w:val="en-US"/>
        </w:rPr>
        <w:t xml:space="preserve">SÉGUY, Line et al. Enhancing brain delivery of </w:t>
      </w:r>
      <w:proofErr w:type="spellStart"/>
      <w:r w:rsidRPr="00334E99">
        <w:rPr>
          <w:lang w:val="en-US"/>
        </w:rPr>
        <w:t>tegaserod</w:t>
      </w:r>
      <w:proofErr w:type="spellEnd"/>
      <w:r w:rsidRPr="00334E99">
        <w:rPr>
          <w:lang w:val="en-US"/>
        </w:rPr>
        <w:t xml:space="preserve"> for Alzheimer’s disease: a pharmaceutical comparison of two nanocarrier-based strategies. International Journal of </w:t>
      </w:r>
      <w:r w:rsidRPr="00334E99">
        <w:rPr>
          <w:b/>
          <w:bCs/>
          <w:lang w:val="en-US"/>
        </w:rPr>
        <w:t>Pharmaceutics</w:t>
      </w:r>
      <w:r w:rsidRPr="00334E99">
        <w:rPr>
          <w:lang w:val="en-US"/>
        </w:rPr>
        <w:t>, v. 702, p. 127181, 2026. DOI: 10.1016/j.ijpharm.2026.127181.</w:t>
      </w:r>
    </w:p>
    <w:p w14:paraId="1E31D92C" w14:textId="77777777" w:rsidR="004F5266" w:rsidRPr="00334E99" w:rsidRDefault="004F5266" w:rsidP="004F5266">
      <w:pPr>
        <w:pStyle w:val="NormalWeb"/>
        <w:spacing w:before="0" w:beforeAutospacing="0" w:after="0" w:afterAutospacing="0"/>
        <w:rPr>
          <w:lang w:val="en-US"/>
        </w:rPr>
      </w:pPr>
    </w:p>
    <w:p w14:paraId="705CCA06" w14:textId="45EFDE59" w:rsidR="00B368A3" w:rsidRPr="00334E99" w:rsidRDefault="00B368A3" w:rsidP="004F5266">
      <w:pPr>
        <w:pStyle w:val="NormalWeb"/>
        <w:spacing w:before="0" w:beforeAutospacing="0" w:after="0" w:afterAutospacing="0"/>
      </w:pPr>
      <w:r w:rsidRPr="00334E99">
        <w:rPr>
          <w:lang w:val="en-US"/>
        </w:rPr>
        <w:lastRenderedPageBreak/>
        <w:t xml:space="preserve">SHREWSBURY, Stephen B. The upper nasal space: option for systemic drug delivery, mucosal vaccines and “nose-to-brain”. </w:t>
      </w:r>
      <w:proofErr w:type="spellStart"/>
      <w:r w:rsidRPr="00334E99">
        <w:rPr>
          <w:b/>
          <w:bCs/>
        </w:rPr>
        <w:t>Pharmaceutics</w:t>
      </w:r>
      <w:proofErr w:type="spellEnd"/>
      <w:r w:rsidRPr="00334E99">
        <w:t>, v. 15, n. 6, p. 1720, 2023. DOI: 10.3390/pharmaceutics15061720.</w:t>
      </w:r>
    </w:p>
    <w:p w14:paraId="37E8BD0C" w14:textId="77777777" w:rsidR="004F5266" w:rsidRPr="00334E99" w:rsidRDefault="004F5266" w:rsidP="004F5266">
      <w:pPr>
        <w:pStyle w:val="NormalWeb"/>
        <w:spacing w:before="0" w:beforeAutospacing="0" w:after="0" w:afterAutospacing="0"/>
      </w:pPr>
    </w:p>
    <w:p w14:paraId="32BF3593" w14:textId="7965227B" w:rsidR="00B368A3" w:rsidRPr="00334E99" w:rsidRDefault="00B368A3" w:rsidP="004F5266">
      <w:pPr>
        <w:pStyle w:val="NormalWeb"/>
        <w:spacing w:before="0" w:beforeAutospacing="0" w:after="0" w:afterAutospacing="0"/>
        <w:rPr>
          <w:lang w:val="en-US"/>
        </w:rPr>
      </w:pPr>
      <w:r w:rsidRPr="00334E99">
        <w:t xml:space="preserve">TREVINO, J. T. et al. </w:t>
      </w:r>
      <w:r w:rsidRPr="00334E99">
        <w:rPr>
          <w:lang w:val="en-US"/>
        </w:rPr>
        <w:t xml:space="preserve">Non-invasive strategies for nose-to-brain drug delivery. </w:t>
      </w:r>
      <w:r w:rsidRPr="00334E99">
        <w:rPr>
          <w:b/>
          <w:bCs/>
          <w:lang w:val="en-US"/>
        </w:rPr>
        <w:t>Journal of Clinical Trials</w:t>
      </w:r>
      <w:r w:rsidRPr="00334E99">
        <w:rPr>
          <w:lang w:val="en-US"/>
        </w:rPr>
        <w:t>, v. 10, n. 7, p. 439, 2020. DOI: 10.35248/2167-0870.20.10.439.</w:t>
      </w:r>
    </w:p>
    <w:p w14:paraId="58D46340" w14:textId="77777777" w:rsidR="004F5266" w:rsidRPr="00334E99" w:rsidRDefault="004F5266" w:rsidP="004F5266">
      <w:pPr>
        <w:pStyle w:val="NormalWeb"/>
        <w:spacing w:before="0" w:beforeAutospacing="0" w:after="0" w:afterAutospacing="0"/>
        <w:rPr>
          <w:lang w:val="en-US"/>
        </w:rPr>
      </w:pPr>
    </w:p>
    <w:p w14:paraId="6C7729BB" w14:textId="76A952A4" w:rsidR="00B368A3" w:rsidRPr="00334E99" w:rsidRDefault="00B368A3" w:rsidP="004F5266">
      <w:pPr>
        <w:pStyle w:val="NormalWeb"/>
        <w:spacing w:before="0" w:beforeAutospacing="0" w:after="0" w:afterAutospacing="0"/>
        <w:rPr>
          <w:lang w:val="en-US"/>
        </w:rPr>
      </w:pPr>
      <w:r w:rsidRPr="00334E99">
        <w:rPr>
          <w:lang w:val="en-US"/>
        </w:rPr>
        <w:t xml:space="preserve">VISHNUMURTHY, Priya et al. Computational fluid dynamics approach for direct nose-to-brain drug delivery: a systematic review and meta-analysis. </w:t>
      </w:r>
      <w:r w:rsidRPr="00334E99">
        <w:rPr>
          <w:b/>
          <w:bCs/>
          <w:lang w:val="en-US"/>
        </w:rPr>
        <w:t>Journal of Personalized Medicine</w:t>
      </w:r>
      <w:r w:rsidRPr="00334E99">
        <w:rPr>
          <w:lang w:val="en-US"/>
        </w:rPr>
        <w:t>, v. 15, n. 10, p. 447, 2025. DOI: 10.3390/jpm15100447.</w:t>
      </w:r>
    </w:p>
    <w:p w14:paraId="301B08ED" w14:textId="77777777" w:rsidR="004F5266" w:rsidRPr="00334E99" w:rsidRDefault="004F5266" w:rsidP="004F5266">
      <w:pPr>
        <w:pStyle w:val="NormalWeb"/>
        <w:spacing w:before="0" w:beforeAutospacing="0" w:after="0" w:afterAutospacing="0"/>
        <w:rPr>
          <w:lang w:val="en-US"/>
        </w:rPr>
      </w:pPr>
    </w:p>
    <w:p w14:paraId="3288E944" w14:textId="66F069E3" w:rsidR="00B368A3" w:rsidRPr="00334E99" w:rsidRDefault="00B368A3" w:rsidP="004F5266">
      <w:pPr>
        <w:pStyle w:val="NormalWeb"/>
        <w:spacing w:before="0" w:beforeAutospacing="0" w:after="0" w:afterAutospacing="0"/>
        <w:rPr>
          <w:lang w:val="en-US"/>
        </w:rPr>
      </w:pPr>
      <w:r w:rsidRPr="00334E99">
        <w:rPr>
          <w:lang w:val="en-US"/>
        </w:rPr>
        <w:t xml:space="preserve">ZHANG, Yi et al. Global trends and evolving frontiers in intranasal delivery for CNS diseases (2000–2025): a bibliometric analysis and systematic review. </w:t>
      </w:r>
      <w:r w:rsidRPr="00334E99">
        <w:rPr>
          <w:b/>
          <w:bCs/>
          <w:lang w:val="en-US"/>
        </w:rPr>
        <w:t>World Neurosurgery</w:t>
      </w:r>
      <w:r w:rsidRPr="00334E99">
        <w:rPr>
          <w:lang w:val="en-US"/>
        </w:rPr>
        <w:t>, v. 212, p. 125172, 2026. DOI: 10.1016/j.wneu.2026.125172.</w:t>
      </w:r>
    </w:p>
    <w:p w14:paraId="584DC0EA" w14:textId="77777777" w:rsidR="004F5266" w:rsidRPr="00334E99" w:rsidRDefault="004F5266" w:rsidP="004F5266">
      <w:pPr>
        <w:pStyle w:val="NormalWeb"/>
        <w:spacing w:before="0" w:beforeAutospacing="0" w:after="0" w:afterAutospacing="0"/>
        <w:rPr>
          <w:lang w:val="en-US"/>
        </w:rPr>
      </w:pPr>
    </w:p>
    <w:p w14:paraId="1EAAD7F1" w14:textId="18322F50" w:rsidR="00251D43" w:rsidRPr="00334E99" w:rsidRDefault="00B368A3" w:rsidP="004F5266">
      <w:pPr>
        <w:pStyle w:val="NormalWeb"/>
        <w:spacing w:before="0" w:beforeAutospacing="0" w:after="0" w:afterAutospacing="0"/>
        <w:rPr>
          <w:color w:val="000000"/>
          <w:lang w:val="en-US"/>
        </w:rPr>
      </w:pPr>
      <w:r w:rsidRPr="00334E99">
        <w:rPr>
          <w:lang w:val="en-US"/>
        </w:rPr>
        <w:t xml:space="preserve">ZHENG, Yang et al. Nose to brain: exploring the progress of intranasal delivery of solid lipid nanoparticles and nanostructured lipid carriers. </w:t>
      </w:r>
      <w:r w:rsidRPr="00334E99">
        <w:rPr>
          <w:b/>
          <w:bCs/>
          <w:lang w:val="en-US"/>
        </w:rPr>
        <w:t>International Journal of Nanomedicine</w:t>
      </w:r>
      <w:r w:rsidRPr="00334E99">
        <w:rPr>
          <w:lang w:val="en-US"/>
        </w:rPr>
        <w:t>, v. 19, p. 12343-12368, 2024. DOI: 10.2147/IJN.S497480.</w:t>
      </w:r>
    </w:p>
    <w:sectPr w:rsidR="00251D43" w:rsidRPr="00334E99">
      <w:headerReference w:type="default" r:id="rId7"/>
      <w:footerReference w:type="default" r:id="rId8"/>
      <w:pgSz w:w="11906" w:h="16840"/>
      <w:pgMar w:top="1701" w:right="1134"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228C2" w14:textId="77777777" w:rsidR="005909A4" w:rsidRDefault="005909A4">
      <w:r>
        <w:separator/>
      </w:r>
    </w:p>
  </w:endnote>
  <w:endnote w:type="continuationSeparator" w:id="0">
    <w:p w14:paraId="5C2A268C" w14:textId="77777777" w:rsidR="005909A4" w:rsidRDefault="00590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D1A090DC-FEAF-4FF8-82B8-C1E382FD953D}"/>
  </w:font>
  <w:font w:name="Calibri">
    <w:panose1 w:val="020F0502020204030204"/>
    <w:charset w:val="00"/>
    <w:family w:val="swiss"/>
    <w:pitch w:val="variable"/>
    <w:sig w:usb0="E4002EFF" w:usb1="C200247B" w:usb2="00000009" w:usb3="00000000" w:csb0="000001FF" w:csb1="00000000"/>
    <w:embedRegular r:id="rId2" w:fontKey="{1E190309-772C-4704-B4F2-C321AB04DBD3}"/>
  </w:font>
  <w:font w:name="Cambria">
    <w:panose1 w:val="02040503050406030204"/>
    <w:charset w:val="00"/>
    <w:family w:val="roman"/>
    <w:pitch w:val="variable"/>
    <w:sig w:usb0="E00006FF" w:usb1="420024FF" w:usb2="02000000" w:usb3="00000000" w:csb0="0000019F" w:csb1="00000000"/>
    <w:embedRegular r:id="rId3" w:fontKey="{8CD06E0C-F4F7-403A-AE52-5DCB04A9CF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AD7F3" w14:textId="77777777" w:rsidR="00251D43" w:rsidRDefault="00774866">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1EAAD7F8" wp14:editId="1EAAD7F9">
          <wp:simplePos x="0" y="0"/>
          <wp:positionH relativeFrom="column">
            <wp:posOffset>-161924</wp:posOffset>
          </wp:positionH>
          <wp:positionV relativeFrom="paragraph">
            <wp:posOffset>0</wp:posOffset>
          </wp:positionV>
          <wp:extent cx="5643037" cy="10375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1EAAD7F4" w14:textId="77777777" w:rsidR="00251D43" w:rsidRDefault="00251D43">
    <w:pPr>
      <w:pBdr>
        <w:top w:val="nil"/>
        <w:left w:val="nil"/>
        <w:bottom w:val="nil"/>
        <w:right w:val="nil"/>
        <w:between w:val="nil"/>
      </w:pBdr>
      <w:tabs>
        <w:tab w:val="center" w:pos="4252"/>
        <w:tab w:val="right" w:pos="8504"/>
      </w:tabs>
      <w:ind w:hanging="1418"/>
      <w:rPr>
        <w:color w:val="000000"/>
      </w:rPr>
    </w:pPr>
  </w:p>
  <w:p w14:paraId="1EAAD7F5" w14:textId="77777777" w:rsidR="00251D43" w:rsidRDefault="00251D43">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B8238" w14:textId="77777777" w:rsidR="005909A4" w:rsidRDefault="005909A4">
      <w:r>
        <w:separator/>
      </w:r>
    </w:p>
  </w:footnote>
  <w:footnote w:type="continuationSeparator" w:id="0">
    <w:p w14:paraId="27CC3460" w14:textId="77777777" w:rsidR="005909A4" w:rsidRDefault="005909A4">
      <w:r>
        <w:continuationSeparator/>
      </w:r>
    </w:p>
  </w:footnote>
  <w:footnote w:id="1">
    <w:p w14:paraId="689BE91B" w14:textId="1EA610C2" w:rsidR="006D3C1C" w:rsidRDefault="00774866">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¹ Graduando em </w:t>
      </w:r>
      <w:r w:rsidR="00A26476">
        <w:rPr>
          <w:color w:val="000000"/>
          <w:sz w:val="20"/>
          <w:szCs w:val="20"/>
        </w:rPr>
        <w:t>Farmácia</w:t>
      </w:r>
      <w:r>
        <w:rPr>
          <w:color w:val="000000"/>
          <w:sz w:val="20"/>
          <w:szCs w:val="20"/>
        </w:rPr>
        <w:t xml:space="preserve"> – Centro Universitário </w:t>
      </w:r>
      <w:proofErr w:type="spellStart"/>
      <w:r>
        <w:rPr>
          <w:color w:val="000000"/>
          <w:sz w:val="20"/>
          <w:szCs w:val="20"/>
        </w:rPr>
        <w:t>Chrisfapi</w:t>
      </w:r>
      <w:proofErr w:type="spellEnd"/>
      <w:r>
        <w:rPr>
          <w:color w:val="000000"/>
          <w:sz w:val="20"/>
          <w:szCs w:val="20"/>
        </w:rPr>
        <w:t>.</w:t>
      </w:r>
    </w:p>
    <w:p w14:paraId="63DDAD8E" w14:textId="29EB3EEE" w:rsidR="003A152A" w:rsidRDefault="003A152A">
      <w:pPr>
        <w:pBdr>
          <w:top w:val="nil"/>
          <w:left w:val="nil"/>
          <w:bottom w:val="nil"/>
          <w:right w:val="nil"/>
          <w:between w:val="nil"/>
        </w:pBdr>
        <w:rPr>
          <w:color w:val="000000"/>
          <w:sz w:val="20"/>
          <w:szCs w:val="20"/>
        </w:rPr>
      </w:pPr>
      <w:r>
        <w:rPr>
          <w:color w:val="000000"/>
          <w:sz w:val="20"/>
          <w:szCs w:val="20"/>
        </w:rPr>
        <w:t>Email correspondente</w:t>
      </w:r>
      <w:r w:rsidR="004A199C">
        <w:rPr>
          <w:color w:val="000000"/>
          <w:sz w:val="20"/>
          <w:szCs w:val="20"/>
        </w:rPr>
        <w:t>: gabrielrosenirab@gmail.com</w:t>
      </w:r>
    </w:p>
  </w:footnote>
  <w:footnote w:id="2">
    <w:p w14:paraId="4BC5566A" w14:textId="75ADBF14" w:rsidR="00384396" w:rsidRDefault="00384396" w:rsidP="00384396">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¹ </w:t>
      </w:r>
      <w:r>
        <w:rPr>
          <w:color w:val="000000"/>
          <w:sz w:val="20"/>
          <w:szCs w:val="20"/>
        </w:rPr>
        <w:t>Docente</w:t>
      </w:r>
      <w:r>
        <w:rPr>
          <w:color w:val="000000"/>
          <w:sz w:val="20"/>
          <w:szCs w:val="20"/>
        </w:rPr>
        <w:t xml:space="preserve"> em Farmácia – Centro Universitário </w:t>
      </w:r>
      <w:proofErr w:type="spellStart"/>
      <w:r>
        <w:rPr>
          <w:color w:val="000000"/>
          <w:sz w:val="20"/>
          <w:szCs w:val="20"/>
        </w:rPr>
        <w:t>Chrisfapi</w:t>
      </w:r>
      <w:proofErr w:type="spellEnd"/>
      <w:r>
        <w:rPr>
          <w:color w:val="000000"/>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AD7F2" w14:textId="77777777" w:rsidR="00251D43" w:rsidRDefault="00774866">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14:anchorId="1EAAD7F6" wp14:editId="1EAAD7F7">
          <wp:simplePos x="0" y="0"/>
          <wp:positionH relativeFrom="column">
            <wp:posOffset>-1076324</wp:posOffset>
          </wp:positionH>
          <wp:positionV relativeFrom="paragraph">
            <wp:posOffset>-449579</wp:posOffset>
          </wp:positionV>
          <wp:extent cx="7573328" cy="140017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3E5E51"/>
    <w:multiLevelType w:val="hybridMultilevel"/>
    <w:tmpl w:val="1C7C2D88"/>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D43"/>
    <w:rsid w:val="00002FD4"/>
    <w:rsid w:val="00023CF0"/>
    <w:rsid w:val="00024A5C"/>
    <w:rsid w:val="00032450"/>
    <w:rsid w:val="000A5C0C"/>
    <w:rsid w:val="000B2CBD"/>
    <w:rsid w:val="000B3495"/>
    <w:rsid w:val="000B736F"/>
    <w:rsid w:val="000D30E1"/>
    <w:rsid w:val="000F4B47"/>
    <w:rsid w:val="0012060F"/>
    <w:rsid w:val="0012338D"/>
    <w:rsid w:val="0014607D"/>
    <w:rsid w:val="00163CFB"/>
    <w:rsid w:val="001667F4"/>
    <w:rsid w:val="001D2AD5"/>
    <w:rsid w:val="001E0898"/>
    <w:rsid w:val="001E4932"/>
    <w:rsid w:val="0020482B"/>
    <w:rsid w:val="002262BE"/>
    <w:rsid w:val="0023216A"/>
    <w:rsid w:val="002325B7"/>
    <w:rsid w:val="00237425"/>
    <w:rsid w:val="00251D43"/>
    <w:rsid w:val="0029556F"/>
    <w:rsid w:val="002A76FD"/>
    <w:rsid w:val="002B31CA"/>
    <w:rsid w:val="002D21FE"/>
    <w:rsid w:val="002E63C7"/>
    <w:rsid w:val="00304D25"/>
    <w:rsid w:val="00334E99"/>
    <w:rsid w:val="00351677"/>
    <w:rsid w:val="00384396"/>
    <w:rsid w:val="0038529C"/>
    <w:rsid w:val="003919FF"/>
    <w:rsid w:val="003A152A"/>
    <w:rsid w:val="00436406"/>
    <w:rsid w:val="00436D6D"/>
    <w:rsid w:val="00477323"/>
    <w:rsid w:val="004808E8"/>
    <w:rsid w:val="00492D4B"/>
    <w:rsid w:val="004A199C"/>
    <w:rsid w:val="004D2380"/>
    <w:rsid w:val="004F5266"/>
    <w:rsid w:val="00552B9B"/>
    <w:rsid w:val="005909A4"/>
    <w:rsid w:val="005D41BD"/>
    <w:rsid w:val="00697B44"/>
    <w:rsid w:val="006D3C1C"/>
    <w:rsid w:val="006E160F"/>
    <w:rsid w:val="00705ECA"/>
    <w:rsid w:val="00710696"/>
    <w:rsid w:val="007218B6"/>
    <w:rsid w:val="00731842"/>
    <w:rsid w:val="007369AD"/>
    <w:rsid w:val="00755646"/>
    <w:rsid w:val="00772933"/>
    <w:rsid w:val="00774866"/>
    <w:rsid w:val="00787BFD"/>
    <w:rsid w:val="007A318B"/>
    <w:rsid w:val="007F1785"/>
    <w:rsid w:val="008275FE"/>
    <w:rsid w:val="008416CC"/>
    <w:rsid w:val="00857F4D"/>
    <w:rsid w:val="008A3485"/>
    <w:rsid w:val="008D7D3F"/>
    <w:rsid w:val="008F7D35"/>
    <w:rsid w:val="00942493"/>
    <w:rsid w:val="00950AB7"/>
    <w:rsid w:val="00970707"/>
    <w:rsid w:val="00990CE1"/>
    <w:rsid w:val="00A03D27"/>
    <w:rsid w:val="00A26476"/>
    <w:rsid w:val="00A52BC3"/>
    <w:rsid w:val="00A75F02"/>
    <w:rsid w:val="00A852CE"/>
    <w:rsid w:val="00A93694"/>
    <w:rsid w:val="00AA3C9D"/>
    <w:rsid w:val="00AA4EF6"/>
    <w:rsid w:val="00AB0F54"/>
    <w:rsid w:val="00AD71B7"/>
    <w:rsid w:val="00B13AD6"/>
    <w:rsid w:val="00B368A3"/>
    <w:rsid w:val="00B42C90"/>
    <w:rsid w:val="00B45221"/>
    <w:rsid w:val="00B47C5A"/>
    <w:rsid w:val="00B5052B"/>
    <w:rsid w:val="00BB3D1A"/>
    <w:rsid w:val="00BD6E27"/>
    <w:rsid w:val="00BF2D06"/>
    <w:rsid w:val="00C14FF2"/>
    <w:rsid w:val="00C175F7"/>
    <w:rsid w:val="00C218C1"/>
    <w:rsid w:val="00C36ACB"/>
    <w:rsid w:val="00C7512A"/>
    <w:rsid w:val="00C90AA2"/>
    <w:rsid w:val="00CB1FB8"/>
    <w:rsid w:val="00CC4B6A"/>
    <w:rsid w:val="00D21FB7"/>
    <w:rsid w:val="00D22511"/>
    <w:rsid w:val="00D45ABE"/>
    <w:rsid w:val="00D765AA"/>
    <w:rsid w:val="00D844AF"/>
    <w:rsid w:val="00D84938"/>
    <w:rsid w:val="00DB6861"/>
    <w:rsid w:val="00DC4DE9"/>
    <w:rsid w:val="00DE0C40"/>
    <w:rsid w:val="00DF7AE3"/>
    <w:rsid w:val="00E24352"/>
    <w:rsid w:val="00E37F8F"/>
    <w:rsid w:val="00E74B47"/>
    <w:rsid w:val="00E77633"/>
    <w:rsid w:val="00E816CB"/>
    <w:rsid w:val="00ED6365"/>
    <w:rsid w:val="00EF74C9"/>
    <w:rsid w:val="00F41483"/>
    <w:rsid w:val="00F734EF"/>
    <w:rsid w:val="00FA51C3"/>
    <w:rsid w:val="00FC5451"/>
    <w:rsid w:val="00FE28CB"/>
    <w:rsid w:val="00FF0E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AD7D0"/>
  <w15:docId w15:val="{234BB19B-8191-4442-B2B4-780DEC5F0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PargrafodaLista">
    <w:name w:val="List Paragraph"/>
    <w:basedOn w:val="Normal"/>
    <w:uiPriority w:val="34"/>
    <w:qFormat/>
    <w:rsid w:val="00436406"/>
    <w:pPr>
      <w:ind w:left="720"/>
      <w:contextualSpacing/>
    </w:pPr>
  </w:style>
  <w:style w:type="paragraph" w:customStyle="1" w:styleId="pdq2pgselectionanchorcontainer">
    <w:name w:val="pdq2pg_selectionanchorcontainer"/>
    <w:basedOn w:val="Normal"/>
    <w:rsid w:val="000D30E1"/>
    <w:pPr>
      <w:spacing w:before="100" w:beforeAutospacing="1" w:after="100" w:afterAutospacing="1"/>
    </w:pPr>
    <w:rPr>
      <w:sz w:val="24"/>
      <w:szCs w:val="24"/>
    </w:rPr>
  </w:style>
  <w:style w:type="character" w:styleId="Forte">
    <w:name w:val="Strong"/>
    <w:basedOn w:val="Fontepargpadro"/>
    <w:uiPriority w:val="22"/>
    <w:qFormat/>
    <w:rsid w:val="000D30E1"/>
    <w:rPr>
      <w:b/>
      <w:bCs/>
    </w:rPr>
  </w:style>
  <w:style w:type="character" w:styleId="nfase">
    <w:name w:val="Emphasis"/>
    <w:basedOn w:val="Fontepargpadro"/>
    <w:uiPriority w:val="20"/>
    <w:qFormat/>
    <w:rsid w:val="000D30E1"/>
    <w:rPr>
      <w:i/>
      <w:iCs/>
    </w:rPr>
  </w:style>
  <w:style w:type="paragraph" w:styleId="NormalWeb">
    <w:name w:val="Normal (Web)"/>
    <w:basedOn w:val="Normal"/>
    <w:uiPriority w:val="99"/>
    <w:unhideWhenUsed/>
    <w:rsid w:val="000D30E1"/>
    <w:pPr>
      <w:spacing w:before="100" w:beforeAutospacing="1" w:after="100" w:afterAutospacing="1"/>
    </w:pPr>
    <w:rPr>
      <w:sz w:val="24"/>
      <w:szCs w:val="24"/>
    </w:rPr>
  </w:style>
  <w:style w:type="table" w:styleId="Tabelacomgrade">
    <w:name w:val="Table Grid"/>
    <w:basedOn w:val="Tabelanormal"/>
    <w:uiPriority w:val="39"/>
    <w:rsid w:val="00DC4D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uiPriority w:val="35"/>
    <w:unhideWhenUsed/>
    <w:qFormat/>
    <w:rsid w:val="0023216A"/>
    <w:pPr>
      <w:spacing w:after="200"/>
    </w:pPr>
    <w:rPr>
      <w:i/>
      <w:iCs/>
      <w:color w:val="1F497D" w:themeColor="text2"/>
      <w:sz w:val="18"/>
      <w:szCs w:val="18"/>
    </w:rPr>
  </w:style>
  <w:style w:type="character" w:styleId="Refdecomentrio">
    <w:name w:val="annotation reference"/>
    <w:basedOn w:val="Fontepargpadro"/>
    <w:uiPriority w:val="99"/>
    <w:semiHidden/>
    <w:unhideWhenUsed/>
    <w:rsid w:val="00304D25"/>
    <w:rPr>
      <w:sz w:val="16"/>
      <w:szCs w:val="16"/>
    </w:rPr>
  </w:style>
  <w:style w:type="paragraph" w:styleId="Textodecomentrio">
    <w:name w:val="annotation text"/>
    <w:basedOn w:val="Normal"/>
    <w:link w:val="TextodecomentrioChar"/>
    <w:uiPriority w:val="99"/>
    <w:semiHidden/>
    <w:unhideWhenUsed/>
    <w:rsid w:val="00304D25"/>
    <w:rPr>
      <w:sz w:val="20"/>
      <w:szCs w:val="20"/>
    </w:rPr>
  </w:style>
  <w:style w:type="character" w:customStyle="1" w:styleId="TextodecomentrioChar">
    <w:name w:val="Texto de comentário Char"/>
    <w:basedOn w:val="Fontepargpadro"/>
    <w:link w:val="Textodecomentrio"/>
    <w:uiPriority w:val="99"/>
    <w:semiHidden/>
    <w:rsid w:val="00304D25"/>
    <w:rPr>
      <w:sz w:val="20"/>
      <w:szCs w:val="20"/>
    </w:rPr>
  </w:style>
  <w:style w:type="paragraph" w:styleId="Assuntodocomentrio">
    <w:name w:val="annotation subject"/>
    <w:basedOn w:val="Textodecomentrio"/>
    <w:next w:val="Textodecomentrio"/>
    <w:link w:val="AssuntodocomentrioChar"/>
    <w:uiPriority w:val="99"/>
    <w:semiHidden/>
    <w:unhideWhenUsed/>
    <w:rsid w:val="00304D25"/>
    <w:rPr>
      <w:b/>
      <w:bCs/>
    </w:rPr>
  </w:style>
  <w:style w:type="character" w:customStyle="1" w:styleId="AssuntodocomentrioChar">
    <w:name w:val="Assunto do comentário Char"/>
    <w:basedOn w:val="TextodecomentrioChar"/>
    <w:link w:val="Assuntodocomentrio"/>
    <w:uiPriority w:val="99"/>
    <w:semiHidden/>
    <w:rsid w:val="00304D25"/>
    <w:rPr>
      <w:b/>
      <w:bCs/>
      <w:sz w:val="20"/>
      <w:szCs w:val="20"/>
    </w:rPr>
  </w:style>
  <w:style w:type="character" w:styleId="Hyperlink">
    <w:name w:val="Hyperlink"/>
    <w:basedOn w:val="Fontepargpadro"/>
    <w:uiPriority w:val="99"/>
    <w:semiHidden/>
    <w:unhideWhenUsed/>
    <w:rsid w:val="00C175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031429">
      <w:bodyDiv w:val="1"/>
      <w:marLeft w:val="0"/>
      <w:marRight w:val="0"/>
      <w:marTop w:val="0"/>
      <w:marBottom w:val="0"/>
      <w:divBdr>
        <w:top w:val="none" w:sz="0" w:space="0" w:color="auto"/>
        <w:left w:val="none" w:sz="0" w:space="0" w:color="auto"/>
        <w:bottom w:val="none" w:sz="0" w:space="0" w:color="auto"/>
        <w:right w:val="none" w:sz="0" w:space="0" w:color="auto"/>
      </w:divBdr>
    </w:div>
    <w:div w:id="835267085">
      <w:bodyDiv w:val="1"/>
      <w:marLeft w:val="0"/>
      <w:marRight w:val="0"/>
      <w:marTop w:val="0"/>
      <w:marBottom w:val="0"/>
      <w:divBdr>
        <w:top w:val="none" w:sz="0" w:space="0" w:color="auto"/>
        <w:left w:val="none" w:sz="0" w:space="0" w:color="auto"/>
        <w:bottom w:val="none" w:sz="0" w:space="0" w:color="auto"/>
        <w:right w:val="none" w:sz="0" w:space="0" w:color="auto"/>
      </w:divBdr>
    </w:div>
    <w:div w:id="944730233">
      <w:bodyDiv w:val="1"/>
      <w:marLeft w:val="0"/>
      <w:marRight w:val="0"/>
      <w:marTop w:val="0"/>
      <w:marBottom w:val="0"/>
      <w:divBdr>
        <w:top w:val="none" w:sz="0" w:space="0" w:color="auto"/>
        <w:left w:val="none" w:sz="0" w:space="0" w:color="auto"/>
        <w:bottom w:val="none" w:sz="0" w:space="0" w:color="auto"/>
        <w:right w:val="none" w:sz="0" w:space="0" w:color="auto"/>
      </w:divBdr>
    </w:div>
    <w:div w:id="954483111">
      <w:bodyDiv w:val="1"/>
      <w:marLeft w:val="0"/>
      <w:marRight w:val="0"/>
      <w:marTop w:val="0"/>
      <w:marBottom w:val="0"/>
      <w:divBdr>
        <w:top w:val="none" w:sz="0" w:space="0" w:color="auto"/>
        <w:left w:val="none" w:sz="0" w:space="0" w:color="auto"/>
        <w:bottom w:val="none" w:sz="0" w:space="0" w:color="auto"/>
        <w:right w:val="none" w:sz="0" w:space="0" w:color="auto"/>
      </w:divBdr>
    </w:div>
    <w:div w:id="1243105877">
      <w:bodyDiv w:val="1"/>
      <w:marLeft w:val="0"/>
      <w:marRight w:val="0"/>
      <w:marTop w:val="0"/>
      <w:marBottom w:val="0"/>
      <w:divBdr>
        <w:top w:val="none" w:sz="0" w:space="0" w:color="auto"/>
        <w:left w:val="none" w:sz="0" w:space="0" w:color="auto"/>
        <w:bottom w:val="none" w:sz="0" w:space="0" w:color="auto"/>
        <w:right w:val="none" w:sz="0" w:space="0" w:color="auto"/>
      </w:divBdr>
    </w:div>
    <w:div w:id="1453405007">
      <w:bodyDiv w:val="1"/>
      <w:marLeft w:val="0"/>
      <w:marRight w:val="0"/>
      <w:marTop w:val="0"/>
      <w:marBottom w:val="0"/>
      <w:divBdr>
        <w:top w:val="none" w:sz="0" w:space="0" w:color="auto"/>
        <w:left w:val="none" w:sz="0" w:space="0" w:color="auto"/>
        <w:bottom w:val="none" w:sz="0" w:space="0" w:color="auto"/>
        <w:right w:val="none" w:sz="0" w:space="0" w:color="auto"/>
      </w:divBdr>
    </w:div>
    <w:div w:id="16364454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14</Pages>
  <Words>5228</Words>
  <Characters>28233</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Gabriel Cardoso</cp:lastModifiedBy>
  <cp:revision>116</cp:revision>
  <dcterms:created xsi:type="dcterms:W3CDTF">2026-09-10T20:49:00Z</dcterms:created>
  <dcterms:modified xsi:type="dcterms:W3CDTF">2026-09-11T23:06:00Z</dcterms:modified>
</cp:coreProperties>
</file>