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3270" w:rsidRDefault="00DF3270" w:rsidP="00077E70">
      <w:pPr>
        <w:tabs>
          <w:tab w:val="left" w:pos="2765"/>
        </w:tabs>
      </w:pPr>
    </w:p>
    <w:p w:rsidR="00DF3270" w:rsidRDefault="009603F3">
      <w:pPr>
        <w:spacing w:before="240" w:after="240"/>
        <w:jc w:val="center"/>
        <w:rPr>
          <w:b/>
          <w:sz w:val="24"/>
          <w:szCs w:val="24"/>
        </w:rPr>
      </w:pPr>
      <w:r>
        <w:rPr>
          <w:b/>
          <w:sz w:val="24"/>
          <w:szCs w:val="24"/>
        </w:rPr>
        <w:t>REVIS</w:t>
      </w:r>
      <w:r w:rsidR="00461B44">
        <w:rPr>
          <w:b/>
          <w:sz w:val="24"/>
          <w:szCs w:val="24"/>
        </w:rPr>
        <w:t xml:space="preserve">ÃO </w:t>
      </w:r>
      <w:r w:rsidR="009C2787">
        <w:rPr>
          <w:b/>
          <w:sz w:val="24"/>
          <w:szCs w:val="24"/>
        </w:rPr>
        <w:t>SISTEMÁTICA</w:t>
      </w:r>
      <w:r w:rsidR="00461B44">
        <w:rPr>
          <w:b/>
          <w:sz w:val="24"/>
          <w:szCs w:val="24"/>
        </w:rPr>
        <w:t xml:space="preserve">: </w:t>
      </w:r>
      <w:r w:rsidR="009C2787">
        <w:rPr>
          <w:b/>
          <w:sz w:val="24"/>
          <w:szCs w:val="24"/>
        </w:rPr>
        <w:t xml:space="preserve">NAS </w:t>
      </w:r>
      <w:r w:rsidR="00E07EFE">
        <w:rPr>
          <w:b/>
          <w:sz w:val="24"/>
          <w:szCs w:val="24"/>
        </w:rPr>
        <w:t xml:space="preserve">AULAS DE MATEMÁTICA COM USO DAS TDIC </w:t>
      </w:r>
      <w:r w:rsidR="0063271E">
        <w:rPr>
          <w:b/>
          <w:sz w:val="24"/>
          <w:szCs w:val="24"/>
        </w:rPr>
        <w:t xml:space="preserve">NOS ANOS </w:t>
      </w:r>
      <w:r w:rsidR="006828D5">
        <w:rPr>
          <w:b/>
          <w:sz w:val="24"/>
          <w:szCs w:val="24"/>
        </w:rPr>
        <w:t>INICIAIS</w:t>
      </w:r>
      <w:r w:rsidR="0063271E">
        <w:rPr>
          <w:b/>
          <w:sz w:val="24"/>
          <w:szCs w:val="24"/>
        </w:rPr>
        <w:t xml:space="preserve"> </w:t>
      </w:r>
    </w:p>
    <w:p w:rsidR="00DF3270" w:rsidRPr="00EF05AD" w:rsidRDefault="00724F3C">
      <w:pPr>
        <w:spacing w:line="240" w:lineRule="auto"/>
        <w:jc w:val="right"/>
        <w:rPr>
          <w:sz w:val="20"/>
          <w:szCs w:val="24"/>
        </w:rPr>
      </w:pPr>
      <w:r w:rsidRPr="00EF05AD">
        <w:rPr>
          <w:sz w:val="20"/>
          <w:szCs w:val="24"/>
        </w:rPr>
        <w:t>A</w:t>
      </w:r>
      <w:r>
        <w:rPr>
          <w:sz w:val="20"/>
          <w:szCs w:val="24"/>
        </w:rPr>
        <w:t>ngélica</w:t>
      </w:r>
      <w:r w:rsidR="009C2787">
        <w:rPr>
          <w:sz w:val="20"/>
          <w:szCs w:val="24"/>
        </w:rPr>
        <w:t xml:space="preserve"> Ferreira Cravo</w:t>
      </w:r>
      <w:r w:rsidR="00EB4619" w:rsidRPr="00EF05AD">
        <w:rPr>
          <w:sz w:val="20"/>
          <w:szCs w:val="24"/>
        </w:rPr>
        <w:t xml:space="preserve"> 1</w:t>
      </w:r>
    </w:p>
    <w:p w:rsidR="00DD1676" w:rsidRPr="00B8418A" w:rsidRDefault="001B49E1" w:rsidP="00B8418A">
      <w:pPr>
        <w:spacing w:line="240" w:lineRule="auto"/>
        <w:jc w:val="right"/>
        <w:rPr>
          <w:sz w:val="20"/>
          <w:szCs w:val="24"/>
        </w:rPr>
      </w:pPr>
      <w:r>
        <w:rPr>
          <w:sz w:val="20"/>
          <w:szCs w:val="24"/>
        </w:rPr>
        <w:t>angelhugo245798@gmail.co</w:t>
      </w:r>
      <w:r w:rsidR="00B8418A">
        <w:rPr>
          <w:sz w:val="20"/>
          <w:szCs w:val="24"/>
        </w:rPr>
        <w:t>m</w:t>
      </w:r>
    </w:p>
    <w:p w:rsidR="00DD1676" w:rsidRPr="00724F3C" w:rsidRDefault="00DD1676" w:rsidP="00724F3C">
      <w:pPr>
        <w:spacing w:line="240" w:lineRule="auto"/>
        <w:jc w:val="both"/>
        <w:rPr>
          <w:bCs/>
          <w:sz w:val="24"/>
          <w:szCs w:val="24"/>
        </w:rPr>
      </w:pPr>
    </w:p>
    <w:p w:rsidR="00DD1676" w:rsidRPr="00724F3C" w:rsidRDefault="00B8418A" w:rsidP="00724F3C">
      <w:pPr>
        <w:spacing w:line="240" w:lineRule="auto"/>
        <w:jc w:val="both"/>
        <w:rPr>
          <w:bCs/>
          <w:sz w:val="24"/>
          <w:szCs w:val="24"/>
        </w:rPr>
      </w:pPr>
      <w:r>
        <w:rPr>
          <w:bCs/>
          <w:sz w:val="24"/>
          <w:szCs w:val="24"/>
        </w:rPr>
        <w:t xml:space="preserve">     </w:t>
      </w:r>
      <w:r w:rsidR="00DF1E94">
        <w:rPr>
          <w:bCs/>
          <w:sz w:val="24"/>
          <w:szCs w:val="24"/>
        </w:rPr>
        <w:t xml:space="preserve">  </w:t>
      </w:r>
      <w:r w:rsidR="00DD1676" w:rsidRPr="00724F3C">
        <w:rPr>
          <w:bCs/>
          <w:sz w:val="24"/>
          <w:szCs w:val="24"/>
        </w:rPr>
        <w:t xml:space="preserve">A revisão sistemática aqui apresentada tem como problemática principal: qual o panorama atual das publicações de artigos nacionais sobre o uso das TDIC nos anos iniciais nas aulas de </w:t>
      </w:r>
      <w:r w:rsidR="00A10FE1">
        <w:rPr>
          <w:bCs/>
          <w:sz w:val="24"/>
          <w:szCs w:val="24"/>
        </w:rPr>
        <w:t>Ma</w:t>
      </w:r>
      <w:r w:rsidR="00DD1676" w:rsidRPr="00724F3C">
        <w:rPr>
          <w:bCs/>
          <w:sz w:val="24"/>
          <w:szCs w:val="24"/>
        </w:rPr>
        <w:t>temática? Para isso, os aspectos de possíveis respostas foram definidos: quais os tipos de dispositivos móveis usados nos anos iniciais nas aulas de matemática, e a metodologia abordada neste processo de ensino e aprendizagem. A partir disso, o objetivo desta RSL é apresentar evidências científicas na utilização das tecnologias digitais que auxiliam no processo educacional nos anos iniciais. Esta pesquisa justifica-se por contar-se no cenário atual com formas de ensino remoto utilizando os dispositivos móveis: tablets, notebook e smartphones, necessitando identificar quais tipos estão inseridos nos anos iniciais nas aulas de matemática e qual aplicativo nesses dispositivos está sendo utilizado</w:t>
      </w:r>
      <w:r w:rsidR="00693EF8">
        <w:rPr>
          <w:bCs/>
          <w:sz w:val="24"/>
          <w:szCs w:val="24"/>
        </w:rPr>
        <w:t>.</w:t>
      </w:r>
    </w:p>
    <w:p w:rsidR="00827DAC" w:rsidRPr="00724F3C" w:rsidRDefault="00693EF8" w:rsidP="00724F3C">
      <w:pPr>
        <w:spacing w:line="240" w:lineRule="auto"/>
        <w:jc w:val="both"/>
        <w:rPr>
          <w:bCs/>
          <w:sz w:val="24"/>
          <w:szCs w:val="24"/>
        </w:rPr>
      </w:pPr>
      <w:r>
        <w:rPr>
          <w:bCs/>
          <w:sz w:val="24"/>
          <w:szCs w:val="24"/>
        </w:rPr>
        <w:t xml:space="preserve">   </w:t>
      </w:r>
      <w:r w:rsidR="00DF1E94">
        <w:rPr>
          <w:bCs/>
          <w:sz w:val="24"/>
          <w:szCs w:val="24"/>
        </w:rPr>
        <w:t xml:space="preserve">   </w:t>
      </w:r>
      <w:r>
        <w:rPr>
          <w:bCs/>
          <w:sz w:val="24"/>
          <w:szCs w:val="24"/>
        </w:rPr>
        <w:t xml:space="preserve">  </w:t>
      </w:r>
      <w:r w:rsidR="00DD1676" w:rsidRPr="00724F3C">
        <w:rPr>
          <w:bCs/>
          <w:sz w:val="24"/>
          <w:szCs w:val="24"/>
        </w:rPr>
        <w:t xml:space="preserve">Estudos com diferentes análises indicam a configuração da TDIC presentes no ambiente escolar de forma crescente. </w:t>
      </w:r>
      <w:proofErr w:type="spellStart"/>
      <w:r w:rsidR="00DD1676" w:rsidRPr="00724F3C">
        <w:rPr>
          <w:bCs/>
          <w:sz w:val="24"/>
          <w:szCs w:val="24"/>
        </w:rPr>
        <w:t>Pillon</w:t>
      </w:r>
      <w:proofErr w:type="spellEnd"/>
      <w:r w:rsidR="00DD1676" w:rsidRPr="00724F3C">
        <w:rPr>
          <w:bCs/>
          <w:sz w:val="24"/>
          <w:szCs w:val="24"/>
        </w:rPr>
        <w:t xml:space="preserve"> (2020), em seu estudo, “As Tecnologias Digitais de Informação e Comunicação, e o Ensino-aprendizagem de Matemática: uma Revisão Integrativa”, analisou, concluindo que a utilização de TDIC para o ensino-aprendizagem vem aumentando gradativamente e comprovando o uso de diferentes dispositivos móveis em diferentes níveis educacionais. Esse estudo acima que foi publicado recentemente proporcionou uma rica contribuição de busca sobre a temática. No mesmo estudo encontra a tabela 2 e 3 com o resultado da sua busca, fazendo necessário para essa RSL, para não repetir a busca nas mesmas plataformas.</w:t>
      </w:r>
    </w:p>
    <w:p w:rsidR="00DD1676" w:rsidRPr="00724F3C" w:rsidRDefault="00DF1E94" w:rsidP="00724F3C">
      <w:pPr>
        <w:spacing w:line="240" w:lineRule="auto"/>
        <w:jc w:val="both"/>
        <w:rPr>
          <w:bCs/>
          <w:sz w:val="24"/>
          <w:szCs w:val="24"/>
        </w:rPr>
      </w:pPr>
      <w:r>
        <w:rPr>
          <w:bCs/>
          <w:sz w:val="24"/>
          <w:szCs w:val="24"/>
        </w:rPr>
        <w:t xml:space="preserve">      </w:t>
      </w:r>
      <w:r w:rsidR="006848C2">
        <w:rPr>
          <w:bCs/>
          <w:sz w:val="24"/>
          <w:szCs w:val="24"/>
        </w:rPr>
        <w:t xml:space="preserve"> </w:t>
      </w:r>
      <w:r w:rsidR="00DD1676" w:rsidRPr="00724F3C">
        <w:rPr>
          <w:bCs/>
          <w:sz w:val="24"/>
          <w:szCs w:val="24"/>
        </w:rPr>
        <w:t xml:space="preserve">Nesse estudo foram analisados somente artigos científicos, não sendo o foco de estudo os demais tipos de recurso livro, dissertações e teses. Utilizamos a base CAPES periódicos nos meses de dezembro de 2020 e janeiro de 2021, seguindo a meta de analisar os estudos de 2015 a 2020. Para realização desta RSL foi utilizada os </w:t>
      </w:r>
      <w:proofErr w:type="spellStart"/>
      <w:r w:rsidR="00DD1676" w:rsidRPr="00724F3C">
        <w:rPr>
          <w:bCs/>
          <w:sz w:val="24"/>
          <w:szCs w:val="24"/>
        </w:rPr>
        <w:t>string</w:t>
      </w:r>
      <w:proofErr w:type="spellEnd"/>
      <w:r w:rsidR="00DD1676" w:rsidRPr="00724F3C">
        <w:rPr>
          <w:bCs/>
          <w:sz w:val="24"/>
          <w:szCs w:val="24"/>
        </w:rPr>
        <w:t xml:space="preserve"> “OR” e “AND” nas palavras-chave: Tecnologias Digitais de Informação e Comunicação, anos iniciais e Ensino de Matemática. Na primeira base consultada: CAPES periódicos elaboramos um fluxograma para apresentar as 3 análises iniciais.</w:t>
      </w:r>
    </w:p>
    <w:p w:rsidR="00DD1676" w:rsidRPr="00C24877" w:rsidRDefault="00DD1676" w:rsidP="00C24877">
      <w:pPr>
        <w:spacing w:line="240" w:lineRule="auto"/>
        <w:jc w:val="both"/>
        <w:rPr>
          <w:bCs/>
          <w:sz w:val="24"/>
          <w:szCs w:val="24"/>
        </w:rPr>
      </w:pPr>
      <w:r w:rsidRPr="00724F3C">
        <w:rPr>
          <w:bCs/>
          <w:sz w:val="24"/>
          <w:szCs w:val="24"/>
        </w:rPr>
        <w:t xml:space="preserve"> </w:t>
      </w:r>
      <w:r w:rsidR="007961D9">
        <w:rPr>
          <w:bCs/>
          <w:sz w:val="24"/>
          <w:szCs w:val="24"/>
        </w:rPr>
        <w:t xml:space="preserve">     </w:t>
      </w:r>
      <w:r w:rsidRPr="00724F3C">
        <w:rPr>
          <w:bCs/>
          <w:sz w:val="24"/>
          <w:szCs w:val="24"/>
        </w:rPr>
        <w:t xml:space="preserve">Para a primeira análise utiliza as palavras-chave mencionadas acima, seguindo os critérios de exclusão: origem de publicação estrangeira, período de publicação anterior a 2015, banco de dados quaisquer outros que não sejam os da CAPES periódicos e trabalhos que não seja artigo científico e teóricos. Para os critérios de inclusão: origem da publicação com o idioma português, período de publicação 2015-2020, banco de dados CAPES e pesquisas com estudos empíricos relacionando as TDIC nos anos iniciais nas aulas de Matemática, encontramos 339 artigos, para </w:t>
      </w:r>
      <w:r w:rsidRPr="00724F3C">
        <w:rPr>
          <w:bCs/>
          <w:sz w:val="24"/>
          <w:szCs w:val="24"/>
        </w:rPr>
        <w:lastRenderedPageBreak/>
        <w:t>terceira análise fizemos a leitura do título e resumo descartando os trabalhos que tem como: ensino médio, ensino Fundamental II, ensino superior e técnico, áreas e disciplinas que não sejam da Matemática, Cursos EAD, curso online e educação a distância, educação especial e Movimento Social. Resultando para terceira análise 13 artigos publicados. Seguem os mesmos abaixo na tabela</w:t>
      </w:r>
      <w:r w:rsidR="00C24877">
        <w:rPr>
          <w:bCs/>
          <w:sz w:val="24"/>
          <w:szCs w:val="24"/>
        </w:rPr>
        <w:t>.</w:t>
      </w:r>
    </w:p>
    <w:p w:rsidR="00DD1676" w:rsidRPr="00AF52AB" w:rsidRDefault="00CA0C3D" w:rsidP="00AF52AB">
      <w:pPr>
        <w:spacing w:line="240" w:lineRule="auto"/>
        <w:jc w:val="both"/>
        <w:rPr>
          <w:bCs/>
          <w:sz w:val="24"/>
          <w:szCs w:val="24"/>
        </w:rPr>
      </w:pPr>
      <w:r>
        <w:rPr>
          <w:bCs/>
          <w:sz w:val="24"/>
          <w:szCs w:val="24"/>
        </w:rPr>
        <w:t xml:space="preserve">        </w:t>
      </w:r>
      <w:r w:rsidR="00DD1676" w:rsidRPr="00AF52AB">
        <w:rPr>
          <w:bCs/>
          <w:sz w:val="24"/>
          <w:szCs w:val="24"/>
        </w:rPr>
        <w:t>Em uma última avaliação dos artigos pré-selecionados, foram lidos na íntegra, assim verificando se possuíam discussões das TDIC nos anos iniciais nas aulas de Matemática, considerando se os estudos apresentavam a temática e se eram estudos empíricos. No processo de leitura e análise dos 13 artigos apresentamos em uma tabela as conclusões</w:t>
      </w:r>
      <w:r w:rsidR="00374CA2">
        <w:rPr>
          <w:bCs/>
          <w:sz w:val="24"/>
          <w:szCs w:val="24"/>
        </w:rPr>
        <w:t>.</w:t>
      </w:r>
    </w:p>
    <w:p w:rsidR="00DD1676" w:rsidRPr="00AF52AB" w:rsidRDefault="00CA0C3D" w:rsidP="00AF52AB">
      <w:pPr>
        <w:spacing w:line="240" w:lineRule="auto"/>
        <w:jc w:val="both"/>
        <w:rPr>
          <w:bCs/>
          <w:sz w:val="24"/>
          <w:szCs w:val="24"/>
        </w:rPr>
      </w:pPr>
      <w:r>
        <w:rPr>
          <w:bCs/>
          <w:sz w:val="24"/>
          <w:szCs w:val="24"/>
        </w:rPr>
        <w:t xml:space="preserve">       </w:t>
      </w:r>
      <w:r w:rsidR="00DD1676" w:rsidRPr="00AF52AB">
        <w:rPr>
          <w:bCs/>
          <w:sz w:val="24"/>
          <w:szCs w:val="24"/>
        </w:rPr>
        <w:t xml:space="preserve">Com base na análise dos artigos percebemos que 11 dos 13 artigos trazem uma contribuição teórica sobre as TDIC, estudos com diferentes autores sobre as TDIC na sua relevância no processo ensino e aprendizagem, da sua inserção no âmbito escolar e ser inserida nas práticas pedagógicas. Outro ponto presente é de entender as concepções dos professores sobre as TDIC, escutar os seus anseios, dificuldades e expectativas, para dessa maneira ter uma aplicabilidade das TDIC com uma probabilidade efetiva e significativa. Porém, as contribuições de práticas com as TDIC nas aulas de Matemática só encontramos 2 artigos, relembrando que existem muitos artigos que contemplam a prática, mas em outras modalidades de ensino e não nos anos iniciais na plataforma elencada para esse presente estudo. </w:t>
      </w:r>
    </w:p>
    <w:p w:rsidR="00DD1676" w:rsidRPr="00AF52AB" w:rsidRDefault="00695B4F" w:rsidP="00AF52AB">
      <w:pPr>
        <w:spacing w:line="240" w:lineRule="auto"/>
        <w:jc w:val="both"/>
        <w:rPr>
          <w:bCs/>
          <w:sz w:val="24"/>
          <w:szCs w:val="24"/>
        </w:rPr>
      </w:pPr>
      <w:r>
        <w:rPr>
          <w:bCs/>
          <w:sz w:val="24"/>
          <w:szCs w:val="24"/>
        </w:rPr>
        <w:t xml:space="preserve">       </w:t>
      </w:r>
      <w:r w:rsidR="00DD1676" w:rsidRPr="00AF52AB">
        <w:rPr>
          <w:bCs/>
          <w:sz w:val="24"/>
          <w:szCs w:val="24"/>
        </w:rPr>
        <w:t>As TDIC nos artigos contribuíram para perceber que os jogos estão presentes de forma significativa, com proposta para trabalhar a ludicidade e o raciocínio lógico com diferentes conteúdos em diferentes anos do ensino fundamental. Percebemos, que os dispositivos móveis mais utilizados são tablets e smartphones nas escolas presente nos artigos escolhidos. Nesses dispositivos móveis a proposta pedagógica está relacionada um conteúdo ao um jogo com objetivos de auxiliar e permitir outros meios para o ensino e aprendizagem dos alunos</w:t>
      </w:r>
      <w:r w:rsidR="00E41F76">
        <w:rPr>
          <w:bCs/>
          <w:sz w:val="24"/>
          <w:szCs w:val="24"/>
        </w:rPr>
        <w:t>.</w:t>
      </w:r>
    </w:p>
    <w:p w:rsidR="00DD1676" w:rsidRPr="00AF52AB" w:rsidRDefault="00695B4F" w:rsidP="00AF52AB">
      <w:pPr>
        <w:spacing w:line="240" w:lineRule="auto"/>
        <w:jc w:val="both"/>
        <w:rPr>
          <w:bCs/>
          <w:sz w:val="24"/>
          <w:szCs w:val="24"/>
        </w:rPr>
      </w:pPr>
      <w:r>
        <w:rPr>
          <w:bCs/>
          <w:sz w:val="24"/>
          <w:szCs w:val="24"/>
        </w:rPr>
        <w:t xml:space="preserve">        </w:t>
      </w:r>
      <w:r w:rsidR="00DD1676" w:rsidRPr="00AF52AB">
        <w:rPr>
          <w:bCs/>
          <w:sz w:val="24"/>
          <w:szCs w:val="24"/>
        </w:rPr>
        <w:t>Através da leitura observou-se que os estudos abrangeram maior incidência de experimentos foi a de formação de professores, apresentando um referencial teórico e as implicações encontradas na aplicabilidade das TDIC nas aulas de Matemática, ressaltando a falta de formação para utilizar e a falta de disponibilidade dos recursos tecnológicos na escola para todos os alunos. Esta Revisão Sistemática de Literatura que teve como objetivo principal apresentar evidências científicas na utilização das tecnologias digitais que auxiliam no processo educacional nos anos iniciais.</w:t>
      </w:r>
    </w:p>
    <w:p w:rsidR="0095229C" w:rsidRDefault="0095229C">
      <w:pPr>
        <w:pStyle w:val="NormalWeb"/>
        <w:spacing w:before="0" w:beforeAutospacing="0" w:after="160" w:afterAutospacing="0"/>
        <w:jc w:val="both"/>
        <w:divId w:val="1839728022"/>
      </w:pPr>
      <w:r>
        <w:rPr>
          <w:b/>
          <w:bCs/>
          <w:color w:val="000000"/>
          <w:sz w:val="32"/>
          <w:szCs w:val="32"/>
        </w:rPr>
        <w:t>REFERÊNCIAS</w:t>
      </w:r>
    </w:p>
    <w:p w:rsidR="0095229C" w:rsidRDefault="0095229C">
      <w:pPr>
        <w:pStyle w:val="NormalWeb"/>
        <w:spacing w:before="0" w:beforeAutospacing="0" w:after="160" w:afterAutospacing="0"/>
        <w:jc w:val="both"/>
        <w:divId w:val="1839728022"/>
      </w:pPr>
      <w:r>
        <w:rPr>
          <w:color w:val="000000"/>
        </w:rPr>
        <w:t xml:space="preserve"> Galvão M. C. B.; </w:t>
      </w:r>
      <w:proofErr w:type="spellStart"/>
      <w:r>
        <w:rPr>
          <w:color w:val="000000"/>
        </w:rPr>
        <w:t>Ricarte</w:t>
      </w:r>
      <w:proofErr w:type="spellEnd"/>
      <w:r>
        <w:rPr>
          <w:color w:val="000000"/>
        </w:rPr>
        <w:t xml:space="preserve"> I. L. M. REVISÃO SISTEMÁTICA DA LITERATURA: CONCEITUAÇÃO, PRODUÇÃO E PUBLICAÇÃO. </w:t>
      </w:r>
      <w:proofErr w:type="spellStart"/>
      <w:r>
        <w:rPr>
          <w:b/>
          <w:bCs/>
          <w:color w:val="000000"/>
        </w:rPr>
        <w:t>Logeion</w:t>
      </w:r>
      <w:proofErr w:type="spellEnd"/>
      <w:r>
        <w:rPr>
          <w:b/>
          <w:bCs/>
          <w:color w:val="000000"/>
        </w:rPr>
        <w:t>: Filosofia da Informação</w:t>
      </w:r>
      <w:r>
        <w:rPr>
          <w:color w:val="000000"/>
        </w:rPr>
        <w:t>, v. 6, n. 1, p. 57-73, 15 set. 2019. </w:t>
      </w:r>
    </w:p>
    <w:p w:rsidR="0095229C" w:rsidRDefault="0095229C">
      <w:pPr>
        <w:pStyle w:val="NormalWeb"/>
        <w:spacing w:before="0" w:beforeAutospacing="0" w:after="160" w:afterAutospacing="0"/>
        <w:jc w:val="both"/>
        <w:divId w:val="1839728022"/>
      </w:pPr>
      <w:r>
        <w:rPr>
          <w:color w:val="000000"/>
        </w:rPr>
        <w:t xml:space="preserve">PORTO, Cristiane. KAIO, E. Oliveira. CHAGAS, Alexandre. </w:t>
      </w:r>
      <w:proofErr w:type="spellStart"/>
      <w:r>
        <w:rPr>
          <w:b/>
          <w:bCs/>
          <w:color w:val="000000"/>
        </w:rPr>
        <w:t>Whatsapp</w:t>
      </w:r>
      <w:proofErr w:type="spellEnd"/>
      <w:r>
        <w:rPr>
          <w:b/>
          <w:bCs/>
          <w:color w:val="000000"/>
        </w:rPr>
        <w:t xml:space="preserve"> e educação: entre</w:t>
      </w:r>
      <w:r>
        <w:rPr>
          <w:color w:val="000000"/>
        </w:rPr>
        <w:t xml:space="preserve"> </w:t>
      </w:r>
      <w:r>
        <w:rPr>
          <w:b/>
          <w:bCs/>
          <w:color w:val="000000"/>
        </w:rPr>
        <w:t>mensagens, imagens e sons.</w:t>
      </w:r>
      <w:r>
        <w:rPr>
          <w:color w:val="000000"/>
        </w:rPr>
        <w:t xml:space="preserve"> (Org.) Salvador: Ilhéus.  EDUFBA; EDITUS, 2017.</w:t>
      </w:r>
    </w:p>
    <w:p w:rsidR="0095229C" w:rsidRDefault="0095229C">
      <w:pPr>
        <w:pStyle w:val="NormalWeb"/>
        <w:spacing w:before="0" w:beforeAutospacing="0" w:after="160" w:afterAutospacing="0"/>
        <w:jc w:val="both"/>
        <w:divId w:val="1839728022"/>
      </w:pPr>
      <w:r>
        <w:rPr>
          <w:color w:val="000000"/>
        </w:rPr>
        <w:lastRenderedPageBreak/>
        <w:t xml:space="preserve">PILLON, Ana Elisa. TECHIO, Leila Regina. ULBRICHT, Vania Ribas. SOUZA, Márcio Vieira. </w:t>
      </w:r>
      <w:r>
        <w:rPr>
          <w:b/>
          <w:bCs/>
          <w:color w:val="000000"/>
        </w:rPr>
        <w:t xml:space="preserve">As Tecnologias Digitais de Informação e Comunicação e o Ensino-aprendizagem de Matemática: uma Revisão Integrativa. </w:t>
      </w:r>
      <w:r>
        <w:rPr>
          <w:color w:val="000000"/>
        </w:rPr>
        <w:t>rev. Educação Matemática Pesquisa, vol.22, 2020.</w:t>
      </w:r>
    </w:p>
    <w:p w:rsidR="00DF3270" w:rsidRPr="00AF52AB" w:rsidRDefault="00DF3270" w:rsidP="00AF52AB">
      <w:pPr>
        <w:spacing w:line="240" w:lineRule="auto"/>
        <w:jc w:val="both"/>
        <w:rPr>
          <w:bCs/>
          <w:sz w:val="24"/>
          <w:szCs w:val="24"/>
        </w:rPr>
      </w:pPr>
    </w:p>
    <w:sectPr w:rsidR="00DF3270" w:rsidRPr="00AF52AB">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2CCA" w:rsidRDefault="004D2CCA">
      <w:pPr>
        <w:spacing w:line="240" w:lineRule="auto"/>
      </w:pPr>
      <w:r>
        <w:separator/>
      </w:r>
    </w:p>
  </w:endnote>
  <w:endnote w:type="continuationSeparator" w:id="0">
    <w:p w:rsidR="004D2CCA" w:rsidRDefault="004D2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2CCA" w:rsidRDefault="004D2CCA">
      <w:pPr>
        <w:spacing w:line="240" w:lineRule="auto"/>
      </w:pPr>
      <w:r>
        <w:separator/>
      </w:r>
    </w:p>
  </w:footnote>
  <w:footnote w:type="continuationSeparator" w:id="0">
    <w:p w:rsidR="004D2CCA" w:rsidRDefault="004D2C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3270" w:rsidRDefault="00077E70" w:rsidP="00077E70">
    <w:pPr>
      <w:jc w:val="right"/>
    </w:pPr>
    <w:r w:rsidRPr="00077E70">
      <w:rPr>
        <w:noProof/>
      </w:rPr>
      <w:drawing>
        <wp:inline distT="0" distB="0" distL="0" distR="0">
          <wp:extent cx="5730243" cy="1228953"/>
          <wp:effectExtent l="0" t="0" r="0" b="9525"/>
          <wp:docPr id="3" name="Imagem 3" descr="C:\Users\Carloney\Desktop\AT\EVENTO TEMA 2023\LOGOMARCA\LOGO FUNDO TRANSP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loney\Desktop\AT\EVENTO TEMA 2023\LOGOMARCA\LOGO FUNDO TRANSP 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6608" cy="1238897"/>
                  </a:xfrm>
                  <a:prstGeom prst="rect">
                    <a:avLst/>
                  </a:prstGeom>
                  <a:noFill/>
                  <a:ln>
                    <a:noFill/>
                  </a:ln>
                </pic:spPr>
              </pic:pic>
            </a:graphicData>
          </a:graphic>
        </wp:inline>
      </w:drawing>
    </w:r>
  </w:p>
  <w:p w:rsidR="00077E70" w:rsidRPr="00EF05AD" w:rsidRDefault="00EF05AD" w:rsidP="00EF05AD">
    <w:pPr>
      <w:tabs>
        <w:tab w:val="center" w:pos="4514"/>
        <w:tab w:val="right" w:pos="9029"/>
      </w:tabs>
      <w:spacing w:line="240" w:lineRule="auto"/>
      <w:rPr>
        <w:rFonts w:ascii="Arial Rounded MT Bold" w:hAnsi="Arial Rounded MT Bold"/>
        <w:color w:val="002060"/>
      </w:rPr>
    </w:pPr>
    <w:r>
      <w:rPr>
        <w:rFonts w:ascii="Arial Rounded MT Bold" w:hAnsi="Arial Rounded MT Bold"/>
        <w:color w:val="002060"/>
      </w:rPr>
      <w:tab/>
    </w:r>
    <w:r>
      <w:rPr>
        <w:rFonts w:ascii="Arial Rounded MT Bold" w:hAnsi="Arial Rounded MT Bold"/>
        <w:color w:val="002060"/>
      </w:rPr>
      <w:tab/>
    </w:r>
    <w:r w:rsidR="00077E70" w:rsidRPr="00EF05AD">
      <w:rPr>
        <w:rFonts w:ascii="Arial Rounded MT Bold" w:hAnsi="Arial Rounded MT Bold"/>
        <w:color w:val="002060"/>
      </w:rPr>
      <w:t>18 a 20 de outubro de 2023</w:t>
    </w:r>
  </w:p>
  <w:p w:rsidR="00077E70" w:rsidRDefault="00077E70" w:rsidP="00077E70">
    <w:pPr>
      <w:jc w:val="right"/>
      <w:rPr>
        <w:rFonts w:ascii="Arial Rounded MT Bold" w:hAnsi="Arial Rounded MT Bold"/>
        <w:color w:val="002060"/>
      </w:rPr>
    </w:pPr>
    <w:r w:rsidRPr="00EF05AD">
      <w:rPr>
        <w:rFonts w:ascii="Arial Rounded MT Bold" w:hAnsi="Arial Rounded MT Bold"/>
        <w:color w:val="002060"/>
      </w:rPr>
      <w:t>ISSN: 2764-9059</w:t>
    </w:r>
  </w:p>
  <w:p w:rsidR="00EF05AD" w:rsidRPr="00EF05AD" w:rsidRDefault="0095229C" w:rsidP="00077E70">
    <w:pPr>
      <w:jc w:val="right"/>
      <w:rPr>
        <w:rFonts w:ascii="Arial Rounded MT Bold" w:hAnsi="Arial Rounded MT Bold"/>
        <w:color w:val="002060"/>
      </w:rPr>
    </w:pPr>
    <w:r>
      <w:rPr>
        <w:noProof/>
      </w:rPr>
    </w:r>
    <w:r w:rsidR="0095229C">
      <w:rPr>
        <w:noProof/>
      </w:rP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A3B7B"/>
    <w:multiLevelType w:val="hybridMultilevel"/>
    <w:tmpl w:val="81ECB882"/>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5396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70"/>
    <w:rsid w:val="00077E70"/>
    <w:rsid w:val="001735E5"/>
    <w:rsid w:val="001B49E1"/>
    <w:rsid w:val="002311FB"/>
    <w:rsid w:val="002E3598"/>
    <w:rsid w:val="00365335"/>
    <w:rsid w:val="00374CA2"/>
    <w:rsid w:val="00461B44"/>
    <w:rsid w:val="004D2CCA"/>
    <w:rsid w:val="0063271E"/>
    <w:rsid w:val="006828D5"/>
    <w:rsid w:val="006848C2"/>
    <w:rsid w:val="00693EF8"/>
    <w:rsid w:val="00695B4F"/>
    <w:rsid w:val="00724F3C"/>
    <w:rsid w:val="00745EE3"/>
    <w:rsid w:val="007961D9"/>
    <w:rsid w:val="00827DAC"/>
    <w:rsid w:val="00894763"/>
    <w:rsid w:val="009335EC"/>
    <w:rsid w:val="0095229C"/>
    <w:rsid w:val="009603F3"/>
    <w:rsid w:val="009C2787"/>
    <w:rsid w:val="009D17E9"/>
    <w:rsid w:val="00A10FE1"/>
    <w:rsid w:val="00AF52AB"/>
    <w:rsid w:val="00B8418A"/>
    <w:rsid w:val="00BD3F67"/>
    <w:rsid w:val="00C24877"/>
    <w:rsid w:val="00CA0C3D"/>
    <w:rsid w:val="00DD1676"/>
    <w:rsid w:val="00DF1E94"/>
    <w:rsid w:val="00DF3270"/>
    <w:rsid w:val="00E07EFE"/>
    <w:rsid w:val="00E41F76"/>
    <w:rsid w:val="00E875A8"/>
    <w:rsid w:val="00EB4619"/>
    <w:rsid w:val="00EF05AD"/>
    <w:rsid w:val="00FE2C03"/>
    <w:rsid w:val="00FE6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7C661"/>
  <w15:docId w15:val="{E9E0D619-B56D-4756-825A-809D269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077E70"/>
    <w:pPr>
      <w:tabs>
        <w:tab w:val="center" w:pos="4252"/>
        <w:tab w:val="right" w:pos="8504"/>
      </w:tabs>
      <w:spacing w:line="240" w:lineRule="auto"/>
    </w:pPr>
  </w:style>
  <w:style w:type="character" w:customStyle="1" w:styleId="CabealhoChar">
    <w:name w:val="Cabeçalho Char"/>
    <w:basedOn w:val="Fontepargpadro"/>
    <w:link w:val="Cabealho"/>
    <w:uiPriority w:val="99"/>
    <w:rsid w:val="00077E70"/>
  </w:style>
  <w:style w:type="paragraph" w:styleId="Rodap">
    <w:name w:val="footer"/>
    <w:basedOn w:val="Normal"/>
    <w:link w:val="RodapChar"/>
    <w:uiPriority w:val="99"/>
    <w:unhideWhenUsed/>
    <w:rsid w:val="00077E70"/>
    <w:pPr>
      <w:tabs>
        <w:tab w:val="center" w:pos="4252"/>
        <w:tab w:val="right" w:pos="8504"/>
      </w:tabs>
      <w:spacing w:line="240" w:lineRule="auto"/>
    </w:pPr>
  </w:style>
  <w:style w:type="character" w:customStyle="1" w:styleId="RodapChar">
    <w:name w:val="Rodapé Char"/>
    <w:basedOn w:val="Fontepargpadro"/>
    <w:link w:val="Rodap"/>
    <w:uiPriority w:val="99"/>
    <w:rsid w:val="00077E70"/>
  </w:style>
  <w:style w:type="paragraph" w:styleId="PargrafodaLista">
    <w:name w:val="List Paragraph"/>
    <w:basedOn w:val="Normal"/>
    <w:uiPriority w:val="34"/>
    <w:qFormat/>
    <w:rsid w:val="00DD1676"/>
    <w:pPr>
      <w:ind w:left="720"/>
      <w:contextualSpacing/>
    </w:pPr>
  </w:style>
  <w:style w:type="paragraph" w:styleId="NormalWeb">
    <w:name w:val="Normal (Web)"/>
    <w:basedOn w:val="Normal"/>
    <w:uiPriority w:val="99"/>
    <w:semiHidden/>
    <w:unhideWhenUsed/>
    <w:rsid w:val="0095229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72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Carloney Alves de Oliveira</dc:creator>
  <cp:lastModifiedBy>angelhugo245798@gmail.com</cp:lastModifiedBy>
  <cp:revision>2</cp:revision>
  <dcterms:created xsi:type="dcterms:W3CDTF">2023-08-30T20:47:00Z</dcterms:created>
  <dcterms:modified xsi:type="dcterms:W3CDTF">2023-08-30T20:47:00Z</dcterms:modified>
</cp:coreProperties>
</file>