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eastAsia="Times New Roman"/>
          <w:b/>
          <w:sz w:val="20"/>
          <w:szCs w:val="20"/>
        </w:rPr>
      </w:pPr>
      <w:bookmarkStart w:id="1" w:name="_GoBack"/>
      <w:bookmarkEnd w:id="1"/>
      <w:bookmarkStart w:id="0" w:name="_gjdgxs" w:colFirst="0" w:colLast="0"/>
      <w:bookmarkEnd w:id="0"/>
    </w:p>
    <w:p>
      <w:pPr>
        <w:spacing w:line="240" w:lineRule="auto"/>
        <w:jc w:val="both"/>
        <w:rPr>
          <w:rFonts w:eastAsia="Times New Roman"/>
          <w:b/>
          <w:sz w:val="20"/>
          <w:szCs w:val="20"/>
          <w:lang w:val="pt-BR"/>
        </w:rPr>
      </w:pPr>
      <w:r>
        <w:rPr>
          <w:rFonts w:eastAsia="Times New Roman"/>
          <w:b/>
          <w:sz w:val="20"/>
          <w:szCs w:val="20"/>
          <w:lang w:val="pt-BR"/>
        </w:rPr>
        <w:t>ARÉA TEMÁTICA:</w:t>
      </w:r>
      <w:r>
        <w:rPr>
          <w:b/>
          <w:sz w:val="20"/>
          <w:szCs w:val="20"/>
        </w:rPr>
        <w:t xml:space="preserve"> INVERTEBRADOS TERRESTRES</w:t>
      </w:r>
    </w:p>
    <w:p>
      <w:pPr>
        <w:spacing w:line="240" w:lineRule="auto"/>
        <w:jc w:val="both"/>
        <w:rPr>
          <w:rFonts w:eastAsia="Times New Roman"/>
          <w:b/>
          <w:sz w:val="20"/>
          <w:szCs w:val="20"/>
          <w:lang w:val="pt-BR"/>
        </w:rPr>
      </w:pPr>
      <w:r>
        <w:rPr>
          <w:rFonts w:eastAsia="Times New Roman"/>
          <w:b/>
          <w:sz w:val="20"/>
          <w:szCs w:val="20"/>
          <w:lang w:val="pt-BR"/>
        </w:rPr>
        <w:t>SUBÁREA TEMÁTICA:</w:t>
      </w:r>
      <w:r>
        <w:rPr>
          <w:b/>
          <w:sz w:val="20"/>
          <w:szCs w:val="20"/>
        </w:rPr>
        <w:t xml:space="preserve"> ECOLOGIA</w:t>
      </w:r>
    </w:p>
    <w:p>
      <w:pPr>
        <w:spacing w:line="240" w:lineRule="auto"/>
        <w:jc w:val="both"/>
        <w:rPr>
          <w:rFonts w:eastAsia="Times New Roman"/>
          <w:b/>
          <w:sz w:val="20"/>
          <w:szCs w:val="20"/>
        </w:rPr>
      </w:pPr>
    </w:p>
    <w:p>
      <w:pPr>
        <w:spacing w:line="240" w:lineRule="auto"/>
        <w:jc w:val="center"/>
        <w:rPr>
          <w:rFonts w:eastAsia="Times New Roman"/>
          <w:b/>
          <w:sz w:val="20"/>
          <w:szCs w:val="20"/>
        </w:rPr>
      </w:pPr>
    </w:p>
    <w:p>
      <w:pPr>
        <w:spacing w:line="240" w:lineRule="auto"/>
        <w:jc w:val="center"/>
        <w:rPr>
          <w:rFonts w:eastAsia="Times New Roman"/>
          <w:b/>
          <w:sz w:val="20"/>
          <w:szCs w:val="20"/>
          <w:lang w:val="pt-BR"/>
        </w:rPr>
      </w:pPr>
      <w:r>
        <w:rPr>
          <w:rFonts w:eastAsia="Times New Roman"/>
          <w:b/>
          <w:sz w:val="20"/>
          <w:szCs w:val="20"/>
          <w:lang w:val="pt-BR"/>
        </w:rPr>
        <w:t>EFEITOS DA PERTURBAÇÃO ANTRÓPICA CRÔNICA NA RELAÇÃO ENTRE ARANHAS DE SUB-BOSQUE E PLANTAS NA CAATINGA</w:t>
      </w:r>
    </w:p>
    <w:p>
      <w:pPr>
        <w:spacing w:line="240" w:lineRule="auto"/>
        <w:jc w:val="center"/>
        <w:rPr>
          <w:rFonts w:eastAsia="Times New Roman"/>
          <w:b/>
          <w:sz w:val="20"/>
          <w:szCs w:val="20"/>
        </w:rPr>
      </w:pPr>
    </w:p>
    <w:p>
      <w:pPr>
        <w:spacing w:after="240" w:line="240" w:lineRule="auto"/>
        <w:jc w:val="center"/>
        <w:rPr>
          <w:sz w:val="20"/>
          <w:szCs w:val="20"/>
        </w:rPr>
      </w:pPr>
      <w:r>
        <w:rPr>
          <w:sz w:val="20"/>
          <w:szCs w:val="20"/>
        </w:rPr>
        <w:t>Jayrla E. D. Lima¹, André O. Silva-Júnior²; Gabriela M. Oliveira¹; Geraldo J. B. Moura²; Stênio Í. A. Foerster</w:t>
      </w:r>
      <w:r>
        <w:rPr>
          <w:sz w:val="20"/>
          <w:szCs w:val="20"/>
          <w:vertAlign w:val="superscript"/>
        </w:rPr>
        <w:t>3</w:t>
      </w:r>
      <w:r>
        <w:rPr>
          <w:sz w:val="20"/>
          <w:szCs w:val="20"/>
        </w:rPr>
        <w:t>, Nancy Lo-Man-Hung</w:t>
      </w:r>
      <w:r>
        <w:rPr>
          <w:sz w:val="20"/>
          <w:szCs w:val="20"/>
          <w:vertAlign w:val="superscript"/>
        </w:rPr>
        <w:t>4</w:t>
      </w:r>
      <w:r>
        <w:rPr>
          <w:sz w:val="20"/>
          <w:szCs w:val="20"/>
        </w:rPr>
        <w:t>, Ana L. Tourinho</w:t>
      </w:r>
      <w:r>
        <w:rPr>
          <w:sz w:val="20"/>
          <w:szCs w:val="20"/>
          <w:vertAlign w:val="superscript"/>
        </w:rPr>
        <w:t>5</w:t>
      </w:r>
      <w:r>
        <w:rPr>
          <w:sz w:val="20"/>
          <w:szCs w:val="20"/>
        </w:rPr>
        <w:t>, André F. A. Lira</w:t>
      </w:r>
      <w:r>
        <w:rPr>
          <w:sz w:val="20"/>
          <w:szCs w:val="20"/>
          <w:vertAlign w:val="superscript"/>
        </w:rPr>
        <w:t>6</w:t>
      </w:r>
    </w:p>
    <w:p>
      <w:pPr>
        <w:spacing w:line="240" w:lineRule="auto"/>
        <w:jc w:val="center"/>
        <w:rPr>
          <w:sz w:val="20"/>
          <w:szCs w:val="20"/>
        </w:rPr>
      </w:pPr>
      <w:r>
        <w:rPr>
          <w:sz w:val="20"/>
          <w:szCs w:val="20"/>
        </w:rPr>
        <w:t xml:space="preserve">¹Universidade Federal de Pernambuco (UFPE), Campus Recife, Pernambuco, Brasil. E-mail: jayrla.lima@ufpe.br; gabriela.moliveira2@ufpe.br </w:t>
      </w:r>
    </w:p>
    <w:p>
      <w:pPr>
        <w:spacing w:line="240" w:lineRule="auto"/>
        <w:jc w:val="center"/>
        <w:rPr>
          <w:sz w:val="20"/>
          <w:szCs w:val="20"/>
        </w:rPr>
      </w:pPr>
      <w:r>
        <w:rPr>
          <w:sz w:val="20"/>
          <w:szCs w:val="20"/>
        </w:rPr>
        <w:t>²Universidade Federal Rural de Pernambuco (UFRPE), Campus Recife, Recife, Pernambuco, Brasil. E-mail: andre.otavio@ufrpe.br; geraldojbm@gmail.com</w:t>
      </w:r>
    </w:p>
    <w:p>
      <w:pPr>
        <w:spacing w:line="240" w:lineRule="auto"/>
        <w:jc w:val="center"/>
        <w:rPr>
          <w:sz w:val="20"/>
          <w:szCs w:val="20"/>
        </w:rPr>
      </w:pPr>
      <w:r>
        <w:rPr>
          <w:sz w:val="20"/>
          <w:szCs w:val="20"/>
          <w:vertAlign w:val="superscript"/>
        </w:rPr>
        <w:t>3</w:t>
      </w:r>
      <w:r>
        <w:rPr>
          <w:sz w:val="20"/>
          <w:szCs w:val="20"/>
        </w:rPr>
        <w:t>Departamento de Zoologia, Unversidade de Tartu (UT), Tartu, Estônia. E-mail: stenio.fo</w:t>
      </w:r>
      <w:r>
        <w:rPr>
          <w:sz w:val="20"/>
          <w:szCs w:val="20"/>
          <w:lang w:val="pt-BR"/>
        </w:rPr>
        <w:t>er</w:t>
      </w:r>
      <w:r>
        <w:rPr>
          <w:sz w:val="20"/>
          <w:szCs w:val="20"/>
        </w:rPr>
        <w:t>ster@ut.ee</w:t>
      </w:r>
    </w:p>
    <w:p>
      <w:pPr>
        <w:spacing w:line="240" w:lineRule="auto"/>
        <w:jc w:val="center"/>
        <w:rPr>
          <w:sz w:val="20"/>
          <w:szCs w:val="20"/>
        </w:rPr>
      </w:pPr>
      <w:r>
        <w:rPr>
          <w:sz w:val="20"/>
          <w:szCs w:val="20"/>
          <w:vertAlign w:val="superscript"/>
        </w:rPr>
        <w:t>4</w:t>
      </w:r>
      <w:r>
        <w:rPr>
          <w:sz w:val="20"/>
          <w:szCs w:val="20"/>
        </w:rPr>
        <w:t>Universidade de São Paulo (USP), São Paulo, E-mail: nancylo@ib.usp.br</w:t>
      </w:r>
    </w:p>
    <w:p>
      <w:pPr>
        <w:spacing w:line="240" w:lineRule="auto"/>
        <w:jc w:val="center"/>
        <w:rPr>
          <w:sz w:val="20"/>
          <w:szCs w:val="20"/>
          <w:lang w:val="pt-BR"/>
        </w:rPr>
      </w:pPr>
      <w:r>
        <w:rPr>
          <w:sz w:val="20"/>
          <w:szCs w:val="20"/>
          <w:vertAlign w:val="superscript"/>
        </w:rPr>
        <w:t>5</w:t>
      </w:r>
      <w:r>
        <w:rPr>
          <w:sz w:val="20"/>
          <w:szCs w:val="20"/>
        </w:rPr>
        <w:t>Universidade Federal do Mato Grosso (UFMT), Campus Sinop, Brasil. E-mail: amtourinho@gmail.com</w:t>
      </w:r>
    </w:p>
    <w:p>
      <w:pPr>
        <w:spacing w:line="240" w:lineRule="auto"/>
        <w:jc w:val="center"/>
        <w:rPr>
          <w:sz w:val="20"/>
          <w:szCs w:val="20"/>
        </w:rPr>
      </w:pPr>
      <w:r>
        <w:rPr>
          <w:sz w:val="20"/>
          <w:szCs w:val="20"/>
          <w:vertAlign w:val="superscript"/>
        </w:rPr>
        <w:t>6</w:t>
      </w:r>
      <w:r>
        <w:rPr>
          <w:sz w:val="20"/>
          <w:szCs w:val="20"/>
        </w:rPr>
        <w:t xml:space="preserve">Universidade Federal de Campina Grande (UFCG), Campus Cuité, Cuité, Paraíba, Brasil. E-mail: </w:t>
      </w:r>
      <w:r>
        <w:fldChar w:fldCharType="begin"/>
      </w:r>
      <w:r>
        <w:instrText xml:space="preserve"> HYPERLINK "mailto:andref.lira@gmail.com" \h </w:instrText>
      </w:r>
      <w:r>
        <w:fldChar w:fldCharType="separate"/>
      </w:r>
      <w:r>
        <w:rPr>
          <w:sz w:val="20"/>
          <w:szCs w:val="20"/>
        </w:rPr>
        <w:t>andref.lira@gmail.com</w:t>
      </w:r>
      <w:r>
        <w:fldChar w:fldCharType="end"/>
      </w:r>
    </w:p>
    <w:p>
      <w:pPr>
        <w:spacing w:line="240" w:lineRule="auto"/>
        <w:jc w:val="center"/>
        <w:rPr>
          <w:rFonts w:eastAsia="Times New Roman"/>
          <w:sz w:val="20"/>
          <w:szCs w:val="20"/>
          <w:lang w:val="pt-BR"/>
        </w:rPr>
      </w:pPr>
    </w:p>
    <w:p>
      <w:pPr>
        <w:spacing w:line="240" w:lineRule="auto"/>
        <w:rPr>
          <w:rFonts w:eastAsia="Times New Roman"/>
          <w:b/>
          <w:sz w:val="20"/>
          <w:szCs w:val="20"/>
        </w:rPr>
      </w:pPr>
    </w:p>
    <w:p>
      <w:pPr>
        <w:spacing w:line="240" w:lineRule="auto"/>
        <w:rPr>
          <w:rFonts w:eastAsia="Times New Roman"/>
          <w:b/>
          <w:sz w:val="20"/>
          <w:szCs w:val="20"/>
        </w:rPr>
      </w:pPr>
      <w:r>
        <w:rPr>
          <w:rFonts w:eastAsia="Times New Roman"/>
          <w:b/>
          <w:sz w:val="20"/>
          <w:szCs w:val="20"/>
        </w:rPr>
        <w:t>INTRODUÇÃO</w:t>
      </w:r>
    </w:p>
    <w:p>
      <w:pPr>
        <w:spacing w:line="240" w:lineRule="auto"/>
        <w:ind w:firstLine="566"/>
        <w:jc w:val="both"/>
        <w:rPr>
          <w:rFonts w:eastAsia="Times New Roman"/>
          <w:sz w:val="20"/>
          <w:szCs w:val="20"/>
          <w:lang w:val="pt-BR"/>
        </w:rPr>
      </w:pPr>
      <w:r>
        <w:rPr>
          <w:rFonts w:eastAsia="Times New Roman"/>
          <w:sz w:val="20"/>
          <w:szCs w:val="20"/>
          <w:lang w:val="pt-BR"/>
        </w:rPr>
        <w:t>Diversas espécies animais são impactadas negativamente devido a exploração insustentável dos recursos naturais (Williamson, 1996; Parker et. al, 1999). O corte seletivo de espécies vegetais representa apenas um dos diversos exemplos de exploração insustentável, ocorrendo em pequenas escalas, porém, com elevada frequência (Singh 1998; Martorell e Peters, 2005). Isso acaba por interferir na complexidade da estrutura vegetal,</w:t>
      </w:r>
      <w:r>
        <w:rPr>
          <w:rFonts w:eastAsia="Times New Roman"/>
          <w:lang w:val="pt-BR"/>
        </w:rPr>
        <w:t xml:space="preserve"> </w:t>
      </w:r>
      <w:r>
        <w:rPr>
          <w:rFonts w:eastAsia="Times New Roman"/>
          <w:sz w:val="20"/>
          <w:szCs w:val="20"/>
          <w:lang w:val="pt-BR"/>
        </w:rPr>
        <w:t>levando a diminuição da densidade de plantas, empobrecimento filogenético e funcional, e a uma acentuada homogeneização biótica (Sagar et al. 2003, Ribeiro et al. 2015; Mooney e Hobbs, 2000). Essa afirmação revela-se especialmente verídica no contexto da Caatinga, reconhecida como o maior conjunto de formações florestais tropicais sazonalmente secas na região da América do Sul (Leal, 2005; Cardoso et al. 2017).</w:t>
      </w:r>
    </w:p>
    <w:p>
      <w:pPr>
        <w:spacing w:line="240" w:lineRule="auto"/>
        <w:ind w:firstLine="566"/>
        <w:jc w:val="both"/>
        <w:rPr>
          <w:rFonts w:eastAsia="Times New Roman"/>
          <w:sz w:val="20"/>
          <w:szCs w:val="20"/>
          <w:lang w:val="pt-BR"/>
        </w:rPr>
      </w:pPr>
      <w:r>
        <w:rPr>
          <w:rFonts w:eastAsia="Times New Roman"/>
          <w:sz w:val="20"/>
          <w:szCs w:val="20"/>
          <w:lang w:val="pt-BR"/>
        </w:rPr>
        <w:t>A Caatinga é um ecossistema que ao longo dos anos tem sido dramaticamente impactado pela ação humana, resultando no empobrecimento e homogeneização da sua flora (Ribeiro et al, 2015). O impacto antrópico na Caatinga apresenta um forte potencial para afetar negativamente os animais que são intimamente relacionados com a vegetação como, por exemplo, as aranhas (Foelix, 2011). Estes animais dependem da vegetação para a construção de abrigos e armadilhas para a captura de presas, acasalamento, oviposição, proteção e para o processo de ecdise (Dennis et al. 2015; Bizuet-Flores, et al. 2015; Foelix, 2011). Dessa forma, é importante ressaltar que a complexidade da vegetação apresenta um papel fundamental para compreensão dos impactos negativos provocados pelas perturbações antrópicas. Assim, espécies habitat-especialistas que dependem da vegetação sofrem maior impacto negativo por modificações na paisagem (Foerster et al., 2020). Diante dessas informações, este estudo tem por objetivo analisar os efeitos da exploração de espécies vegetais sobre a relação entre as aranhas de sub-bosque e as plantas na Caatinga.</w:t>
      </w:r>
    </w:p>
    <w:p>
      <w:pPr>
        <w:spacing w:line="240" w:lineRule="auto"/>
        <w:jc w:val="both"/>
        <w:rPr>
          <w:rFonts w:eastAsia="Times New Roman"/>
          <w:b/>
          <w:sz w:val="20"/>
          <w:szCs w:val="20"/>
        </w:rPr>
      </w:pPr>
    </w:p>
    <w:p>
      <w:pPr>
        <w:spacing w:line="240" w:lineRule="auto"/>
        <w:jc w:val="both"/>
        <w:rPr>
          <w:rFonts w:eastAsia="Times New Roman"/>
          <w:b/>
          <w:sz w:val="20"/>
          <w:szCs w:val="20"/>
          <w:lang w:val="pt-BR"/>
        </w:rPr>
      </w:pPr>
      <w:r>
        <w:rPr>
          <w:rFonts w:eastAsia="Times New Roman"/>
          <w:b/>
          <w:sz w:val="20"/>
          <w:szCs w:val="20"/>
        </w:rPr>
        <w:t>MATERIAL E MÉTODOS</w:t>
      </w:r>
    </w:p>
    <w:p>
      <w:pPr>
        <w:spacing w:line="240" w:lineRule="auto"/>
        <w:ind w:firstLine="566"/>
        <w:jc w:val="both"/>
        <w:rPr>
          <w:rFonts w:eastAsia="Times New Roman"/>
          <w:sz w:val="20"/>
          <w:szCs w:val="20"/>
          <w:lang w:val="pt-BR"/>
        </w:rPr>
      </w:pPr>
      <w:r>
        <w:rPr>
          <w:rFonts w:eastAsia="Times New Roman"/>
          <w:sz w:val="20"/>
          <w:szCs w:val="20"/>
          <w:lang w:val="pt-BR"/>
        </w:rPr>
        <w:t>O estudo foi realizado em uma área de Caatinga arbóreo-arbustiva localizada no município de Nova Palmeira (6°38'38,71" S; 36°27'1,07" O) no estado da Paraíba, Brasil. A área apresenta um clima caracterizado como semiárido quente (Climate-data 2023)</w:t>
      </w:r>
      <w:r>
        <w:rPr>
          <w:rFonts w:eastAsia="Times New Roman"/>
          <w:b/>
          <w:i/>
          <w:sz w:val="20"/>
          <w:szCs w:val="20"/>
          <w:lang w:val="pt-BR"/>
        </w:rPr>
        <w:t xml:space="preserve">. </w:t>
      </w:r>
      <w:r>
        <w:rPr>
          <w:rFonts w:eastAsia="Times New Roman"/>
          <w:sz w:val="20"/>
          <w:szCs w:val="20"/>
          <w:lang w:val="pt-BR"/>
        </w:rPr>
        <w:t xml:space="preserve">A coleta foi realizada durante a estação seca (dezembro de 2022) em duas áreas de Caatinga com diferentes níveis de perturbação: Caatinga madura, e Caatinga com corte seletivo de lenha. Em cada área foram estabelecidos 20 quadrantes (30m x 10m) separados entre si por uma distância de 20 m. No interior de cada quadrante foram realizadas amostragens de aranhas em cada arbusto/árvore com comprimento superior a 1 m, utilizando o método de guarda-chuva entomológico. As amostragens foram realizadas em dois horários: diurno (15:00-17:00), e noturno (20:00-23:00 h). Os indivíduos vegetais foram identificados em conjunto com taxônomos e as aranhas coletadas foram enviadas para a Universidade de São Paulo para a identificação. Por fim, os efeitos da perturbação antrópica sobre a relação entre a composição de espécies de aranhas e plantas foram analisados através de uma PERMANOVA. Também foi feito o coeficiente de phi para investigar a especificidade entre espécies de aranhas e plantas. Todas as análises foram feitas utilizando o pacote </w:t>
      </w:r>
      <w:r>
        <w:rPr>
          <w:rFonts w:eastAsia="Times New Roman"/>
          <w:i/>
          <w:sz w:val="20"/>
          <w:szCs w:val="20"/>
          <w:lang w:val="pt-BR"/>
        </w:rPr>
        <w:t>vegan</w:t>
      </w:r>
      <w:r>
        <w:rPr>
          <w:rFonts w:eastAsia="Times New Roman"/>
          <w:sz w:val="20"/>
          <w:szCs w:val="20"/>
          <w:lang w:val="pt-BR"/>
        </w:rPr>
        <w:t xml:space="preserve"> do software R (Oksanen et al. 2019, R Core Team 2022).</w:t>
      </w:r>
    </w:p>
    <w:p>
      <w:pPr>
        <w:spacing w:line="240" w:lineRule="auto"/>
        <w:jc w:val="both"/>
        <w:rPr>
          <w:rFonts w:eastAsia="Times New Roman"/>
          <w:b/>
          <w:sz w:val="20"/>
          <w:szCs w:val="20"/>
        </w:rPr>
      </w:pPr>
    </w:p>
    <w:p>
      <w:pPr>
        <w:spacing w:line="240" w:lineRule="auto"/>
        <w:jc w:val="both"/>
        <w:rPr>
          <w:rFonts w:eastAsia="Times New Roman"/>
          <w:b/>
          <w:sz w:val="20"/>
          <w:szCs w:val="20"/>
        </w:rPr>
      </w:pPr>
      <w:r>
        <w:rPr>
          <w:rFonts w:eastAsia="Times New Roman"/>
          <w:b/>
          <w:sz w:val="20"/>
          <w:szCs w:val="20"/>
        </w:rPr>
        <w:t>RESULTADOS E DISCUSSÃO</w:t>
      </w:r>
    </w:p>
    <w:p>
      <w:pPr>
        <w:spacing w:line="240" w:lineRule="auto"/>
        <w:ind w:firstLine="567"/>
        <w:jc w:val="both"/>
        <w:rPr>
          <w:rFonts w:eastAsia="Times New Roman"/>
          <w:sz w:val="20"/>
          <w:szCs w:val="20"/>
          <w:lang w:val="pt-BR"/>
        </w:rPr>
      </w:pPr>
      <w:r>
        <w:rPr>
          <w:rFonts w:eastAsia="Times New Roman"/>
          <w:sz w:val="20"/>
          <w:szCs w:val="20"/>
          <w:lang w:val="pt-BR"/>
        </w:rPr>
        <w:t xml:space="preserve">No total foram coletadas 1.000 aranhas, 13,20% (n=132) corresponderam a indivíduos adultos, distribuídas em 22 famílias e 26 morfoespécies. As aranhas foram coletadas em 13 espécies de plantas, contudo 83% foram encontradas em quatro espécies de plantas: </w:t>
      </w:r>
      <w:r>
        <w:rPr>
          <w:rFonts w:eastAsia="Times New Roman"/>
          <w:i/>
          <w:sz w:val="20"/>
          <w:szCs w:val="20"/>
          <w:lang w:val="pt-BR"/>
        </w:rPr>
        <w:t xml:space="preserve">Mimosa tenuiflora </w:t>
      </w:r>
      <w:r>
        <w:rPr>
          <w:rFonts w:eastAsia="Times New Roman"/>
          <w:sz w:val="20"/>
          <w:szCs w:val="20"/>
          <w:lang w:val="pt-BR"/>
        </w:rPr>
        <w:t xml:space="preserve">(33,4%), </w:t>
      </w:r>
      <w:r>
        <w:rPr>
          <w:rFonts w:eastAsia="Times New Roman"/>
          <w:i/>
          <w:sz w:val="20"/>
          <w:szCs w:val="20"/>
          <w:lang w:val="pt-BR"/>
        </w:rPr>
        <w:t xml:space="preserve">Prosopis juliflora </w:t>
      </w:r>
      <w:r>
        <w:rPr>
          <w:rFonts w:eastAsia="Times New Roman"/>
          <w:sz w:val="20"/>
          <w:szCs w:val="20"/>
          <w:lang w:val="pt-BR"/>
        </w:rPr>
        <w:t xml:space="preserve">(21,2%), </w:t>
      </w:r>
      <w:r>
        <w:rPr>
          <w:rFonts w:eastAsia="Times New Roman"/>
          <w:i/>
          <w:sz w:val="20"/>
          <w:szCs w:val="20"/>
          <w:lang w:val="pt-BR"/>
        </w:rPr>
        <w:t xml:space="preserve">Jatropha gossypiifolia </w:t>
      </w:r>
      <w:r>
        <w:rPr>
          <w:rFonts w:eastAsia="Times New Roman"/>
          <w:sz w:val="20"/>
          <w:szCs w:val="20"/>
          <w:lang w:val="pt-BR"/>
        </w:rPr>
        <w:t xml:space="preserve">(14,4%) e </w:t>
      </w:r>
      <w:r>
        <w:rPr>
          <w:rFonts w:eastAsia="Times New Roman"/>
          <w:i/>
          <w:sz w:val="20"/>
          <w:szCs w:val="20"/>
          <w:lang w:val="pt-BR"/>
        </w:rPr>
        <w:t xml:space="preserve">Piptadenia stipulacea </w:t>
      </w:r>
      <w:r>
        <w:rPr>
          <w:rFonts w:eastAsia="Times New Roman"/>
          <w:sz w:val="20"/>
          <w:szCs w:val="20"/>
          <w:lang w:val="pt-BR"/>
        </w:rPr>
        <w:t xml:space="preserve">(10,6%). Contudo nenhum efeito das espécies de plantas sobre as espécies de aranhas (F = 1,06, p = 0,28) foi detectado. Considerando as áreas amostradas, na Caatinga madura, a maioria dos indivíduos adultos (72%) foram encontrados em </w:t>
      </w:r>
      <w:r>
        <w:rPr>
          <w:rFonts w:eastAsia="Times New Roman"/>
          <w:i/>
          <w:sz w:val="20"/>
          <w:szCs w:val="20"/>
          <w:lang w:val="pt-BR"/>
        </w:rPr>
        <w:t>M. tenuiflora</w:t>
      </w:r>
      <w:r>
        <w:rPr>
          <w:rFonts w:eastAsia="Times New Roman"/>
          <w:sz w:val="20"/>
          <w:szCs w:val="20"/>
          <w:lang w:val="pt-BR"/>
        </w:rPr>
        <w:t xml:space="preserve"> (24,2%), </w:t>
      </w:r>
      <w:r>
        <w:rPr>
          <w:rFonts w:eastAsia="Times New Roman"/>
          <w:i/>
          <w:sz w:val="20"/>
          <w:szCs w:val="20"/>
          <w:lang w:val="pt-BR"/>
        </w:rPr>
        <w:t>Jatropha mollissima</w:t>
      </w:r>
      <w:r>
        <w:rPr>
          <w:rFonts w:eastAsia="Times New Roman"/>
          <w:sz w:val="20"/>
          <w:szCs w:val="20"/>
          <w:lang w:val="pt-BR"/>
        </w:rPr>
        <w:t xml:space="preserve"> (12,1%) e </w:t>
      </w:r>
      <w:r>
        <w:rPr>
          <w:rFonts w:eastAsia="Times New Roman"/>
          <w:i/>
          <w:sz w:val="20"/>
          <w:szCs w:val="20"/>
          <w:lang w:val="pt-BR"/>
        </w:rPr>
        <w:t>P. stipulacea</w:t>
      </w:r>
      <w:r>
        <w:rPr>
          <w:rFonts w:eastAsia="Times New Roman"/>
          <w:sz w:val="20"/>
          <w:szCs w:val="20"/>
          <w:lang w:val="pt-BR"/>
        </w:rPr>
        <w:t xml:space="preserve"> (10,6%). Enquanto que na Caatinga antropizada, cerca de 80% dos adultos foram encontrados em </w:t>
      </w:r>
      <w:r>
        <w:rPr>
          <w:rFonts w:eastAsia="Times New Roman"/>
          <w:i/>
          <w:sz w:val="20"/>
          <w:szCs w:val="20"/>
          <w:lang w:val="pt-BR"/>
        </w:rPr>
        <w:t>P. juliflora</w:t>
      </w:r>
      <w:r>
        <w:rPr>
          <w:rFonts w:eastAsia="Times New Roman"/>
          <w:sz w:val="20"/>
          <w:szCs w:val="20"/>
          <w:lang w:val="pt-BR"/>
        </w:rPr>
        <w:t xml:space="preserve"> (16,7%) e </w:t>
      </w:r>
      <w:r>
        <w:rPr>
          <w:rFonts w:eastAsia="Times New Roman"/>
          <w:i/>
          <w:sz w:val="20"/>
          <w:szCs w:val="20"/>
          <w:lang w:val="pt-BR"/>
        </w:rPr>
        <w:t>M. tenuiflora</w:t>
      </w:r>
      <w:r>
        <w:rPr>
          <w:rFonts w:eastAsia="Times New Roman"/>
          <w:sz w:val="20"/>
          <w:szCs w:val="20"/>
          <w:lang w:val="pt-BR"/>
        </w:rPr>
        <w:t xml:space="preserve"> (9,1%). De modo similar, não foi detectada relação entre a composição de espécies de plantas e aranhas entre as áreas amostradas (Área: F = 0,63, p = 0,79). Dentre as aranhas coletadas, somente a morfoespécie da família Mimetidae </w:t>
      </w:r>
      <w:r>
        <w:rPr>
          <w:rFonts w:eastAsia="Times New Roman"/>
          <w:i/>
          <w:sz w:val="20"/>
          <w:szCs w:val="20"/>
          <w:lang w:val="pt-BR"/>
        </w:rPr>
        <w:t>Ero</w:t>
      </w:r>
      <w:r>
        <w:rPr>
          <w:rFonts w:eastAsia="Times New Roman"/>
          <w:sz w:val="20"/>
          <w:szCs w:val="20"/>
          <w:lang w:val="pt-BR"/>
        </w:rPr>
        <w:t xml:space="preserve"> sp. foi relacionada com a cactácea </w:t>
      </w:r>
      <w:r>
        <w:rPr>
          <w:rFonts w:eastAsia="Times New Roman"/>
          <w:i/>
          <w:sz w:val="20"/>
          <w:szCs w:val="20"/>
          <w:lang w:val="pt-BR"/>
        </w:rPr>
        <w:t>Pilosoceteus pachycladus</w:t>
      </w:r>
      <w:r>
        <w:rPr>
          <w:rFonts w:eastAsia="Times New Roman"/>
          <w:sz w:val="20"/>
          <w:szCs w:val="20"/>
          <w:lang w:val="pt-BR"/>
        </w:rPr>
        <w:t xml:space="preserve"> (phi = 0.945, p = 0.03).</w:t>
      </w:r>
    </w:p>
    <w:p>
      <w:pPr>
        <w:spacing w:line="240" w:lineRule="auto"/>
        <w:ind w:firstLine="567"/>
        <w:jc w:val="both"/>
        <w:rPr>
          <w:rFonts w:eastAsia="Times New Roman"/>
          <w:sz w:val="20"/>
          <w:szCs w:val="20"/>
          <w:lang w:val="pt-BR"/>
        </w:rPr>
      </w:pPr>
      <w:r>
        <w:rPr>
          <w:rFonts w:eastAsia="Times New Roman"/>
          <w:sz w:val="20"/>
          <w:szCs w:val="20"/>
          <w:lang w:val="pt-BR"/>
        </w:rPr>
        <w:t xml:space="preserve">As plantas </w:t>
      </w:r>
      <w:r>
        <w:rPr>
          <w:rFonts w:eastAsia="Times New Roman"/>
          <w:i/>
          <w:sz w:val="20"/>
          <w:szCs w:val="20"/>
          <w:lang w:val="pt-BR"/>
        </w:rPr>
        <w:t>M. tenuiflora</w:t>
      </w:r>
      <w:r>
        <w:rPr>
          <w:rFonts w:eastAsia="Times New Roman"/>
          <w:sz w:val="20"/>
          <w:szCs w:val="20"/>
          <w:lang w:val="pt-BR"/>
        </w:rPr>
        <w:t xml:space="preserve"> e </w:t>
      </w:r>
      <w:r>
        <w:rPr>
          <w:rFonts w:eastAsia="Times New Roman"/>
          <w:i/>
          <w:sz w:val="20"/>
          <w:szCs w:val="20"/>
          <w:lang w:val="pt-BR"/>
        </w:rPr>
        <w:t>P. juliflora,</w:t>
      </w:r>
      <w:r>
        <w:rPr>
          <w:rFonts w:eastAsia="Times New Roman"/>
          <w:sz w:val="20"/>
          <w:szCs w:val="20"/>
          <w:lang w:val="pt-BR"/>
        </w:rPr>
        <w:t xml:space="preserve"> popularmente conhecidas como jurema-preta e algaroba, apresentaram uma elevada quantidade de aranhas quando comparada com as demais espécies vegetais, na área intacta e antropizada, respectivamente. Ambas as espécies vegetais são armadas de espinhos (Maia-Silva, 2012; Tigre, 1970, Ribaski, 2009) que pode afugentar possíveis predadores. Estudos anteriores demonstraram que as aranhas parecem ter uma certa preferência por plantas com espinhos (Rose et al., 2021). Como por exemplo, no deserto israelense de Negev, as aranhas </w:t>
      </w:r>
      <w:r>
        <w:rPr>
          <w:rFonts w:eastAsia="Times New Roman"/>
          <w:i/>
          <w:sz w:val="20"/>
          <w:szCs w:val="20"/>
          <w:lang w:val="pt-BR"/>
        </w:rPr>
        <w:t>Stegodyphus lineatus</w:t>
      </w:r>
      <w:r>
        <w:rPr>
          <w:rFonts w:eastAsia="Times New Roman"/>
          <w:sz w:val="20"/>
          <w:szCs w:val="20"/>
          <w:lang w:val="pt-BR"/>
        </w:rPr>
        <w:t xml:space="preserve"> (Latreille, 1817), apresentaram preferência a plantas espinhosas, de grande porte ou venenosas (Lubin et al. 1998). Deste modo, as aranhas de sub-bosque da Caatinga podem usar as plantas com espinhos, como a jurema-preta e a algaroba, como um local adequado contra predadores.</w:t>
      </w:r>
    </w:p>
    <w:p>
      <w:pPr>
        <w:spacing w:line="240" w:lineRule="auto"/>
        <w:ind w:firstLine="567"/>
        <w:jc w:val="both"/>
        <w:rPr>
          <w:rFonts w:eastAsia="Times New Roman"/>
          <w:sz w:val="20"/>
          <w:szCs w:val="20"/>
        </w:rPr>
      </w:pPr>
      <w:r>
        <w:rPr>
          <w:rFonts w:eastAsia="Times New Roman"/>
          <w:sz w:val="20"/>
          <w:szCs w:val="20"/>
          <w:lang w:val="pt-BR"/>
        </w:rPr>
        <w:t xml:space="preserve">Os nossos resultados indicaram que as aranhas de sub-bosque da Caatinga independente da exploração da vegetação são habitat generalista com apenas a morfoespécie </w:t>
      </w:r>
      <w:r>
        <w:rPr>
          <w:rFonts w:eastAsia="Times New Roman"/>
          <w:i/>
          <w:sz w:val="20"/>
          <w:szCs w:val="20"/>
          <w:lang w:val="pt-BR"/>
        </w:rPr>
        <w:t xml:space="preserve">Ero </w:t>
      </w:r>
      <w:r>
        <w:rPr>
          <w:rFonts w:eastAsia="Times New Roman"/>
          <w:sz w:val="20"/>
          <w:szCs w:val="20"/>
          <w:lang w:val="pt-BR"/>
        </w:rPr>
        <w:t>sp</w:t>
      </w:r>
      <w:r>
        <w:rPr>
          <w:rFonts w:eastAsia="Times New Roman"/>
          <w:i/>
          <w:sz w:val="20"/>
          <w:szCs w:val="20"/>
          <w:lang w:val="pt-BR"/>
        </w:rPr>
        <w:t>.</w:t>
      </w:r>
      <w:r>
        <w:rPr>
          <w:rFonts w:eastAsia="Times New Roman"/>
          <w:sz w:val="20"/>
          <w:szCs w:val="20"/>
          <w:lang w:val="pt-BR"/>
        </w:rPr>
        <w:t xml:space="preserve"> apresentando especificidade pela planta </w:t>
      </w:r>
      <w:r>
        <w:rPr>
          <w:rFonts w:eastAsia="Times New Roman"/>
          <w:i/>
          <w:sz w:val="20"/>
          <w:szCs w:val="20"/>
          <w:lang w:val="pt-BR"/>
        </w:rPr>
        <w:t>P. pachycladus</w:t>
      </w:r>
      <w:r>
        <w:rPr>
          <w:rFonts w:eastAsia="Times New Roman"/>
          <w:sz w:val="20"/>
          <w:szCs w:val="20"/>
          <w:lang w:val="pt-BR"/>
        </w:rPr>
        <w:t xml:space="preserve">. Os indivíduos do gênero </w:t>
      </w:r>
      <w:r>
        <w:rPr>
          <w:rFonts w:eastAsia="Times New Roman"/>
          <w:i/>
          <w:sz w:val="20"/>
          <w:szCs w:val="20"/>
          <w:lang w:val="pt-BR"/>
        </w:rPr>
        <w:t>Ero</w:t>
      </w:r>
      <w:r>
        <w:rPr>
          <w:rFonts w:eastAsia="Times New Roman"/>
          <w:sz w:val="20"/>
          <w:szCs w:val="20"/>
          <w:lang w:val="pt-BR"/>
        </w:rPr>
        <w:t xml:space="preserve"> correspondem a aranhas principalmente araneofágicas, que se alimentam geralmente de indivíduos das famílias Araneidae e Theriididae. Essas aranhas são conhecidas como “aranhas piratas” por possuírem o hábito de invadir teias orbiculares e simular uma presa se debatendo, atraindo a aranha e predando-a em seguida (Foelix, 2011; Platnick, 1993; Platnick, 2020). Em adição, plantas da espécie </w:t>
      </w:r>
      <w:r>
        <w:rPr>
          <w:rFonts w:eastAsia="Times New Roman"/>
          <w:i/>
          <w:sz w:val="20"/>
          <w:szCs w:val="20"/>
          <w:lang w:val="pt-BR"/>
        </w:rPr>
        <w:t xml:space="preserve">P. pachycladus </w:t>
      </w:r>
      <w:r>
        <w:rPr>
          <w:rFonts w:eastAsia="Times New Roman"/>
          <w:sz w:val="20"/>
          <w:szCs w:val="20"/>
          <w:lang w:val="pt-BR"/>
        </w:rPr>
        <w:t xml:space="preserve">são compostas por grandes ramificações repletas de espinhos. Deste modo a estrutura do </w:t>
      </w:r>
      <w:r>
        <w:rPr>
          <w:rFonts w:eastAsia="Times New Roman"/>
          <w:i/>
          <w:sz w:val="20"/>
          <w:szCs w:val="20"/>
          <w:lang w:val="pt-BR"/>
        </w:rPr>
        <w:t>P. pachycladus</w:t>
      </w:r>
      <w:r>
        <w:rPr>
          <w:rFonts w:eastAsia="Times New Roman"/>
          <w:sz w:val="20"/>
          <w:szCs w:val="20"/>
          <w:lang w:val="pt-BR"/>
        </w:rPr>
        <w:t xml:space="preserve"> pode fornecer os pontos de ancoragem necessários para a construção de teias de aranhas, fornecendo assim recursos alimentares além de proteção através dos espinhos para os indivíduos da morfoespécie </w:t>
      </w:r>
      <w:r>
        <w:rPr>
          <w:rFonts w:eastAsia="Times New Roman"/>
          <w:i/>
          <w:sz w:val="20"/>
          <w:szCs w:val="20"/>
          <w:lang w:val="pt-BR"/>
        </w:rPr>
        <w:t>Ero</w:t>
      </w:r>
      <w:r>
        <w:rPr>
          <w:rFonts w:eastAsia="Times New Roman"/>
          <w:sz w:val="20"/>
          <w:szCs w:val="20"/>
          <w:lang w:val="pt-BR"/>
        </w:rPr>
        <w:t xml:space="preserve"> sp. </w:t>
      </w:r>
    </w:p>
    <w:p>
      <w:pPr>
        <w:spacing w:line="240" w:lineRule="auto"/>
        <w:ind w:firstLine="567"/>
        <w:jc w:val="center"/>
        <w:rPr>
          <w:rFonts w:eastAsia="Times New Roman"/>
          <w:b/>
          <w:sz w:val="20"/>
          <w:szCs w:val="20"/>
          <w:lang w:val="pt-BR"/>
        </w:rPr>
      </w:pPr>
    </w:p>
    <w:p>
      <w:pPr>
        <w:spacing w:line="240" w:lineRule="auto"/>
        <w:jc w:val="both"/>
        <w:rPr>
          <w:rFonts w:eastAsia="Times New Roman"/>
          <w:b/>
          <w:sz w:val="20"/>
          <w:szCs w:val="20"/>
        </w:rPr>
      </w:pPr>
      <w:r>
        <w:rPr>
          <w:rFonts w:eastAsia="Times New Roman"/>
          <w:b/>
          <w:sz w:val="20"/>
          <w:szCs w:val="20"/>
        </w:rPr>
        <w:t>CONCLUSÕES</w:t>
      </w:r>
    </w:p>
    <w:p>
      <w:pPr>
        <w:spacing w:line="240" w:lineRule="auto"/>
        <w:ind w:firstLine="567"/>
        <w:jc w:val="both"/>
        <w:rPr>
          <w:rFonts w:eastAsia="Times New Roman"/>
          <w:sz w:val="20"/>
          <w:szCs w:val="20"/>
          <w:lang w:val="pt-BR"/>
        </w:rPr>
      </w:pPr>
      <w:r>
        <w:rPr>
          <w:rFonts w:eastAsia="Times New Roman"/>
          <w:sz w:val="20"/>
          <w:szCs w:val="20"/>
          <w:lang w:val="pt-BR"/>
        </w:rPr>
        <w:t>Em suma, os nossos resultados sugerem que a jurema-preta e a algaroba comportam a maioria dos indivíduos de aranhas de sub-bosque em uma área de Caatinga possivelmente devido à proteção dos seus espinhos. Contudo, apesar da perturbação antrópica crônica, a assembleia de aranhas de sub-bosque da Caatinga apresenta baixa especificidade por plantas, sendo composta por espécies generalistas.</w:t>
      </w:r>
    </w:p>
    <w:p>
      <w:pPr>
        <w:spacing w:line="240" w:lineRule="auto"/>
        <w:ind w:firstLine="567"/>
        <w:jc w:val="both"/>
        <w:rPr>
          <w:rFonts w:eastAsia="Times New Roman"/>
          <w:sz w:val="20"/>
          <w:szCs w:val="20"/>
        </w:rPr>
      </w:pPr>
    </w:p>
    <w:p>
      <w:pPr>
        <w:spacing w:line="240" w:lineRule="auto"/>
        <w:jc w:val="both"/>
        <w:rPr>
          <w:rFonts w:eastAsia="Times New Roman"/>
          <w:b/>
          <w:sz w:val="20"/>
          <w:szCs w:val="20"/>
        </w:rPr>
      </w:pPr>
      <w:r>
        <w:rPr>
          <w:rFonts w:eastAsia="Times New Roman"/>
          <w:b/>
          <w:sz w:val="20"/>
          <w:szCs w:val="20"/>
        </w:rPr>
        <w:t xml:space="preserve">REFERÊNCIAS </w:t>
      </w:r>
    </w:p>
    <w:p>
      <w:pPr>
        <w:spacing w:line="240" w:lineRule="auto"/>
        <w:jc w:val="both"/>
        <w:rPr>
          <w:rFonts w:eastAsia="Times New Roman"/>
          <w:sz w:val="20"/>
          <w:szCs w:val="20"/>
          <w:lang w:val="pt-BR"/>
        </w:rPr>
      </w:pPr>
      <w:r>
        <w:rPr>
          <w:rFonts w:eastAsia="Times New Roman"/>
          <w:sz w:val="20"/>
          <w:szCs w:val="20"/>
          <w:lang w:val="en-US"/>
        </w:rPr>
        <w:t xml:space="preserve">Bizuet-Flores, M.Y. et al. 2015. </w:t>
      </w:r>
      <w:r>
        <w:rPr>
          <w:rFonts w:eastAsia="Times New Roman"/>
          <w:sz w:val="20"/>
          <w:szCs w:val="20"/>
          <w:lang w:val="pt-BR"/>
        </w:rPr>
        <w:t>Padrões de diversidade de aranhas terrestres (Arachnida: Araneae) em cinco comunidades de plantas predominantes na Bacia de Cuatro Ciénegas, Coahuila, México. Revista mexicana de biodiversidad. v. 86, n. 1, p. 153-163.</w:t>
      </w:r>
    </w:p>
    <w:p>
      <w:pPr>
        <w:spacing w:line="240" w:lineRule="auto"/>
        <w:jc w:val="both"/>
        <w:rPr>
          <w:rFonts w:eastAsia="Times New Roman"/>
          <w:sz w:val="20"/>
          <w:szCs w:val="20"/>
          <w:lang w:val="pt-BR"/>
        </w:rPr>
      </w:pPr>
      <w:r>
        <w:rPr>
          <w:rFonts w:eastAsia="Times New Roman"/>
          <w:sz w:val="20"/>
          <w:szCs w:val="20"/>
          <w:lang w:val="pt-BR"/>
        </w:rPr>
        <w:t xml:space="preserve">Cardoso, M.; Leal, I.R.; Tabarelli, M. Springerlink (Online Service, 2017. </w:t>
      </w:r>
      <w:r>
        <w:rPr>
          <w:rFonts w:eastAsia="Times New Roman"/>
          <w:sz w:val="20"/>
          <w:szCs w:val="20"/>
          <w:lang w:val="en-GB"/>
        </w:rPr>
        <w:t xml:space="preserve">Caatinga : The Largest Tropical Dry Forest Region in South America. </w:t>
      </w:r>
      <w:r>
        <w:rPr>
          <w:rFonts w:eastAsia="Times New Roman"/>
          <w:sz w:val="20"/>
          <w:szCs w:val="20"/>
          <w:lang w:val="pt-BR"/>
        </w:rPr>
        <w:t>Springer International Publishing, Cham</w:t>
      </w:r>
      <w:r>
        <w:rPr>
          <w:rFonts w:ascii="Times New Roman" w:hAnsi="Times New Roman" w:eastAsia="Times New Roman" w:cs="Times New Roman"/>
          <w:sz w:val="24"/>
          <w:szCs w:val="24"/>
          <w:lang w:val="pt-BR"/>
        </w:rPr>
        <w:t>.</w:t>
      </w:r>
    </w:p>
    <w:p>
      <w:pPr>
        <w:spacing w:line="240" w:lineRule="auto"/>
        <w:jc w:val="both"/>
        <w:rPr>
          <w:rFonts w:eastAsia="Times New Roman"/>
          <w:sz w:val="20"/>
          <w:szCs w:val="20"/>
          <w:lang w:val="pt-BR"/>
        </w:rPr>
      </w:pPr>
      <w:r>
        <w:rPr>
          <w:rFonts w:eastAsia="Times New Roman"/>
          <w:sz w:val="20"/>
          <w:szCs w:val="20"/>
          <w:lang w:val="pt-BR"/>
        </w:rPr>
        <w:t>CLIMATE DATA. 2023. Clima Nova Palmeira (Brasil). Disponível em: </w:t>
      </w:r>
    </w:p>
    <w:p>
      <w:pPr>
        <w:spacing w:line="240" w:lineRule="auto"/>
        <w:jc w:val="both"/>
        <w:rPr>
          <w:rFonts w:eastAsia="Times New Roman"/>
          <w:sz w:val="20"/>
          <w:szCs w:val="20"/>
          <w:lang w:val="pt-BR"/>
        </w:rPr>
      </w:pPr>
      <w:r>
        <w:fldChar w:fldCharType="begin"/>
      </w:r>
      <w:r>
        <w:instrText xml:space="preserve"> HYPERLINK "https://pt.climate-data.org/america-do-sul/brasil/paraiba/nova-palmeira-312318/" \h </w:instrText>
      </w:r>
      <w:r>
        <w:fldChar w:fldCharType="separate"/>
      </w:r>
      <w:r>
        <w:rPr>
          <w:rFonts w:eastAsia="Times New Roman"/>
          <w:sz w:val="20"/>
          <w:szCs w:val="20"/>
          <w:lang w:val="pt-BR"/>
        </w:rPr>
        <w:t>https://pt.climate-data.org/america-do-sul/brasil/paraiba/nova-palmeira-312318/</w:t>
      </w:r>
      <w:r>
        <w:rPr>
          <w:rFonts w:eastAsia="Times New Roman"/>
          <w:sz w:val="20"/>
          <w:szCs w:val="20"/>
          <w:lang w:val="pt-BR"/>
        </w:rPr>
        <w:fldChar w:fldCharType="end"/>
      </w:r>
      <w:r>
        <w:rPr>
          <w:rFonts w:eastAsia="Times New Roman"/>
          <w:sz w:val="20"/>
          <w:szCs w:val="20"/>
          <w:lang w:val="pt-BR"/>
        </w:rPr>
        <w:t xml:space="preserve"> . </w:t>
      </w:r>
    </w:p>
    <w:p>
      <w:pPr>
        <w:spacing w:line="240" w:lineRule="auto"/>
        <w:jc w:val="both"/>
        <w:rPr>
          <w:rFonts w:eastAsia="Times New Roman"/>
          <w:sz w:val="20"/>
          <w:szCs w:val="20"/>
          <w:lang w:val="pt-BR"/>
        </w:rPr>
      </w:pPr>
      <w:r>
        <w:rPr>
          <w:rFonts w:eastAsia="Times New Roman"/>
          <w:sz w:val="20"/>
          <w:szCs w:val="20"/>
          <w:lang w:val="pt-BR"/>
        </w:rPr>
        <w:t>Acesso em: 27  mar. 2023.</w:t>
      </w:r>
    </w:p>
    <w:p>
      <w:pPr>
        <w:spacing w:line="240" w:lineRule="auto"/>
        <w:jc w:val="both"/>
        <w:rPr>
          <w:rFonts w:eastAsia="Times New Roman"/>
          <w:sz w:val="20"/>
          <w:szCs w:val="20"/>
          <w:lang w:val="en-GB"/>
        </w:rPr>
      </w:pPr>
      <w:r>
        <w:rPr>
          <w:rFonts w:eastAsia="Times New Roman"/>
          <w:sz w:val="20"/>
          <w:szCs w:val="20"/>
          <w:lang w:val="en-US"/>
        </w:rPr>
        <w:t xml:space="preserve">Dennis, Peter, et al. 2015. </w:t>
      </w:r>
      <w:r>
        <w:rPr>
          <w:rFonts w:eastAsia="Times New Roman"/>
          <w:sz w:val="20"/>
          <w:szCs w:val="20"/>
          <w:lang w:val="en-GB"/>
        </w:rPr>
        <w:t xml:space="preserve">“The Response of Spider (Araneae) Assemblages to Structural Heterogeneity and Prey Abundance in Sub-Montane Vegetation Modified by Conservation Grazing.” Global Ecology and Conservation. 2015. v. 3. p.715–28. </w:t>
      </w:r>
    </w:p>
    <w:p>
      <w:pPr>
        <w:spacing w:line="240" w:lineRule="auto"/>
        <w:jc w:val="both"/>
        <w:rPr>
          <w:rFonts w:eastAsia="Times New Roman"/>
          <w:sz w:val="20"/>
          <w:szCs w:val="20"/>
          <w:lang w:val="en-GB"/>
        </w:rPr>
      </w:pPr>
      <w:r>
        <w:rPr>
          <w:rFonts w:eastAsia="Times New Roman"/>
          <w:sz w:val="20"/>
          <w:szCs w:val="20"/>
          <w:lang w:val="en-GB"/>
        </w:rPr>
        <w:t>Foelix, R. 2011. Biology of Spiders. Oxford University Press; Oxford. 432 pp.</w:t>
      </w:r>
    </w:p>
    <w:p>
      <w:pPr>
        <w:spacing w:line="240" w:lineRule="auto"/>
        <w:jc w:val="both"/>
        <w:rPr>
          <w:rFonts w:eastAsia="Times New Roman"/>
          <w:sz w:val="20"/>
          <w:szCs w:val="20"/>
          <w:lang w:val="en-GB"/>
        </w:rPr>
      </w:pPr>
      <w:r>
        <w:rPr>
          <w:rFonts w:eastAsia="Times New Roman"/>
          <w:sz w:val="20"/>
          <w:szCs w:val="20"/>
          <w:lang w:val="en-GB"/>
        </w:rPr>
        <w:t>Foerster, S. I. A.; Lira, A. F. A.; Almeida, C. G. 2020. Vegetation structure as the main source of variability in scorpion assemblages at small spatial scales and further considerations for the conservation of Caatinga landscapes. Neotropical Biology and Conservation. n. 4, p. 533-551.</w:t>
      </w:r>
    </w:p>
    <w:p>
      <w:pPr>
        <w:spacing w:line="240" w:lineRule="auto"/>
        <w:jc w:val="both"/>
        <w:rPr>
          <w:rFonts w:eastAsia="Times New Roman"/>
          <w:sz w:val="20"/>
          <w:szCs w:val="20"/>
          <w:lang w:val="en-GB"/>
        </w:rPr>
      </w:pPr>
      <w:r>
        <w:rPr>
          <w:rFonts w:eastAsia="Times New Roman"/>
          <w:sz w:val="20"/>
          <w:szCs w:val="20"/>
          <w:lang w:val="es-MX"/>
        </w:rPr>
        <w:t xml:space="preserve">Leal, Inara R. et al. 2005. </w:t>
      </w:r>
      <w:r>
        <w:rPr>
          <w:rFonts w:eastAsia="Times New Roman"/>
          <w:sz w:val="20"/>
          <w:szCs w:val="20"/>
          <w:lang w:val="pt-BR"/>
        </w:rPr>
        <w:t xml:space="preserve">Mudando o curso da conservação da biodiversidade na Caatinga do Nordeste do Brasil. </w:t>
      </w:r>
      <w:r>
        <w:rPr>
          <w:rFonts w:eastAsia="Times New Roman"/>
          <w:sz w:val="20"/>
          <w:szCs w:val="20"/>
          <w:lang w:val="en-GB"/>
        </w:rPr>
        <w:t>Megadiversidade. v. 1, n. 1, p. 139-146.</w:t>
      </w:r>
    </w:p>
    <w:p>
      <w:pPr>
        <w:spacing w:line="240" w:lineRule="auto"/>
        <w:jc w:val="both"/>
        <w:rPr>
          <w:rFonts w:eastAsia="Times New Roman"/>
          <w:i/>
          <w:iCs/>
          <w:sz w:val="20"/>
          <w:szCs w:val="20"/>
          <w:lang w:val="en-GB"/>
        </w:rPr>
      </w:pPr>
      <w:r>
        <w:rPr>
          <w:rFonts w:eastAsia="Times New Roman"/>
          <w:sz w:val="20"/>
          <w:szCs w:val="20"/>
          <w:lang w:val="en-GB"/>
        </w:rPr>
        <w:t xml:space="preserve">Lubin, Y.; Hennicke, J.; Schneider, J. 1998. Settling decisions of dispersing </w:t>
      </w:r>
      <w:r>
        <w:rPr>
          <w:rFonts w:eastAsia="Times New Roman"/>
          <w:i/>
          <w:iCs/>
          <w:sz w:val="20"/>
          <w:szCs w:val="20"/>
          <w:lang w:val="en-GB"/>
        </w:rPr>
        <w:t>Stegodyphus</w:t>
      </w:r>
    </w:p>
    <w:p>
      <w:pPr>
        <w:spacing w:line="240" w:lineRule="auto"/>
        <w:jc w:val="both"/>
        <w:rPr>
          <w:rFonts w:eastAsia="Times New Roman"/>
          <w:sz w:val="20"/>
          <w:szCs w:val="20"/>
          <w:lang w:val="pt-BR"/>
        </w:rPr>
      </w:pPr>
      <w:r>
        <w:rPr>
          <w:rFonts w:eastAsia="Times New Roman"/>
          <w:i/>
          <w:iCs/>
          <w:sz w:val="20"/>
          <w:szCs w:val="20"/>
          <w:lang w:val="en-GB"/>
        </w:rPr>
        <w:t>lineatus</w:t>
      </w:r>
      <w:r>
        <w:rPr>
          <w:rFonts w:eastAsia="Times New Roman"/>
          <w:sz w:val="20"/>
          <w:szCs w:val="20"/>
          <w:lang w:val="en-GB"/>
        </w:rPr>
        <w:t xml:space="preserve"> (Eresidae) young. Isr. J. Ecol. </w:t>
      </w:r>
      <w:r>
        <w:rPr>
          <w:rFonts w:eastAsia="Times New Roman"/>
          <w:sz w:val="20"/>
          <w:szCs w:val="20"/>
          <w:lang w:val="pt-BR"/>
        </w:rPr>
        <w:t>Evol. 44, 217–225.</w:t>
      </w:r>
    </w:p>
    <w:p>
      <w:pPr>
        <w:spacing w:line="240" w:lineRule="auto"/>
        <w:jc w:val="both"/>
        <w:rPr>
          <w:rFonts w:eastAsia="Times New Roman"/>
          <w:sz w:val="20"/>
          <w:szCs w:val="20"/>
          <w:lang w:val="pt-BR"/>
        </w:rPr>
      </w:pPr>
      <w:r>
        <w:rPr>
          <w:rFonts w:eastAsia="Times New Roman"/>
          <w:sz w:val="20"/>
          <w:szCs w:val="20"/>
          <w:lang w:val="pt-BR"/>
        </w:rPr>
        <w:t>Maia-Silva, C.; Silva, C. I. da; Hrncir, M. 2012. Guia de plantas visitadas por abelhas na</w:t>
      </w:r>
    </w:p>
    <w:p>
      <w:pPr>
        <w:spacing w:line="240" w:lineRule="auto"/>
        <w:jc w:val="both"/>
        <w:rPr>
          <w:rFonts w:eastAsia="Times New Roman"/>
          <w:sz w:val="20"/>
          <w:szCs w:val="20"/>
          <w:lang w:val="pt-BR"/>
        </w:rPr>
      </w:pPr>
      <w:r>
        <w:rPr>
          <w:rFonts w:eastAsia="Times New Roman"/>
          <w:sz w:val="20"/>
          <w:szCs w:val="20"/>
          <w:lang w:val="pt-BR"/>
        </w:rPr>
        <w:t>Caatinga, 1. ed. Fortaleza, CE: Editora Fundação Brasil Cidadão.</w:t>
      </w:r>
    </w:p>
    <w:p>
      <w:pPr>
        <w:spacing w:line="240" w:lineRule="auto"/>
        <w:jc w:val="both"/>
        <w:rPr>
          <w:rFonts w:eastAsia="Times New Roman"/>
          <w:sz w:val="20"/>
          <w:szCs w:val="20"/>
          <w:lang w:val="en-GB"/>
        </w:rPr>
      </w:pPr>
      <w:r>
        <w:rPr>
          <w:rFonts w:eastAsia="Times New Roman"/>
          <w:sz w:val="20"/>
          <w:szCs w:val="20"/>
          <w:lang w:val="en-GB"/>
        </w:rPr>
        <w:t xml:space="preserve">Martorell C, Peters E. M. 2005. The measurement of chronic disturbance and its effects on the threatened cactus </w:t>
      </w:r>
      <w:r>
        <w:rPr>
          <w:rFonts w:eastAsia="Times New Roman"/>
          <w:i/>
          <w:iCs/>
          <w:sz w:val="20"/>
          <w:szCs w:val="20"/>
          <w:lang w:val="en-GB"/>
        </w:rPr>
        <w:t>Mammillaria pectinifera</w:t>
      </w:r>
      <w:r>
        <w:rPr>
          <w:rFonts w:eastAsia="Times New Roman"/>
          <w:sz w:val="20"/>
          <w:szCs w:val="20"/>
          <w:lang w:val="en-GB"/>
        </w:rPr>
        <w:t>. Biological Conservation.  v. 124. p. 199-207.</w:t>
      </w:r>
    </w:p>
    <w:p>
      <w:pPr>
        <w:spacing w:line="240" w:lineRule="auto"/>
        <w:jc w:val="both"/>
        <w:rPr>
          <w:rFonts w:eastAsia="Times New Roman"/>
          <w:sz w:val="20"/>
          <w:szCs w:val="20"/>
          <w:lang w:val="en-GB"/>
        </w:rPr>
      </w:pPr>
      <w:r>
        <w:rPr>
          <w:rFonts w:eastAsia="Times New Roman"/>
          <w:sz w:val="20"/>
          <w:szCs w:val="20"/>
          <w:lang w:val="en-GB"/>
        </w:rPr>
        <w:t>Mooney, H.A. &amp; Hobbs, R.J. 2000. Invasive species in a changing world. Island Press, Washington.</w:t>
      </w:r>
    </w:p>
    <w:p>
      <w:pPr>
        <w:spacing w:line="240" w:lineRule="auto"/>
        <w:jc w:val="both"/>
        <w:rPr>
          <w:rFonts w:eastAsia="Times New Roman"/>
          <w:sz w:val="20"/>
          <w:szCs w:val="20"/>
          <w:lang w:val="en-GB"/>
        </w:rPr>
      </w:pPr>
      <w:r>
        <w:rPr>
          <w:rFonts w:eastAsia="Times New Roman"/>
          <w:sz w:val="20"/>
          <w:szCs w:val="20"/>
          <w:lang w:val="en-GB"/>
        </w:rPr>
        <w:t xml:space="preserve">Morse, D.H., 1988. Relationship Between Crab Spider </w:t>
      </w:r>
      <w:r>
        <w:rPr>
          <w:rFonts w:eastAsia="Times New Roman"/>
          <w:i/>
          <w:iCs/>
          <w:sz w:val="20"/>
          <w:szCs w:val="20"/>
          <w:lang w:val="en-GB"/>
        </w:rPr>
        <w:t>Misumena vatia</w:t>
      </w:r>
      <w:r>
        <w:rPr>
          <w:rFonts w:eastAsia="Times New Roman"/>
          <w:sz w:val="20"/>
          <w:szCs w:val="20"/>
          <w:lang w:val="en-GB"/>
        </w:rPr>
        <w:t xml:space="preserve"> Nesting Success and Earlier Patch-Choice Decisions. Ecology 69, 1970–1973. </w:t>
      </w:r>
    </w:p>
    <w:p>
      <w:pPr>
        <w:spacing w:line="240" w:lineRule="auto"/>
        <w:jc w:val="both"/>
        <w:rPr>
          <w:rFonts w:eastAsia="Times New Roman"/>
          <w:sz w:val="20"/>
          <w:szCs w:val="20"/>
          <w:lang w:val="en-GB"/>
        </w:rPr>
      </w:pPr>
      <w:r>
        <w:rPr>
          <w:rFonts w:eastAsia="Times New Roman"/>
          <w:sz w:val="20"/>
          <w:szCs w:val="20"/>
          <w:lang w:val="en-GB"/>
        </w:rPr>
        <w:t>Parker, I.M.et al. 1999. Impact: toward a framework for understanding the ecological effects of invaders. Biological Invasions. v. 1. p. 3-19.</w:t>
      </w:r>
    </w:p>
    <w:p>
      <w:pPr>
        <w:spacing w:line="240" w:lineRule="auto"/>
        <w:jc w:val="both"/>
        <w:rPr>
          <w:rFonts w:eastAsia="Times New Roman"/>
          <w:sz w:val="20"/>
          <w:szCs w:val="20"/>
          <w:lang w:val="en-GB"/>
        </w:rPr>
      </w:pPr>
      <w:r>
        <w:rPr>
          <w:rFonts w:eastAsia="Times New Roman"/>
          <w:sz w:val="20"/>
          <w:szCs w:val="20"/>
          <w:lang w:val="en-GB"/>
        </w:rPr>
        <w:t>Platnick, N. I., &amp; Shadab, M. U. 1993. A review of the pirate spiders (Aranae, Mimetidae) of</w:t>
      </w:r>
    </w:p>
    <w:p>
      <w:pPr>
        <w:spacing w:line="240" w:lineRule="auto"/>
        <w:jc w:val="both"/>
        <w:rPr>
          <w:rFonts w:eastAsia="Times New Roman"/>
          <w:sz w:val="20"/>
          <w:szCs w:val="20"/>
          <w:lang w:val="en-GB"/>
        </w:rPr>
      </w:pPr>
      <w:r>
        <w:rPr>
          <w:rFonts w:eastAsia="Times New Roman"/>
          <w:sz w:val="20"/>
          <w:szCs w:val="20"/>
          <w:lang w:val="en-GB"/>
        </w:rPr>
        <w:t>Chile. American Museum novitates; no. 3074.</w:t>
      </w:r>
    </w:p>
    <w:p>
      <w:pPr>
        <w:spacing w:line="240" w:lineRule="auto"/>
        <w:jc w:val="both"/>
        <w:rPr>
          <w:rFonts w:eastAsia="Times New Roman"/>
          <w:sz w:val="20"/>
          <w:szCs w:val="20"/>
          <w:lang w:val="pt-BR"/>
        </w:rPr>
      </w:pPr>
      <w:r>
        <w:rPr>
          <w:rFonts w:eastAsia="Times New Roman"/>
          <w:sz w:val="20"/>
          <w:szCs w:val="20"/>
          <w:lang w:val="en-GB"/>
        </w:rPr>
        <w:t xml:space="preserve">Platnick, N. 1995. An abundance of spiders. </w:t>
      </w:r>
      <w:r>
        <w:rPr>
          <w:rFonts w:eastAsia="Times New Roman"/>
          <w:sz w:val="20"/>
          <w:szCs w:val="20"/>
          <w:lang w:val="pt-BR"/>
        </w:rPr>
        <w:t>Natural History, 104(3), 50-53.</w:t>
      </w:r>
    </w:p>
    <w:p>
      <w:pPr>
        <w:spacing w:line="240" w:lineRule="auto"/>
        <w:jc w:val="both"/>
        <w:rPr>
          <w:rFonts w:eastAsia="Times New Roman"/>
          <w:sz w:val="20"/>
          <w:szCs w:val="20"/>
          <w:lang w:val="pt-BR"/>
        </w:rPr>
      </w:pPr>
      <w:r>
        <w:rPr>
          <w:rFonts w:eastAsia="Times New Roman"/>
          <w:sz w:val="20"/>
          <w:szCs w:val="20"/>
          <w:lang w:val="pt-BR"/>
        </w:rPr>
        <w:t>Ribaski, Jorge et al. 2009. Algaroba (</w:t>
      </w:r>
      <w:r>
        <w:rPr>
          <w:rFonts w:eastAsia="Times New Roman"/>
          <w:i/>
          <w:iCs/>
          <w:sz w:val="20"/>
          <w:szCs w:val="20"/>
          <w:lang w:val="pt-BR"/>
        </w:rPr>
        <w:t>Prosopis juliflora</w:t>
      </w:r>
      <w:r>
        <w:rPr>
          <w:rFonts w:eastAsia="Times New Roman"/>
          <w:sz w:val="20"/>
          <w:szCs w:val="20"/>
          <w:lang w:val="pt-BR"/>
        </w:rPr>
        <w:t>): árvore de uso múltiplo para a região semiárida brasileira. </w:t>
      </w:r>
    </w:p>
    <w:p>
      <w:pPr>
        <w:spacing w:line="240" w:lineRule="auto"/>
        <w:jc w:val="both"/>
        <w:rPr>
          <w:rFonts w:eastAsia="Times New Roman"/>
          <w:sz w:val="20"/>
          <w:szCs w:val="20"/>
          <w:lang w:val="en-GB"/>
        </w:rPr>
      </w:pPr>
      <w:r>
        <w:rPr>
          <w:rFonts w:eastAsia="Times New Roman"/>
          <w:sz w:val="20"/>
          <w:szCs w:val="20"/>
          <w:lang w:val="pt-BR"/>
        </w:rPr>
        <w:t xml:space="preserve">Ribeiro, E. M. S. et al. 2015. </w:t>
      </w:r>
      <w:r>
        <w:rPr>
          <w:rFonts w:eastAsia="Times New Roman"/>
          <w:sz w:val="20"/>
          <w:szCs w:val="20"/>
          <w:lang w:val="en-GB"/>
        </w:rPr>
        <w:t>Chronic anthropogenic disturbance drives the biological impoverishment of the Brazilian Caatinga vegetation. Journal of Applied Ecology. v. 52. p. 611–620.</w:t>
      </w:r>
    </w:p>
    <w:p>
      <w:pPr>
        <w:spacing w:line="240" w:lineRule="auto"/>
        <w:jc w:val="both"/>
        <w:rPr>
          <w:rFonts w:eastAsia="Times New Roman"/>
          <w:sz w:val="20"/>
          <w:szCs w:val="20"/>
          <w:lang w:val="en-GB"/>
        </w:rPr>
      </w:pPr>
      <w:r>
        <w:rPr>
          <w:rFonts w:eastAsia="Times New Roman"/>
          <w:sz w:val="20"/>
          <w:szCs w:val="20"/>
        </w:rPr>
        <w:t>Rose, C., Schramm, A., Irish, J., Bilde, T., &amp; Bird, T. L. 2021. Host plant availability and nest-site selection of the social spider Stegodyphus dumicola Pocock, 1898 (Eresidae). </w:t>
      </w:r>
      <w:r>
        <w:rPr>
          <w:rFonts w:eastAsia="Times New Roman"/>
          <w:i/>
          <w:iCs/>
          <w:sz w:val="20"/>
          <w:szCs w:val="20"/>
        </w:rPr>
        <w:t>Insects</w:t>
      </w:r>
      <w:r>
        <w:rPr>
          <w:rFonts w:eastAsia="Times New Roman"/>
          <w:sz w:val="20"/>
          <w:szCs w:val="20"/>
        </w:rPr>
        <w:t>, </w:t>
      </w:r>
      <w:r>
        <w:rPr>
          <w:rFonts w:eastAsia="Times New Roman"/>
          <w:i/>
          <w:iCs/>
          <w:sz w:val="20"/>
          <w:szCs w:val="20"/>
        </w:rPr>
        <w:t>13</w:t>
      </w:r>
      <w:r>
        <w:rPr>
          <w:rFonts w:eastAsia="Times New Roman"/>
          <w:sz w:val="20"/>
          <w:szCs w:val="20"/>
        </w:rPr>
        <w:t>(1), 30.</w:t>
      </w:r>
    </w:p>
    <w:p>
      <w:pPr>
        <w:spacing w:line="240" w:lineRule="auto"/>
        <w:jc w:val="both"/>
        <w:rPr>
          <w:rFonts w:eastAsia="Times New Roman"/>
          <w:sz w:val="20"/>
          <w:szCs w:val="20"/>
          <w:lang w:val="en-GB"/>
        </w:rPr>
      </w:pPr>
      <w:r>
        <w:rPr>
          <w:rFonts w:eastAsia="Times New Roman"/>
          <w:sz w:val="20"/>
          <w:szCs w:val="20"/>
          <w:lang w:val="en-GB"/>
        </w:rPr>
        <w:t>Sagar, R., A. S. Raghubanshi, and J. S. Singh. 2003. Tree species composition, dispersion and diversity along a disturbance gradient in a dry tropical forest region of India. Forest Ecology and Management. v. 186. p. 61–71.</w:t>
      </w:r>
    </w:p>
    <w:p>
      <w:pPr>
        <w:spacing w:line="240" w:lineRule="auto"/>
        <w:jc w:val="both"/>
        <w:rPr>
          <w:rFonts w:eastAsia="Times New Roman"/>
          <w:sz w:val="20"/>
          <w:szCs w:val="20"/>
          <w:lang w:val="pt-BR"/>
        </w:rPr>
      </w:pPr>
      <w:r>
        <w:rPr>
          <w:rFonts w:eastAsia="Times New Roman"/>
          <w:sz w:val="20"/>
          <w:szCs w:val="20"/>
          <w:lang w:val="en-GB"/>
        </w:rPr>
        <w:t xml:space="preserve">Singh, S. 1998. P. Chronic disturbance, a principal cause of environmental degradation in developing countries. </w:t>
      </w:r>
      <w:r>
        <w:rPr>
          <w:rFonts w:eastAsia="Times New Roman"/>
          <w:sz w:val="20"/>
          <w:szCs w:val="20"/>
          <w:lang w:val="pt-BR"/>
        </w:rPr>
        <w:t>Environmental Conservation. v.  25. p.1-2.</w:t>
      </w:r>
    </w:p>
    <w:p>
      <w:pPr>
        <w:spacing w:line="240" w:lineRule="auto"/>
        <w:jc w:val="both"/>
        <w:rPr>
          <w:rFonts w:eastAsia="Times New Roman"/>
          <w:sz w:val="20"/>
          <w:szCs w:val="20"/>
          <w:lang w:val="en-GB"/>
        </w:rPr>
      </w:pPr>
      <w:r>
        <w:rPr>
          <w:rFonts w:eastAsia="Times New Roman"/>
          <w:sz w:val="20"/>
          <w:szCs w:val="20"/>
          <w:lang w:val="pt-BR"/>
        </w:rPr>
        <w:t xml:space="preserve">Tigre, C.B., 1970. Silvicultura Para as Matas Xerófilas. Inistério Do Interior, Departamento Nacional De Obras Contra as Sêcas. </w:t>
      </w:r>
      <w:r>
        <w:rPr>
          <w:rFonts w:eastAsia="Times New Roman"/>
          <w:sz w:val="20"/>
          <w:szCs w:val="20"/>
          <w:lang w:val="en-GB"/>
        </w:rPr>
        <w:t>243.</w:t>
      </w:r>
    </w:p>
    <w:p>
      <w:pPr>
        <w:spacing w:line="240" w:lineRule="auto"/>
        <w:jc w:val="both"/>
        <w:rPr>
          <w:rFonts w:eastAsia="Times New Roman"/>
          <w:sz w:val="20"/>
          <w:szCs w:val="20"/>
          <w:lang w:val="pt-BR"/>
        </w:rPr>
      </w:pPr>
      <w:r>
        <w:rPr>
          <w:rFonts w:eastAsia="Times New Roman"/>
          <w:sz w:val="20"/>
          <w:szCs w:val="20"/>
          <w:lang w:val="en-GB"/>
        </w:rPr>
        <w:t xml:space="preserve">Williamson, M. &amp; Fitter. 1996. The characters of successful invaders. </w:t>
      </w:r>
      <w:r>
        <w:rPr>
          <w:rFonts w:eastAsia="Times New Roman"/>
          <w:sz w:val="20"/>
          <w:szCs w:val="20"/>
          <w:lang w:val="pt-BR"/>
        </w:rPr>
        <w:t>Biological Conservation. v. 78. p. 163-170.</w:t>
      </w:r>
    </w:p>
    <w:p>
      <w:pPr>
        <w:spacing w:line="240" w:lineRule="auto"/>
        <w:jc w:val="both"/>
        <w:rPr>
          <w:rFonts w:eastAsia="Times New Roman"/>
          <w:b/>
          <w:sz w:val="20"/>
          <w:szCs w:val="20"/>
        </w:rPr>
      </w:pPr>
    </w:p>
    <w:p>
      <w:pPr>
        <w:spacing w:line="240" w:lineRule="auto"/>
        <w:jc w:val="both"/>
        <w:rPr>
          <w:sz w:val="20"/>
          <w:szCs w:val="20"/>
        </w:rPr>
      </w:pPr>
    </w:p>
    <w:sectPr>
      <w:headerReference r:id="rId5" w:type="default"/>
      <w:pgSz w:w="11909" w:h="16834"/>
      <w:pgMar w:top="25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spacing w:before="708" w:line="240" w:lineRule="auto"/>
      <w:jc w:val="both"/>
    </w:pPr>
    <w:r>
      <w:rPr>
        <w:rFonts w:ascii="Calibri" w:hAnsi="Calibri" w:eastAsia="Calibri" w:cs="Calibri"/>
        <w:color w:val="FFFFFF"/>
        <w:lang w:val="pt-BR"/>
      </w:rPr>
      <w:drawing>
        <wp:inline distT="0" distB="0" distL="114300" distR="114300">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hAnsi="Calibri" w:eastAsia="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C8"/>
    <w:rsid w:val="00063FF7"/>
    <w:rsid w:val="000A0211"/>
    <w:rsid w:val="00130E25"/>
    <w:rsid w:val="00193AE4"/>
    <w:rsid w:val="002D050F"/>
    <w:rsid w:val="004157FC"/>
    <w:rsid w:val="00434BF8"/>
    <w:rsid w:val="004E5407"/>
    <w:rsid w:val="00581FB0"/>
    <w:rsid w:val="005C4CB2"/>
    <w:rsid w:val="005E34A6"/>
    <w:rsid w:val="006A29CC"/>
    <w:rsid w:val="0074148D"/>
    <w:rsid w:val="00796FBB"/>
    <w:rsid w:val="007F6EE4"/>
    <w:rsid w:val="008B229B"/>
    <w:rsid w:val="008E1D06"/>
    <w:rsid w:val="00962DEF"/>
    <w:rsid w:val="00A30DBE"/>
    <w:rsid w:val="00B555C8"/>
    <w:rsid w:val="00BC3678"/>
    <w:rsid w:val="00C5435E"/>
    <w:rsid w:val="00D233DE"/>
    <w:rsid w:val="00DA36B0"/>
    <w:rsid w:val="00E1011C"/>
    <w:rsid w:val="00F74693"/>
    <w:rsid w:val="00FC6916"/>
    <w:rsid w:val="00FE162D"/>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5C6B273F"/>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pPr>
      <w:spacing w:line="276" w:lineRule="auto"/>
    </w:pPr>
    <w:rPr>
      <w:rFonts w:ascii="Arial" w:hAnsi="Arial" w:eastAsia="Arial" w:cs="Arial"/>
      <w:sz w:val="22"/>
      <w:szCs w:val="22"/>
      <w:lang w:val="zh-CN" w:eastAsia="pt-BR"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qFormat/>
    <w:uiPriority w:val="0"/>
    <w:pPr>
      <w:keepNext/>
      <w:keepLines/>
      <w:spacing w:before="360" w:after="120"/>
      <w:outlineLvl w:val="1"/>
    </w:pPr>
    <w:rPr>
      <w:sz w:val="32"/>
      <w:szCs w:val="32"/>
    </w:rPr>
  </w:style>
  <w:style w:type="paragraph" w:styleId="4">
    <w:name w:val="heading 3"/>
    <w:basedOn w:val="1"/>
    <w:next w:val="1"/>
    <w:qFormat/>
    <w:uiPriority w:val="0"/>
    <w:pPr>
      <w:keepNext/>
      <w:keepLines/>
      <w:spacing w:before="320" w:after="80"/>
      <w:outlineLvl w:val="2"/>
    </w:pPr>
    <w:rPr>
      <w:color w:val="434343"/>
      <w:sz w:val="28"/>
      <w:szCs w:val="28"/>
    </w:rPr>
  </w:style>
  <w:style w:type="paragraph" w:styleId="5">
    <w:name w:val="heading 4"/>
    <w:basedOn w:val="1"/>
    <w:next w:val="1"/>
    <w:uiPriority w:val="0"/>
    <w:pPr>
      <w:keepNext/>
      <w:keepLines/>
      <w:spacing w:before="280" w:after="80"/>
      <w:outlineLvl w:val="3"/>
    </w:pPr>
    <w:rPr>
      <w:color w:val="666666"/>
      <w:sz w:val="24"/>
      <w:szCs w:val="24"/>
    </w:rPr>
  </w:style>
  <w:style w:type="paragraph" w:styleId="6">
    <w:name w:val="heading 5"/>
    <w:basedOn w:val="1"/>
    <w:next w:val="1"/>
    <w:qFormat/>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qFormat/>
    <w:uiPriority w:val="0"/>
    <w:rPr>
      <w:sz w:val="16"/>
      <w:szCs w:val="16"/>
    </w:rPr>
  </w:style>
  <w:style w:type="character" w:styleId="11">
    <w:name w:val="Hyperlink"/>
    <w:basedOn w:val="8"/>
    <w:uiPriority w:val="0"/>
    <w:rPr>
      <w:color w:val="0000FF" w:themeColor="hyperlink"/>
      <w:u w:val="single"/>
      <w14:textFill>
        <w14:solidFill>
          <w14:schemeClr w14:val="hlink"/>
        </w14:solidFill>
      </w14:textFill>
    </w:rPr>
  </w:style>
  <w:style w:type="paragraph" w:styleId="12">
    <w:name w:val="annotation text"/>
    <w:basedOn w:val="1"/>
    <w:link w:val="20"/>
    <w:qFormat/>
    <w:uiPriority w:val="0"/>
    <w:pPr>
      <w:spacing w:line="240" w:lineRule="auto"/>
    </w:pPr>
    <w:rPr>
      <w:sz w:val="20"/>
      <w:szCs w:val="20"/>
    </w:rPr>
  </w:style>
  <w:style w:type="paragraph" w:styleId="13">
    <w:name w:val="Title"/>
    <w:basedOn w:val="1"/>
    <w:next w:val="1"/>
    <w:qFormat/>
    <w:uiPriority w:val="0"/>
    <w:pPr>
      <w:keepNext/>
      <w:keepLines/>
      <w:spacing w:after="60"/>
    </w:pPr>
    <w:rPr>
      <w:sz w:val="52"/>
      <w:szCs w:val="52"/>
    </w:rPr>
  </w:style>
  <w:style w:type="paragraph" w:styleId="14">
    <w:name w:val="annotation subject"/>
    <w:basedOn w:val="12"/>
    <w:next w:val="12"/>
    <w:link w:val="21"/>
    <w:qFormat/>
    <w:uiPriority w:val="0"/>
    <w:rPr>
      <w:b/>
      <w:bCs/>
    </w:rPr>
  </w:style>
  <w:style w:type="paragraph" w:styleId="15">
    <w:name w:val="footer"/>
    <w:basedOn w:val="1"/>
    <w:qFormat/>
    <w:uiPriority w:val="0"/>
    <w:pPr>
      <w:tabs>
        <w:tab w:val="center" w:pos="4252"/>
        <w:tab w:val="right" w:pos="8504"/>
      </w:tabs>
    </w:pPr>
  </w:style>
  <w:style w:type="paragraph" w:styleId="16">
    <w:name w:val="Balloon Text"/>
    <w:basedOn w:val="1"/>
    <w:link w:val="19"/>
    <w:uiPriority w:val="0"/>
    <w:pPr>
      <w:spacing w:line="240" w:lineRule="auto"/>
    </w:pPr>
    <w:rPr>
      <w:rFonts w:ascii="Tahoma" w:hAnsi="Tahoma" w:cs="Tahoma"/>
      <w:sz w:val="16"/>
      <w:szCs w:val="16"/>
    </w:rPr>
  </w:style>
  <w:style w:type="paragraph" w:styleId="17">
    <w:name w:val="Subtitle"/>
    <w:basedOn w:val="1"/>
    <w:next w:val="1"/>
    <w:qFormat/>
    <w:uiPriority w:val="0"/>
    <w:pPr>
      <w:keepNext/>
      <w:keepLines/>
      <w:spacing w:after="320"/>
    </w:pPr>
    <w:rPr>
      <w:color w:val="666666"/>
      <w:sz w:val="30"/>
      <w:szCs w:val="30"/>
    </w:rPr>
  </w:style>
  <w:style w:type="table" w:customStyle="1" w:styleId="18">
    <w:name w:val="Table Normal"/>
    <w:qFormat/>
    <w:uiPriority w:val="0"/>
    <w:tblPr>
      <w:tblCellMar>
        <w:top w:w="0" w:type="dxa"/>
        <w:left w:w="0" w:type="dxa"/>
        <w:bottom w:w="0" w:type="dxa"/>
        <w:right w:w="0" w:type="dxa"/>
      </w:tblCellMar>
    </w:tblPr>
  </w:style>
  <w:style w:type="character" w:customStyle="1" w:styleId="19">
    <w:name w:val="Texto de balão Char"/>
    <w:basedOn w:val="8"/>
    <w:link w:val="16"/>
    <w:uiPriority w:val="0"/>
    <w:rPr>
      <w:rFonts w:ascii="Tahoma" w:hAnsi="Tahoma" w:cs="Tahoma"/>
      <w:sz w:val="16"/>
      <w:szCs w:val="16"/>
      <w:lang w:val="zh-CN"/>
    </w:rPr>
  </w:style>
  <w:style w:type="character" w:customStyle="1" w:styleId="20">
    <w:name w:val="Texto de comentário Char"/>
    <w:basedOn w:val="8"/>
    <w:link w:val="12"/>
    <w:uiPriority w:val="0"/>
    <w:rPr>
      <w:lang w:val="zh-CN"/>
    </w:rPr>
  </w:style>
  <w:style w:type="character" w:customStyle="1" w:styleId="21">
    <w:name w:val="Assunto do comentário Char"/>
    <w:basedOn w:val="20"/>
    <w:link w:val="14"/>
    <w:qFormat/>
    <w:uiPriority w:val="0"/>
    <w:rPr>
      <w:b/>
      <w:bCs/>
      <w:lang w:val="zh-CN"/>
    </w:rPr>
  </w:style>
  <w:style w:type="paragraph" w:customStyle="1" w:styleId="22">
    <w:name w:val="Revision"/>
    <w:hidden/>
    <w:unhideWhenUsed/>
    <w:uiPriority w:val="99"/>
    <w:rPr>
      <w:rFonts w:ascii="Arial" w:hAnsi="Arial" w:eastAsia="Arial" w:cs="Arial"/>
      <w:sz w:val="22"/>
      <w:szCs w:val="22"/>
      <w:lang w:val="zh-CN" w:eastAsia="pt-BR"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2C021-4689-4C8B-9A03-75D95D2C4C35}">
  <ds:schemaRefs/>
</ds:datastoreItem>
</file>

<file path=docProps/app.xml><?xml version="1.0" encoding="utf-8"?>
<Properties xmlns="http://schemas.openxmlformats.org/officeDocument/2006/extended-properties" xmlns:vt="http://schemas.openxmlformats.org/officeDocument/2006/docPropsVTypes">
  <Template>Normal</Template>
  <Pages>3</Pages>
  <Words>1794</Words>
  <Characters>9691</Characters>
  <Lines>80</Lines>
  <Paragraphs>22</Paragraphs>
  <TotalTime>20</TotalTime>
  <ScaleCrop>false</ScaleCrop>
  <LinksUpToDate>false</LinksUpToDate>
  <CharactersWithSpaces>11463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2023-09-16T00:58:00Z</dcterms:created>
  <dc:creator>jesse</dc:creator>
  <cp:lastModifiedBy>Lenovo</cp:lastModifiedBy>
  <dcterms:modified xsi:type="dcterms:W3CDTF">2023-10-03T19:25:39Z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1046-12.2.0.13215</vt:lpwstr>
  </property>
  <property fmtid="{D5CDD505-2E9C-101B-9397-08002B2CF9AE}" pid="3" name="ICV">
    <vt:lpwstr>D5BB613F95B6437586B13EEBF132FA5E_13</vt:lpwstr>
  </property>
  <property fmtid="{D5CDD505-2E9C-101B-9397-08002B2CF9AE}" pid="4" name="GrammarlyDocumentId">
    <vt:lpwstr>effd6cd44c9ef69f915020a947ce0ec4f367a8d184ba27a4b078de75c837e13a</vt:lpwstr>
  </property>
</Properties>
</file>