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PLATAFORMA ONLINE COM DIRETRIZES DE CUIDADO INTEGRAL AO PORTADOR DE DOENÇAS CRÔNICAS: ASSOCIAÇÃO ENTRE TEORIA E PRÁTICA NA GESTÃO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GABRIELLE ELVIRA FERREIRA CAMILO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sz w:val="20"/>
          <w:szCs w:val="20"/>
          <w:rtl w:val="0"/>
        </w:rPr>
        <w:t xml:space="preserve">; </w:t>
      </w:r>
      <w:r w:rsidDel="00000000" w:rsidR="00000000" w:rsidRPr="00000000">
        <w:rPr>
          <w:sz w:val="20"/>
          <w:szCs w:val="20"/>
          <w:rtl w:val="0"/>
        </w:rPr>
        <w:t xml:space="preserve">GIULIA GOES PACHECO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; LUCIANO FEITOSA D’ALMEIDA FILHO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; MARÍLIA DE ARAÚJO </w:t>
      </w:r>
      <w:r w:rsidDel="00000000" w:rsidR="00000000" w:rsidRPr="00000000">
        <w:rPr>
          <w:sz w:val="20"/>
          <w:szCs w:val="20"/>
          <w:rtl w:val="0"/>
        </w:rPr>
        <w:t xml:space="preserve">ALVES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; CAMILA DE BARROS PRADO MOURA-</w:t>
      </w:r>
      <w:r w:rsidDel="00000000" w:rsidR="00000000" w:rsidRPr="00000000">
        <w:rPr>
          <w:sz w:val="20"/>
          <w:szCs w:val="20"/>
          <w:rtl w:val="0"/>
        </w:rPr>
        <w:t xml:space="preserve">SALES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sz w:val="20"/>
          <w:szCs w:val="20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color w:val="000000"/>
          <w:sz w:val="18"/>
          <w:szCs w:val="18"/>
          <w:highlight w:val="white"/>
        </w:rPr>
      </w:pPr>
      <w:r w:rsidDel="00000000" w:rsidR="00000000" w:rsidRPr="00000000">
        <w:rPr>
          <w:color w:val="000000"/>
          <w:sz w:val="14"/>
          <w:szCs w:val="14"/>
          <w:highlight w:val="white"/>
          <w:vertAlign w:val="superscript"/>
          <w:rtl w:val="0"/>
        </w:rPr>
        <w:t xml:space="preserve">1,2,3,4,5</w:t>
      </w: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 Centro Universitário CESMAC, Maceió, AL, Brasil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*Email do primeiro autor: gabrielleccamilo@gmail.com</w:t>
      </w:r>
    </w:p>
    <w:p w:rsidR="00000000" w:rsidDel="00000000" w:rsidP="00000000" w:rsidRDefault="00000000" w:rsidRPr="00000000" w14:paraId="0000000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*E-mail: do orientador: camila.sales@cesmac.edu.br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Introdução:</w:t>
      </w:r>
      <w:r w:rsidDel="00000000" w:rsidR="00000000" w:rsidRPr="00000000">
        <w:rPr>
          <w:sz w:val="22"/>
          <w:szCs w:val="22"/>
          <w:rtl w:val="0"/>
        </w:rPr>
        <w:t xml:space="preserve"> As doenças crônicas não transmissíveis (DCNT) representam 74% das mortes no Brasil, sendo um grande desafio para a saúde pública. Com o intuito de facilitar o manejo desses quadros prevalentes entre a população brasileira, a criação de uma plataforma online da Rede de Atenção às Doenças Crônicas (RADC) propõe uma abordagem inovadora em relação aos métodos tradicionais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Objetivo: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Desenvolver diretrizes de cuidado integral acessíveis online para os profissionais da Atenção Básica, de maneira a promover o manejo eficaz das DCNT e a melhorar o cuidado prático ao usuário. 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Metodologia: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A plataforma da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RADC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foi planejada e desenvolvida por meio da ferramenta Canva para criação de sites. Como base para a criação de cada linha de cuidado, foram utilizados os Cadernos de Atenção Básica do Ministério da Saúde. Realizou-se uma integração entre a plataforma da RADC e o ambiente virtual da Secretaria Municipal de Saúde, a fim de receber atualizações futuras. 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Resultados: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Na plataforma, a partir dos fluxogramas para cada linha de cuidado, é possível abordar o usuário como um todo, seja com algoritmos diagnósticos e terapêuticos, ou com encaminhamentos para Centros de Referência ou ainda realizando orientações nutricionais e de atividade física. Com um ambiente integrado e de fácil acesso, sobra mais tempo para o profissional se dedicar ao cuidado integral do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paciente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Conclusão: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Métodos inovadores e de fácil acesso como este são importantes na busca da diminuição das complicações das DCNT no país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. O site completo e o mapeamento do município serão disponibilizados pela coordenação da RADC.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Palavras-chave: </w:t>
      </w:r>
      <w:r w:rsidDel="00000000" w:rsidR="00000000" w:rsidRPr="00000000">
        <w:rPr>
          <w:sz w:val="22"/>
          <w:szCs w:val="22"/>
          <w:rtl w:val="0"/>
        </w:rPr>
        <w:t xml:space="preserve">Atenção Básica. Doenças </w:t>
      </w:r>
      <w:r w:rsidDel="00000000" w:rsidR="00000000" w:rsidRPr="00000000">
        <w:rPr>
          <w:sz w:val="22"/>
          <w:szCs w:val="22"/>
          <w:rtl w:val="0"/>
        </w:rPr>
        <w:t xml:space="preserve">Crônicas</w:t>
      </w:r>
      <w:r w:rsidDel="00000000" w:rsidR="00000000" w:rsidRPr="00000000">
        <w:rPr>
          <w:sz w:val="22"/>
          <w:szCs w:val="22"/>
          <w:rtl w:val="0"/>
        </w:rPr>
        <w:t xml:space="preserve">. Inovação Tecnológica.</w:t>
      </w:r>
    </w:p>
    <w:p w:rsidR="00000000" w:rsidDel="00000000" w:rsidP="00000000" w:rsidRDefault="00000000" w:rsidRPr="00000000" w14:paraId="00000008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BRASIL. </w:t>
      </w:r>
      <w:r w:rsidDel="00000000" w:rsidR="00000000" w:rsidRPr="00000000">
        <w:rPr>
          <w:b w:val="1"/>
          <w:sz w:val="20"/>
          <w:szCs w:val="20"/>
          <w:rtl w:val="0"/>
        </w:rPr>
        <w:t xml:space="preserve">Plano de ações estratégicas para o enfrentamento das doenças crônicas não transmissíveis (DCNT) no Brasil 2011-2022</w:t>
      </w:r>
      <w:r w:rsidDel="00000000" w:rsidR="00000000" w:rsidRPr="00000000">
        <w:rPr>
          <w:sz w:val="20"/>
          <w:szCs w:val="20"/>
          <w:rtl w:val="0"/>
        </w:rPr>
        <w:t xml:space="preserve">. Brasília: Ministério da Saúde, 2011. Disponível em: https://bvsms.saude.gov.br. Acesso em: 18 out. 2024.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GIATTI, Luana; BORGES, Cláudia; CAMPOS, Rosana. Redes de atenção às doenças crônicas não transmissíveis no Brasil: análise de implementação e resultados. </w:t>
      </w:r>
      <w:r w:rsidDel="00000000" w:rsidR="00000000" w:rsidRPr="00000000">
        <w:rPr>
          <w:b w:val="1"/>
          <w:sz w:val="20"/>
          <w:szCs w:val="20"/>
          <w:rtl w:val="0"/>
        </w:rPr>
        <w:t xml:space="preserve">Ciência &amp; Saúde Coletiva</w:t>
      </w:r>
      <w:r w:rsidDel="00000000" w:rsidR="00000000" w:rsidRPr="00000000">
        <w:rPr>
          <w:sz w:val="20"/>
          <w:szCs w:val="20"/>
          <w:rtl w:val="0"/>
        </w:rPr>
        <w:t xml:space="preserve">, Rio de Janeiro, v. 26, n. 6, p. 2277-2288, 2021. Disponível em: https://www.scielo.br. Acesso em: 18 out. 2024.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LOTUFO, Paulo Andrade. Impacto das doenças crônicas não transmissíveis na saúde pública. </w:t>
      </w:r>
      <w:r w:rsidDel="00000000" w:rsidR="00000000" w:rsidRPr="00000000">
        <w:rPr>
          <w:b w:val="1"/>
          <w:sz w:val="20"/>
          <w:szCs w:val="20"/>
          <w:rtl w:val="0"/>
        </w:rPr>
        <w:t xml:space="preserve">Revista Brasileira de Epidemiologia</w:t>
      </w:r>
      <w:r w:rsidDel="00000000" w:rsidR="00000000" w:rsidRPr="00000000">
        <w:rPr>
          <w:sz w:val="20"/>
          <w:szCs w:val="20"/>
          <w:rtl w:val="0"/>
        </w:rPr>
        <w:t xml:space="preserve">, São Paulo, v. 23, e200091, 2020. Disponível em: https://www.scielo.br. Acesso em: 18 out. 2024.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MALTA, Deborah Carvalho; BERNAL, Regina T. I.; ANDRADE, Silvia S. C. A. et al. Prevalência de fatores de risco e proteção para doenças crônicas em adultos: Pesquisa Nacional de Saúde, 2013. </w:t>
      </w:r>
      <w:r w:rsidDel="00000000" w:rsidR="00000000" w:rsidRPr="00000000">
        <w:rPr>
          <w:b w:val="1"/>
          <w:sz w:val="20"/>
          <w:szCs w:val="20"/>
          <w:rtl w:val="0"/>
        </w:rPr>
        <w:t xml:space="preserve">Epidemiologia e Serviços de Saúde</w:t>
      </w:r>
      <w:r w:rsidDel="00000000" w:rsidR="00000000" w:rsidRPr="00000000">
        <w:rPr>
          <w:sz w:val="20"/>
          <w:szCs w:val="20"/>
          <w:rtl w:val="0"/>
        </w:rPr>
        <w:t xml:space="preserve">, Brasília, v. 24, n. 3, p. 387-397, 2015. Disponível em: https://scielo.org. Acesso em: 18 out. 2024.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MENDES, Eugênio Vilaça. As redes de atenção à saúde. Brasília: </w:t>
      </w:r>
      <w:r w:rsidDel="00000000" w:rsidR="00000000" w:rsidRPr="00000000">
        <w:rPr>
          <w:b w:val="1"/>
          <w:sz w:val="20"/>
          <w:szCs w:val="20"/>
          <w:rtl w:val="0"/>
        </w:rPr>
        <w:t xml:space="preserve">Organização Pan-Americana da Saúde</w:t>
      </w:r>
      <w:r w:rsidDel="00000000" w:rsidR="00000000" w:rsidRPr="00000000">
        <w:rPr>
          <w:sz w:val="20"/>
          <w:szCs w:val="20"/>
          <w:rtl w:val="0"/>
        </w:rPr>
        <w:t xml:space="preserve">, 2011. Disponível em: https://www.paho.org. Acesso em: 18 out.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6" w:w="8419" w:orient="portrait"/>
      <w:pgMar w:bottom="567" w:top="567" w:left="567" w:right="567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6705.0" w:type="dxa"/>
      <w:jc w:val="left"/>
      <w:tblLayout w:type="fixed"/>
      <w:tblLook w:val="0600"/>
    </w:tblPr>
    <w:tblGrid>
      <w:gridCol w:w="2235"/>
      <w:gridCol w:w="2235"/>
      <w:gridCol w:w="2235"/>
      <w:tblGridChange w:id="0">
        <w:tblGrid>
          <w:gridCol w:w="2235"/>
          <w:gridCol w:w="2235"/>
          <w:gridCol w:w="223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61811" cy="53498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