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52" w:rsidRDefault="003F7C8E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SER </w:t>
      </w:r>
      <w:r w:rsidR="00047C0D">
        <w:rPr>
          <w:b/>
          <w:color w:val="000000"/>
          <w:sz w:val="26"/>
          <w:szCs w:val="26"/>
        </w:rPr>
        <w:t>ESTUDANTE EM TEMPOS DE PANDEMIA:</w:t>
      </w:r>
      <w:r>
        <w:rPr>
          <w:b/>
          <w:color w:val="000000"/>
          <w:sz w:val="26"/>
          <w:szCs w:val="26"/>
        </w:rPr>
        <w:t xml:space="preserve"> NARRATIVAS DE JOVENS DE ESCOLA PÚBLICA</w:t>
      </w:r>
      <w:r w:rsidR="00945351">
        <w:rPr>
          <w:b/>
          <w:color w:val="000000"/>
          <w:sz w:val="28"/>
          <w:szCs w:val="28"/>
        </w:rPr>
        <w:t xml:space="preserve"> </w:t>
      </w:r>
    </w:p>
    <w:p w:rsidR="007B3252" w:rsidRDefault="007B3252">
      <w:pPr>
        <w:pStyle w:val="LO-normal"/>
        <w:jc w:val="both"/>
        <w:rPr>
          <w:b/>
          <w:color w:val="000000"/>
          <w:sz w:val="28"/>
          <w:szCs w:val="28"/>
        </w:rPr>
      </w:pPr>
    </w:p>
    <w:p w:rsidR="007B3252" w:rsidRDefault="003F7C8E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Danusa da Purificação Rodrigues</w:t>
      </w:r>
      <w:bookmarkStart w:id="0" w:name="_gjdgxs"/>
      <w:bookmarkStart w:id="1" w:name="_h5uuxu4k8dee"/>
      <w:bookmarkEnd w:id="0"/>
      <w:bookmarkEnd w:id="1"/>
    </w:p>
    <w:p w:rsidR="007B3252" w:rsidRDefault="007B3252">
      <w:pPr>
        <w:pStyle w:val="LO-normal"/>
        <w:jc w:val="both"/>
        <w:rPr>
          <w:color w:val="000000"/>
          <w:sz w:val="24"/>
          <w:szCs w:val="24"/>
        </w:rPr>
      </w:pPr>
    </w:p>
    <w:p w:rsidR="007B3252" w:rsidRDefault="007B3252">
      <w:pPr>
        <w:pStyle w:val="LO-normal"/>
        <w:jc w:val="both"/>
        <w:rPr>
          <w:color w:val="000000"/>
          <w:sz w:val="24"/>
          <w:szCs w:val="24"/>
        </w:rPr>
      </w:pPr>
    </w:p>
    <w:p w:rsidR="0085729C" w:rsidRPr="0085729C" w:rsidRDefault="00C44465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  <w:r w:rsidRPr="008561E4">
        <w:rPr>
          <w:sz w:val="20"/>
          <w:szCs w:val="20"/>
          <w:shd w:val="clear" w:color="auto" w:fill="FFFFFF"/>
        </w:rPr>
        <w:t>Os limites impostos pela pandemi</w:t>
      </w:r>
      <w:r w:rsidRPr="008561E4">
        <w:rPr>
          <w:sz w:val="20"/>
          <w:szCs w:val="20"/>
          <w:shd w:val="clear" w:color="auto" w:fill="FFFFFF"/>
        </w:rPr>
        <w:t xml:space="preserve">a da COVID-19 </w:t>
      </w:r>
      <w:r w:rsidRPr="008561E4">
        <w:rPr>
          <w:color w:val="000000"/>
          <w:sz w:val="20"/>
          <w:szCs w:val="20"/>
          <w:shd w:val="clear" w:color="auto" w:fill="FFFFFF"/>
        </w:rPr>
        <w:t>causada pelo vírus SARS-CoV-2</w:t>
      </w:r>
      <w:r w:rsidRPr="008561E4">
        <w:rPr>
          <w:color w:val="000000"/>
          <w:sz w:val="20"/>
          <w:szCs w:val="20"/>
          <w:shd w:val="clear" w:color="auto" w:fill="FFFFFF"/>
        </w:rPr>
        <w:t xml:space="preserve"> </w:t>
      </w:r>
      <w:r w:rsidRPr="008561E4">
        <w:rPr>
          <w:sz w:val="20"/>
          <w:szCs w:val="20"/>
          <w:shd w:val="clear" w:color="auto" w:fill="FFFFFF"/>
        </w:rPr>
        <w:t>têm afetado o dia-</w:t>
      </w:r>
      <w:r w:rsidRPr="008561E4">
        <w:rPr>
          <w:sz w:val="20"/>
          <w:szCs w:val="20"/>
          <w:shd w:val="clear" w:color="auto" w:fill="FFFFFF"/>
        </w:rPr>
        <w:t>a</w:t>
      </w:r>
      <w:r w:rsidRPr="008561E4">
        <w:rPr>
          <w:sz w:val="20"/>
          <w:szCs w:val="20"/>
          <w:shd w:val="clear" w:color="auto" w:fill="FFFFFF"/>
        </w:rPr>
        <w:t>-</w:t>
      </w:r>
      <w:r w:rsidRPr="008561E4">
        <w:rPr>
          <w:sz w:val="20"/>
          <w:szCs w:val="20"/>
          <w:shd w:val="clear" w:color="auto" w:fill="FFFFFF"/>
        </w:rPr>
        <w:t>dia de todos</w:t>
      </w:r>
      <w:r w:rsidR="003337AA">
        <w:rPr>
          <w:sz w:val="20"/>
          <w:szCs w:val="20"/>
          <w:shd w:val="clear" w:color="auto" w:fill="FFFFFF"/>
        </w:rPr>
        <w:t>, principalmente dos jovens</w:t>
      </w:r>
      <w:r w:rsidR="0085729C">
        <w:rPr>
          <w:sz w:val="20"/>
          <w:szCs w:val="20"/>
          <w:shd w:val="clear" w:color="auto" w:fill="FFFFFF"/>
        </w:rPr>
        <w:t>,</w:t>
      </w:r>
      <w:r w:rsidR="003337AA">
        <w:rPr>
          <w:sz w:val="20"/>
          <w:szCs w:val="20"/>
          <w:shd w:val="clear" w:color="auto" w:fill="FFFFFF"/>
        </w:rPr>
        <w:t xml:space="preserve"> com sonhos adiados e futuro incerto</w:t>
      </w:r>
      <w:r w:rsidRPr="008561E4">
        <w:rPr>
          <w:sz w:val="20"/>
          <w:szCs w:val="20"/>
          <w:shd w:val="clear" w:color="auto" w:fill="FFFFFF"/>
        </w:rPr>
        <w:t>. E</w:t>
      </w:r>
      <w:r w:rsidRPr="008561E4">
        <w:rPr>
          <w:color w:val="000000"/>
          <w:sz w:val="20"/>
          <w:szCs w:val="20"/>
        </w:rPr>
        <w:t xml:space="preserve">mbora seja tratado muitas vezes apenas por números frios, </w:t>
      </w:r>
      <w:r w:rsidR="003337AA">
        <w:rPr>
          <w:color w:val="000000"/>
          <w:sz w:val="20"/>
          <w:szCs w:val="20"/>
        </w:rPr>
        <w:t xml:space="preserve">estes </w:t>
      </w:r>
      <w:r w:rsidRPr="008561E4">
        <w:rPr>
          <w:color w:val="000000"/>
          <w:sz w:val="20"/>
          <w:szCs w:val="20"/>
        </w:rPr>
        <w:t>serve</w:t>
      </w:r>
      <w:r w:rsidR="003337AA">
        <w:rPr>
          <w:color w:val="000000"/>
          <w:sz w:val="20"/>
          <w:szCs w:val="20"/>
        </w:rPr>
        <w:t>m</w:t>
      </w:r>
      <w:r w:rsidRPr="008561E4">
        <w:rPr>
          <w:color w:val="000000"/>
          <w:sz w:val="20"/>
          <w:szCs w:val="20"/>
        </w:rPr>
        <w:t xml:space="preserve"> para revelar as desigualdades sociais existentes nos diferentes segmentos da sociedade, inclusive na educação pública. Os sistemas educacionais na Bahia cancelararam as aulas presenciais em março de 2020 e as crianças e jovens tiveram que ficar em casa. </w:t>
      </w:r>
      <w:r w:rsidR="00222CEC" w:rsidRPr="008561E4">
        <w:rPr>
          <w:color w:val="000000"/>
          <w:sz w:val="20"/>
          <w:szCs w:val="20"/>
        </w:rPr>
        <w:t xml:space="preserve">No anos de 2021 os alunos retornaram </w:t>
      </w:r>
      <w:r w:rsidR="0085729C">
        <w:rPr>
          <w:color w:val="000000"/>
          <w:sz w:val="20"/>
          <w:szCs w:val="20"/>
        </w:rPr>
        <w:t>à escola em formato</w:t>
      </w:r>
      <w:r w:rsidR="00222CEC" w:rsidRPr="008561E4">
        <w:rPr>
          <w:color w:val="000000"/>
          <w:sz w:val="20"/>
          <w:szCs w:val="20"/>
        </w:rPr>
        <w:t xml:space="preserve"> híbrido e </w:t>
      </w:r>
      <w:r w:rsidR="0085729C">
        <w:rPr>
          <w:color w:val="000000"/>
          <w:sz w:val="20"/>
          <w:szCs w:val="20"/>
        </w:rPr>
        <w:t xml:space="preserve">recentemente </w:t>
      </w:r>
      <w:r w:rsidR="00222CEC" w:rsidRPr="008561E4">
        <w:rPr>
          <w:color w:val="000000"/>
          <w:sz w:val="20"/>
          <w:szCs w:val="20"/>
        </w:rPr>
        <w:t xml:space="preserve">presencial, o que nos fez iniciar movimentos em torno de uma investigação </w:t>
      </w:r>
      <w:r w:rsidR="009B4308" w:rsidRPr="008561E4">
        <w:rPr>
          <w:color w:val="000000"/>
          <w:sz w:val="20"/>
          <w:szCs w:val="20"/>
        </w:rPr>
        <w:t xml:space="preserve">no mês de </w:t>
      </w:r>
      <w:r w:rsidR="00222CEC" w:rsidRPr="008561E4">
        <w:rPr>
          <w:color w:val="000000"/>
          <w:sz w:val="20"/>
          <w:szCs w:val="20"/>
        </w:rPr>
        <w:t>agosto</w:t>
      </w:r>
      <w:r w:rsidR="009B4308" w:rsidRPr="008561E4">
        <w:rPr>
          <w:color w:val="000000"/>
          <w:sz w:val="20"/>
          <w:szCs w:val="20"/>
        </w:rPr>
        <w:t xml:space="preserve">, </w:t>
      </w:r>
      <w:r w:rsidR="00FC2EA7" w:rsidRPr="008561E4">
        <w:rPr>
          <w:color w:val="000000"/>
          <w:sz w:val="20"/>
          <w:szCs w:val="20"/>
        </w:rPr>
        <w:t xml:space="preserve">com jovens estudantes de ensino médio numa escola pública de São Gonçalo dos Campos-BA. </w:t>
      </w:r>
      <w:r w:rsidR="003337AA" w:rsidRPr="003337AA">
        <w:rPr>
          <w:rFonts w:eastAsia="Calibri"/>
          <w:sz w:val="20"/>
          <w:szCs w:val="20"/>
        </w:rPr>
        <w:t>Pela ótica de Bahktin (2013), as linguagens estariam condicionadas pela vida cotidiana e social, pelo ambiente em que se vive e pela sensação, a qual se utiliza de uma linguagem verbal ou gestual mais ampla: a exterior e a interior, que facilitaria a tomada de consciência, da relação do mundo com o ser humano.</w:t>
      </w:r>
      <w:r w:rsidR="0085729C">
        <w:rPr>
          <w:b/>
          <w:color w:val="212121"/>
          <w:sz w:val="28"/>
          <w:szCs w:val="28"/>
        </w:rPr>
        <w:t xml:space="preserve"> </w:t>
      </w:r>
      <w:r w:rsidR="009B4308" w:rsidRPr="008561E4">
        <w:rPr>
          <w:color w:val="000000"/>
          <w:sz w:val="20"/>
          <w:szCs w:val="20"/>
        </w:rPr>
        <w:t>Utilizou-se de uma escuta sensível</w:t>
      </w:r>
      <w:r w:rsidR="003337AA">
        <w:rPr>
          <w:color w:val="000000"/>
          <w:sz w:val="20"/>
          <w:szCs w:val="20"/>
        </w:rPr>
        <w:t xml:space="preserve"> </w:t>
      </w:r>
      <w:r w:rsidR="003337AA" w:rsidRPr="003337AA">
        <w:rPr>
          <w:rFonts w:eastAsia="Calibri"/>
          <w:sz w:val="20"/>
          <w:szCs w:val="20"/>
        </w:rPr>
        <w:t>baseada nos princípios traçados por Barbier</w:t>
      </w:r>
      <w:r w:rsidR="009B4308" w:rsidRPr="008561E4">
        <w:rPr>
          <w:color w:val="000000"/>
          <w:sz w:val="20"/>
          <w:szCs w:val="20"/>
        </w:rPr>
        <w:t xml:space="preserve"> e observar os destaques que trouxeram com </w:t>
      </w:r>
      <w:r w:rsidR="00FC2EA7" w:rsidRPr="008561E4">
        <w:rPr>
          <w:color w:val="000000"/>
          <w:sz w:val="20"/>
          <w:szCs w:val="20"/>
        </w:rPr>
        <w:t xml:space="preserve">a produção de cards confeccionados </w:t>
      </w:r>
      <w:r w:rsidR="00222CEC" w:rsidRPr="008561E4">
        <w:rPr>
          <w:color w:val="000000"/>
          <w:sz w:val="20"/>
          <w:szCs w:val="20"/>
        </w:rPr>
        <w:t xml:space="preserve">durante a semana do estudante, </w:t>
      </w:r>
      <w:r w:rsidR="00FC2EA7" w:rsidRPr="008561E4">
        <w:rPr>
          <w:color w:val="000000"/>
          <w:sz w:val="20"/>
          <w:szCs w:val="20"/>
        </w:rPr>
        <w:t>que abordavam suas vivências com o ensino remoto nos anos de 2020 e primeiro semestre de 2021.</w:t>
      </w:r>
      <w:r w:rsidR="00047C0D" w:rsidRPr="008561E4">
        <w:rPr>
          <w:color w:val="000000"/>
          <w:sz w:val="20"/>
          <w:szCs w:val="20"/>
        </w:rPr>
        <w:t xml:space="preserve"> </w:t>
      </w:r>
      <w:r w:rsidR="009B4308" w:rsidRPr="008561E4">
        <w:rPr>
          <w:color w:val="000000"/>
          <w:sz w:val="20"/>
          <w:szCs w:val="20"/>
        </w:rPr>
        <w:t>Essa modalidade de ensino remoto possibilitou</w:t>
      </w:r>
      <w:r w:rsidR="00222CEC" w:rsidRPr="008561E4">
        <w:rPr>
          <w:color w:val="000000"/>
          <w:sz w:val="20"/>
          <w:szCs w:val="20"/>
        </w:rPr>
        <w:t xml:space="preserve"> formas diversificadas de</w:t>
      </w:r>
      <w:r w:rsidR="00222CEC" w:rsidRPr="008561E4">
        <w:rPr>
          <w:color w:val="000000"/>
          <w:sz w:val="20"/>
          <w:szCs w:val="20"/>
        </w:rPr>
        <w:t xml:space="preserve"> ensino-aprendizagem, mas </w:t>
      </w:r>
      <w:r w:rsidR="00BE509E" w:rsidRPr="008561E4">
        <w:rPr>
          <w:color w:val="000000"/>
          <w:sz w:val="20"/>
          <w:szCs w:val="20"/>
        </w:rPr>
        <w:t xml:space="preserve">os estudantes </w:t>
      </w:r>
      <w:r w:rsidR="00222CEC" w:rsidRPr="008561E4">
        <w:rPr>
          <w:color w:val="000000"/>
          <w:sz w:val="20"/>
          <w:szCs w:val="20"/>
        </w:rPr>
        <w:t xml:space="preserve">destacaram a ausência de contato com professores </w:t>
      </w:r>
      <w:r w:rsidR="00BE509E" w:rsidRPr="008561E4">
        <w:rPr>
          <w:color w:val="000000"/>
          <w:sz w:val="20"/>
          <w:szCs w:val="20"/>
        </w:rPr>
        <w:t xml:space="preserve">e colegas </w:t>
      </w:r>
      <w:r w:rsidR="00222CEC" w:rsidRPr="008561E4">
        <w:rPr>
          <w:color w:val="000000"/>
          <w:sz w:val="20"/>
          <w:szCs w:val="20"/>
        </w:rPr>
        <w:t>para explicação e trocas dos conteúdos</w:t>
      </w:r>
      <w:r w:rsidR="009B4308" w:rsidRPr="008561E4">
        <w:rPr>
          <w:color w:val="000000"/>
          <w:sz w:val="20"/>
          <w:szCs w:val="20"/>
        </w:rPr>
        <w:t xml:space="preserve"> e contato pessoas</w:t>
      </w:r>
      <w:r w:rsidR="00BE509E" w:rsidRPr="008561E4">
        <w:rPr>
          <w:color w:val="000000"/>
          <w:sz w:val="20"/>
          <w:szCs w:val="20"/>
        </w:rPr>
        <w:t>, fr</w:t>
      </w:r>
      <w:r w:rsidR="009B4308" w:rsidRPr="008561E4">
        <w:rPr>
          <w:color w:val="000000"/>
          <w:sz w:val="20"/>
          <w:szCs w:val="20"/>
        </w:rPr>
        <w:t>agilidade no acesso à internet nos diversos pontos do município, a</w:t>
      </w:r>
      <w:r w:rsidR="008561E4" w:rsidRPr="008561E4">
        <w:rPr>
          <w:color w:val="000000"/>
          <w:sz w:val="20"/>
          <w:szCs w:val="20"/>
        </w:rPr>
        <w:t xml:space="preserve"> </w:t>
      </w:r>
      <w:r w:rsidR="00BE509E" w:rsidRPr="008561E4">
        <w:rPr>
          <w:color w:val="000000"/>
          <w:sz w:val="20"/>
          <w:szCs w:val="20"/>
        </w:rPr>
        <w:t xml:space="preserve">computadores ou </w:t>
      </w:r>
      <w:r w:rsidR="009B4308" w:rsidRPr="008561E4">
        <w:rPr>
          <w:color w:val="000000"/>
          <w:sz w:val="20"/>
          <w:szCs w:val="20"/>
        </w:rPr>
        <w:t xml:space="preserve">a </w:t>
      </w:r>
      <w:r w:rsidR="00BE509E" w:rsidRPr="008561E4">
        <w:rPr>
          <w:color w:val="000000"/>
          <w:sz w:val="20"/>
          <w:szCs w:val="20"/>
        </w:rPr>
        <w:t>sma</w:t>
      </w:r>
      <w:r w:rsidR="008561E4" w:rsidRPr="008561E4">
        <w:rPr>
          <w:color w:val="000000"/>
          <w:sz w:val="20"/>
          <w:szCs w:val="20"/>
        </w:rPr>
        <w:t>r</w:t>
      </w:r>
      <w:r w:rsidR="00BE509E" w:rsidRPr="008561E4">
        <w:rPr>
          <w:color w:val="000000"/>
          <w:sz w:val="20"/>
          <w:szCs w:val="20"/>
        </w:rPr>
        <w:t xml:space="preserve">tphones, novas formas de estudar e aprender, </w:t>
      </w:r>
      <w:r w:rsidR="008561E4" w:rsidRPr="008561E4">
        <w:rPr>
          <w:color w:val="000000"/>
          <w:sz w:val="20"/>
          <w:szCs w:val="20"/>
        </w:rPr>
        <w:t xml:space="preserve">saúde mental, </w:t>
      </w:r>
      <w:r w:rsidR="00BE509E" w:rsidRPr="008561E4">
        <w:rPr>
          <w:color w:val="000000"/>
          <w:sz w:val="20"/>
          <w:szCs w:val="20"/>
        </w:rPr>
        <w:t>a quantidade de atividades por semana e</w:t>
      </w:r>
      <w:r w:rsidR="008561E4" w:rsidRPr="008561E4">
        <w:rPr>
          <w:color w:val="000000"/>
          <w:sz w:val="20"/>
          <w:szCs w:val="20"/>
        </w:rPr>
        <w:t>,</w:t>
      </w:r>
      <w:r w:rsidR="00BE509E" w:rsidRPr="008561E4">
        <w:rPr>
          <w:color w:val="000000"/>
          <w:sz w:val="20"/>
          <w:szCs w:val="20"/>
        </w:rPr>
        <w:t xml:space="preserve"> inseguranças</w:t>
      </w:r>
      <w:r w:rsidR="008561E4" w:rsidRPr="008561E4">
        <w:rPr>
          <w:color w:val="000000"/>
          <w:sz w:val="20"/>
          <w:szCs w:val="20"/>
        </w:rPr>
        <w:t xml:space="preserve"> e oportunidades de mudanças</w:t>
      </w:r>
      <w:r w:rsidR="00BE509E" w:rsidRPr="008561E4">
        <w:rPr>
          <w:color w:val="000000"/>
          <w:sz w:val="20"/>
          <w:szCs w:val="20"/>
        </w:rPr>
        <w:t xml:space="preserve"> que su</w:t>
      </w:r>
      <w:r w:rsidR="0085729C">
        <w:rPr>
          <w:color w:val="000000"/>
          <w:sz w:val="20"/>
          <w:szCs w:val="20"/>
        </w:rPr>
        <w:t>rgiram</w:t>
      </w:r>
      <w:r w:rsidR="00BE509E" w:rsidRPr="008561E4">
        <w:rPr>
          <w:color w:val="000000"/>
          <w:sz w:val="20"/>
          <w:szCs w:val="20"/>
        </w:rPr>
        <w:t xml:space="preserve"> na caminhada.</w:t>
      </w:r>
      <w:r w:rsidR="0085729C">
        <w:rPr>
          <w:color w:val="000000"/>
          <w:sz w:val="20"/>
          <w:szCs w:val="20"/>
        </w:rPr>
        <w:t xml:space="preserve"> </w:t>
      </w:r>
      <w:r w:rsidR="008561E4">
        <w:rPr>
          <w:color w:val="000000"/>
          <w:sz w:val="20"/>
          <w:szCs w:val="20"/>
          <w:shd w:val="clear" w:color="auto" w:fill="FFFFFF"/>
        </w:rPr>
        <w:t>Pretende</w:t>
      </w:r>
      <w:r w:rsidR="0085729C">
        <w:rPr>
          <w:color w:val="000000"/>
          <w:sz w:val="20"/>
          <w:szCs w:val="20"/>
          <w:shd w:val="clear" w:color="auto" w:fill="FFFFFF"/>
        </w:rPr>
        <w:t>u</w:t>
      </w:r>
      <w:bookmarkStart w:id="2" w:name="_GoBack"/>
      <w:bookmarkEnd w:id="2"/>
      <w:r w:rsidR="008561E4">
        <w:rPr>
          <w:color w:val="000000"/>
          <w:sz w:val="20"/>
          <w:szCs w:val="20"/>
          <w:shd w:val="clear" w:color="auto" w:fill="FFFFFF"/>
        </w:rPr>
        <w:t>-se por fim, visibilizar a voz dos jovens estudantes, seus anseios, incertezas e vulnerabilidades na área educacional, que se tornaram evidentes na crise mundial da saúde pública.</w:t>
      </w:r>
      <w:r w:rsidR="0085729C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85729C" w:rsidRDefault="0085729C">
      <w:pPr>
        <w:pStyle w:val="LO-normal"/>
        <w:jc w:val="both"/>
        <w:rPr>
          <w:color w:val="000000"/>
          <w:sz w:val="20"/>
          <w:szCs w:val="20"/>
          <w:shd w:val="clear" w:color="auto" w:fill="FFFFFF"/>
        </w:rPr>
      </w:pPr>
    </w:p>
    <w:p w:rsidR="00A7321F" w:rsidRDefault="00A7321F">
      <w:pPr>
        <w:pStyle w:val="LO-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b/>
          <w:sz w:val="20"/>
          <w:szCs w:val="20"/>
        </w:rPr>
        <w:t xml:space="preserve"> Pandemia, ensino remoto, educação básica.</w:t>
      </w:r>
    </w:p>
    <w:p w:rsidR="00A7321F" w:rsidRDefault="00A7321F">
      <w:pPr>
        <w:pStyle w:val="LO-normal"/>
        <w:jc w:val="both"/>
        <w:rPr>
          <w:b/>
          <w:sz w:val="20"/>
          <w:szCs w:val="20"/>
        </w:rPr>
      </w:pPr>
    </w:p>
    <w:p w:rsidR="00A7321F" w:rsidRDefault="00A7321F" w:rsidP="00A7321F">
      <w:pPr>
        <w:shd w:val="clear" w:color="auto" w:fill="FFFFFF"/>
        <w:suppressAutoHyphens w:val="0"/>
        <w:spacing w:line="262" w:lineRule="atLeast"/>
        <w:rPr>
          <w:rFonts w:eastAsia="Times New Roman"/>
          <w:sz w:val="20"/>
          <w:szCs w:val="20"/>
          <w:lang w:eastAsia="pt-BR" w:bidi="ar-SA"/>
        </w:rPr>
      </w:pPr>
      <w:r w:rsidRPr="00A7321F">
        <w:rPr>
          <w:rFonts w:eastAsia="Times New Roman"/>
          <w:sz w:val="20"/>
          <w:szCs w:val="20"/>
          <w:lang w:eastAsia="pt-BR" w:bidi="ar-SA"/>
        </w:rPr>
        <w:t>Referências:</w:t>
      </w:r>
    </w:p>
    <w:p w:rsidR="003337AA" w:rsidRDefault="003337AA" w:rsidP="00A7321F">
      <w:pPr>
        <w:shd w:val="clear" w:color="auto" w:fill="FFFFFF"/>
        <w:suppressAutoHyphens w:val="0"/>
        <w:spacing w:line="262" w:lineRule="atLeast"/>
        <w:rPr>
          <w:rFonts w:eastAsia="Times New Roman"/>
          <w:sz w:val="20"/>
          <w:szCs w:val="20"/>
          <w:lang w:eastAsia="pt-BR" w:bidi="ar-SA"/>
        </w:rPr>
      </w:pPr>
    </w:p>
    <w:p w:rsidR="003337AA" w:rsidRPr="003337AA" w:rsidRDefault="003337AA" w:rsidP="003337AA">
      <w:pPr>
        <w:ind w:right="110"/>
        <w:jc w:val="both"/>
        <w:rPr>
          <w:sz w:val="20"/>
          <w:szCs w:val="20"/>
        </w:rPr>
      </w:pPr>
      <w:r w:rsidRPr="003337AA">
        <w:rPr>
          <w:sz w:val="20"/>
          <w:szCs w:val="20"/>
        </w:rPr>
        <w:t xml:space="preserve">BAKHTIN, M. M. </w:t>
      </w:r>
      <w:r w:rsidRPr="003337AA">
        <w:rPr>
          <w:bCs/>
          <w:sz w:val="20"/>
          <w:szCs w:val="20"/>
        </w:rPr>
        <w:t xml:space="preserve">Que é a linguagem? </w:t>
      </w:r>
      <w:r w:rsidRPr="003337AA">
        <w:rPr>
          <w:sz w:val="20"/>
          <w:szCs w:val="20"/>
        </w:rPr>
        <w:t xml:space="preserve">In: VOLOCHÍNOV, V. N. </w:t>
      </w:r>
      <w:r w:rsidRPr="003337AA">
        <w:rPr>
          <w:b/>
          <w:bCs/>
          <w:sz w:val="20"/>
          <w:szCs w:val="20"/>
        </w:rPr>
        <w:t>Do Círculo de Bakhtin. A construção da enunciação e outros ensaios</w:t>
      </w:r>
      <w:r w:rsidRPr="003337AA">
        <w:rPr>
          <w:sz w:val="20"/>
          <w:szCs w:val="20"/>
        </w:rPr>
        <w:t>. São Carlos: Pedro &amp; João Editores, 2013. p. 131-156</w:t>
      </w:r>
    </w:p>
    <w:p w:rsidR="003337AA" w:rsidRDefault="003337AA" w:rsidP="00A7321F">
      <w:pPr>
        <w:shd w:val="clear" w:color="auto" w:fill="FFFFFF"/>
        <w:suppressAutoHyphens w:val="0"/>
        <w:spacing w:line="262" w:lineRule="atLeast"/>
        <w:rPr>
          <w:rFonts w:eastAsia="Times New Roman"/>
          <w:sz w:val="20"/>
          <w:szCs w:val="20"/>
          <w:lang w:eastAsia="pt-BR" w:bidi="ar-SA"/>
        </w:rPr>
      </w:pPr>
    </w:p>
    <w:p w:rsidR="003337AA" w:rsidRDefault="003337AA" w:rsidP="003337AA">
      <w:pPr>
        <w:ind w:right="110"/>
        <w:jc w:val="both"/>
        <w:rPr>
          <w:sz w:val="20"/>
          <w:szCs w:val="20"/>
        </w:rPr>
      </w:pPr>
      <w:r w:rsidRPr="003337AA">
        <w:rPr>
          <w:sz w:val="20"/>
          <w:szCs w:val="20"/>
        </w:rPr>
        <w:t xml:space="preserve">BARBIER, R. </w:t>
      </w:r>
      <w:r w:rsidRPr="003337AA">
        <w:rPr>
          <w:bCs/>
          <w:sz w:val="20"/>
          <w:szCs w:val="20"/>
        </w:rPr>
        <w:t>A escuta sensível em educação</w:t>
      </w:r>
      <w:r w:rsidRPr="003337AA">
        <w:rPr>
          <w:b/>
          <w:sz w:val="20"/>
          <w:szCs w:val="20"/>
        </w:rPr>
        <w:t>.</w:t>
      </w:r>
      <w:r w:rsidRPr="003337AA">
        <w:rPr>
          <w:sz w:val="20"/>
          <w:szCs w:val="20"/>
        </w:rPr>
        <w:t xml:space="preserve"> In: </w:t>
      </w:r>
      <w:r w:rsidRPr="003337AA">
        <w:rPr>
          <w:b/>
          <w:bCs/>
          <w:sz w:val="20"/>
          <w:szCs w:val="20"/>
        </w:rPr>
        <w:t>Cadernos ANPED,</w:t>
      </w:r>
      <w:r w:rsidRPr="003337AA">
        <w:rPr>
          <w:sz w:val="20"/>
          <w:szCs w:val="20"/>
        </w:rPr>
        <w:t xml:space="preserve"> nº 5 – Trabalhos apresentados na 15ª reunião anual. Porto Alegre, 1993.</w:t>
      </w:r>
    </w:p>
    <w:p w:rsidR="003337AA" w:rsidRDefault="003337AA" w:rsidP="003337AA">
      <w:pPr>
        <w:ind w:right="110"/>
        <w:jc w:val="both"/>
        <w:rPr>
          <w:sz w:val="20"/>
          <w:szCs w:val="20"/>
        </w:rPr>
      </w:pPr>
    </w:p>
    <w:p w:rsidR="003337AA" w:rsidRPr="003337AA" w:rsidRDefault="003337AA" w:rsidP="003337AA">
      <w:pPr>
        <w:ind w:right="110"/>
        <w:jc w:val="both"/>
        <w:rPr>
          <w:sz w:val="20"/>
          <w:szCs w:val="20"/>
        </w:rPr>
      </w:pPr>
      <w:r w:rsidRPr="003337AA">
        <w:rPr>
          <w:sz w:val="20"/>
          <w:szCs w:val="20"/>
        </w:rPr>
        <w:t xml:space="preserve">BOGDAN, R, &amp; BIKLEN, S. </w:t>
      </w:r>
      <w:r w:rsidRPr="003337AA">
        <w:rPr>
          <w:b/>
          <w:sz w:val="20"/>
          <w:szCs w:val="20"/>
        </w:rPr>
        <w:t xml:space="preserve">Investigação qualitativa em educação: </w:t>
      </w:r>
      <w:r w:rsidRPr="003337AA">
        <w:rPr>
          <w:bCs/>
          <w:sz w:val="20"/>
          <w:szCs w:val="20"/>
        </w:rPr>
        <w:t>uma introdução à teoria e aos métodos</w:t>
      </w:r>
      <w:r w:rsidRPr="003337AA">
        <w:rPr>
          <w:b/>
          <w:sz w:val="20"/>
          <w:szCs w:val="20"/>
        </w:rPr>
        <w:t>.</w:t>
      </w:r>
      <w:r w:rsidRPr="003337AA">
        <w:rPr>
          <w:sz w:val="20"/>
          <w:szCs w:val="20"/>
        </w:rPr>
        <w:t xml:space="preserve"> Porto: Porto Editora, 1994.</w:t>
      </w:r>
    </w:p>
    <w:p w:rsidR="003337AA" w:rsidRPr="003337AA" w:rsidRDefault="003337AA" w:rsidP="003337AA">
      <w:pPr>
        <w:ind w:right="110"/>
        <w:jc w:val="both"/>
        <w:rPr>
          <w:sz w:val="20"/>
          <w:szCs w:val="20"/>
        </w:rPr>
      </w:pPr>
    </w:p>
    <w:p w:rsidR="00A7321F" w:rsidRPr="00A7321F" w:rsidRDefault="00A7321F" w:rsidP="00A7321F">
      <w:pPr>
        <w:shd w:val="clear" w:color="auto" w:fill="FFFFFF"/>
        <w:suppressAutoHyphens w:val="0"/>
        <w:spacing w:line="262" w:lineRule="atLeast"/>
        <w:jc w:val="both"/>
        <w:rPr>
          <w:rFonts w:eastAsia="Times New Roman"/>
          <w:sz w:val="20"/>
          <w:szCs w:val="20"/>
          <w:lang w:eastAsia="pt-BR" w:bidi="ar-SA"/>
        </w:rPr>
      </w:pPr>
      <w:r w:rsidRPr="00A7321F">
        <w:rPr>
          <w:rFonts w:eastAsia="Times New Roman"/>
          <w:sz w:val="20"/>
          <w:szCs w:val="20"/>
          <w:lang w:eastAsia="pt-BR" w:bidi="ar-SA"/>
        </w:rPr>
        <w:t>INSTITUTO BRASILEIRO DE GEOGRAFIA E ESTATÍSTICA – IBGE. Microdados da Pesquisa Nacional por Amostra de Domicílios Contínua – Pnad Contínua, edição de 2018, trimestre 4 (questionário suplementar de TIC). Rio de Janeiro, 2020. Disponível em: https://www.ibge.gov.br/estatisticas/sociais/trabalho/17270-pnad-continua.html?=&amp;t=microdados . Acesso em: 30 abr. 2020.</w:t>
      </w:r>
      <w:r w:rsidRPr="00A7321F">
        <w:rPr>
          <w:rFonts w:eastAsia="Times New Roman"/>
          <w:sz w:val="20"/>
          <w:szCs w:val="20"/>
          <w:lang w:eastAsia="pt-BR" w:bidi="ar-SA"/>
        </w:rPr>
        <w:br/>
      </w:r>
      <w:hyperlink r:id="rId7" w:tgtFrame="_blank" w:history="1">
        <w:r w:rsidRPr="00A7321F">
          <w:rPr>
            <w:rFonts w:eastAsia="Times New Roman"/>
            <w:sz w:val="20"/>
            <w:szCs w:val="20"/>
            <w:lang w:eastAsia="pt-BR" w:bidi="ar-SA"/>
          </w:rPr>
          <w:t>» https://www.ibge.gov.br/estatisticas/sociais/trabalho/17270-pnad-continua.html?=&amp;t=microdados</w:t>
        </w:r>
      </w:hyperlink>
    </w:p>
    <w:p w:rsidR="00A7321F" w:rsidRDefault="00A7321F">
      <w:pPr>
        <w:pStyle w:val="LO-normal"/>
        <w:jc w:val="both"/>
        <w:rPr>
          <w:color w:val="000000"/>
          <w:sz w:val="20"/>
          <w:szCs w:val="20"/>
          <w:shd w:val="clear" w:color="auto" w:fill="FFFFFF"/>
        </w:rPr>
      </w:pPr>
    </w:p>
    <w:p w:rsidR="008561E4" w:rsidRDefault="008561E4">
      <w:pPr>
        <w:pStyle w:val="LO-normal"/>
        <w:jc w:val="both"/>
        <w:rPr>
          <w:color w:val="000000"/>
          <w:sz w:val="20"/>
          <w:szCs w:val="20"/>
          <w:shd w:val="clear" w:color="auto" w:fill="FFFFFF"/>
        </w:rPr>
      </w:pPr>
    </w:p>
    <w:p w:rsidR="008561E4" w:rsidRDefault="008561E4">
      <w:pPr>
        <w:pStyle w:val="LO-normal"/>
        <w:jc w:val="both"/>
        <w:rPr>
          <w:color w:val="000000"/>
          <w:sz w:val="20"/>
          <w:szCs w:val="20"/>
          <w:shd w:val="clear" w:color="auto" w:fill="FFFFFF"/>
        </w:rPr>
      </w:pPr>
    </w:p>
    <w:p w:rsidR="00945351" w:rsidRDefault="00945351">
      <w:pPr>
        <w:pStyle w:val="LO-normal"/>
        <w:jc w:val="both"/>
        <w:rPr>
          <w:b/>
          <w:color w:val="000000"/>
          <w:sz w:val="20"/>
          <w:szCs w:val="20"/>
        </w:rPr>
      </w:pPr>
    </w:p>
    <w:p w:rsidR="008561E4" w:rsidRDefault="008561E4">
      <w:pPr>
        <w:pStyle w:val="LO-normal"/>
        <w:jc w:val="both"/>
        <w:rPr>
          <w:b/>
          <w:color w:val="000000"/>
          <w:sz w:val="20"/>
          <w:szCs w:val="20"/>
        </w:rPr>
      </w:pPr>
    </w:p>
    <w:p w:rsidR="008561E4" w:rsidRDefault="008561E4">
      <w:pPr>
        <w:pStyle w:val="LO-normal"/>
        <w:jc w:val="both"/>
        <w:rPr>
          <w:b/>
          <w:color w:val="000000"/>
          <w:sz w:val="20"/>
          <w:szCs w:val="20"/>
        </w:rPr>
      </w:pPr>
    </w:p>
    <w:p w:rsidR="007B3252" w:rsidRDefault="003337AA" w:rsidP="003337AA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  <w:r>
        <w:rPr>
          <w:rFonts w:eastAsia="Calibri"/>
          <w:sz w:val="24"/>
          <w:szCs w:val="24"/>
        </w:rPr>
        <w:t>Esses fatos que ora apresento não são meros registros, pois há uma relação do sujeito com as paisagens em que está inserido. Isso porque, com a ajuda da linguagem, a consciência do humano é formada, bem como é uma prática social cumulativa e de transmissão social que possa agir como uma catraca para impedir o resvalo para trás, conforme aponta Tomasello (2003). Em algum momento da sociogênese, alguns indivíduos formaram juntos tais conhecimentos. Pela ótica de Bahktin (2013), as linguagens estariam condicionadas pela vida cotidiana e social, pelo ambiente em que se vive e pela sensação, a qual se utiliza de uma linguagem verbal ou gestual mais ampla: a exterior e a interior, que facilitaria a tomada de consciência, da relação do mundo com o ser humano.</w:t>
      </w:r>
    </w:p>
    <w:sectPr w:rsidR="007B3252">
      <w:headerReference w:type="default" r:id="rId8"/>
      <w:footerReference w:type="default" r:id="rId9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A7" w:rsidRDefault="001F2AA7">
      <w:pPr>
        <w:spacing w:line="240" w:lineRule="auto"/>
      </w:pPr>
      <w:r>
        <w:separator/>
      </w:r>
    </w:p>
  </w:endnote>
  <w:endnote w:type="continuationSeparator" w:id="0">
    <w:p w:rsidR="001F2AA7" w:rsidRDefault="001F2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51" w:rsidRDefault="00945351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5729C">
      <w:rPr>
        <w:noProof/>
      </w:rPr>
      <w:t>1</w:t>
    </w:r>
    <w:r>
      <w:fldChar w:fldCharType="end"/>
    </w:r>
  </w:p>
  <w:p w:rsidR="00945351" w:rsidRDefault="00945351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:rsidR="00945351" w:rsidRDefault="00945351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:rsidR="00945351" w:rsidRDefault="00945351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A7" w:rsidRDefault="001F2AA7">
      <w:pPr>
        <w:spacing w:line="240" w:lineRule="auto"/>
      </w:pPr>
      <w:r>
        <w:separator/>
      </w:r>
    </w:p>
  </w:footnote>
  <w:footnote w:type="continuationSeparator" w:id="0">
    <w:p w:rsidR="001F2AA7" w:rsidRDefault="001F2A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351" w:rsidRDefault="00945351">
    <w:pPr>
      <w:pStyle w:val="LO-normal"/>
      <w:jc w:val="center"/>
      <w:rPr>
        <w:color w:val="000000"/>
      </w:rPr>
    </w:pPr>
    <w:r>
      <w:rPr>
        <w:noProof/>
        <w:lang w:eastAsia="pt-BR" w:bidi="ar-SA"/>
      </w:rPr>
      <w:drawing>
        <wp:inline distT="0" distB="0" distL="0" distR="0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BF5330"/>
    <w:multiLevelType w:val="multilevel"/>
    <w:tmpl w:val="4960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52"/>
    <w:rsid w:val="00047C0D"/>
    <w:rsid w:val="001F2AA7"/>
    <w:rsid w:val="00222CEC"/>
    <w:rsid w:val="003337AA"/>
    <w:rsid w:val="003D5981"/>
    <w:rsid w:val="003F7C8E"/>
    <w:rsid w:val="007B3252"/>
    <w:rsid w:val="008561E4"/>
    <w:rsid w:val="0085729C"/>
    <w:rsid w:val="00945351"/>
    <w:rsid w:val="009B4308"/>
    <w:rsid w:val="00A7321F"/>
    <w:rsid w:val="00BE509E"/>
    <w:rsid w:val="00C44465"/>
    <w:rsid w:val="00FC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5D67C-C1F6-4CE0-86D4-866A8772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22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373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bge.gov.br/estatisticas/sociais/trabalho/17270-pnad-continua.html?=&amp;t=microda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Danusa</dc:creator>
  <dc:description/>
  <cp:lastModifiedBy>Danusa</cp:lastModifiedBy>
  <cp:revision>2</cp:revision>
  <dcterms:created xsi:type="dcterms:W3CDTF">2021-10-22T19:39:00Z</dcterms:created>
  <dcterms:modified xsi:type="dcterms:W3CDTF">2021-10-22T19:39:00Z</dcterms:modified>
  <dc:language>pt-BR</dc:language>
</cp:coreProperties>
</file>