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1"/>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mc:AlternateContent>
          <mc:Choice Requires="wpg">
            <w:drawing>
              <wp:anchor allowOverlap="1" behindDoc="1" distB="0" distT="0" distL="0" distR="0" hidden="0" layoutInCell="1" locked="0" relativeHeight="0" simplePos="0">
                <wp:simplePos x="0" y="0"/>
                <wp:positionH relativeFrom="page">
                  <wp:posOffset>222812</wp:posOffset>
                </wp:positionH>
                <wp:positionV relativeFrom="page">
                  <wp:posOffset>50970</wp:posOffset>
                </wp:positionV>
                <wp:extent cx="13482319" cy="3164205"/>
                <wp:effectExtent b="0" l="0" r="0" t="0"/>
                <wp:wrapNone/>
                <wp:docPr id="2" name=""/>
                <a:graphic>
                  <a:graphicData uri="http://schemas.microsoft.com/office/word/2010/wordprocessingGroup">
                    <wpg:wgp>
                      <wpg:cNvGrpSpPr/>
                      <wpg:grpSpPr>
                        <a:xfrm>
                          <a:off x="0" y="2197875"/>
                          <a:ext cx="13482319" cy="3164205"/>
                          <a:chOff x="0" y="2197875"/>
                          <a:chExt cx="10692000" cy="3164225"/>
                        </a:xfrm>
                      </wpg:grpSpPr>
                      <wpg:grpSp>
                        <wpg:cNvGrpSpPr/>
                        <wpg:grpSpPr>
                          <a:xfrm>
                            <a:off x="0" y="2197898"/>
                            <a:ext cx="10691985" cy="3164487"/>
                            <a:chOff x="0" y="0"/>
                            <a:chExt cx="13482300" cy="3164487"/>
                          </a:xfrm>
                        </wpg:grpSpPr>
                        <wps:wsp>
                          <wps:cNvSpPr/>
                          <wps:cNvPr id="3" name="Shape 3"/>
                          <wps:spPr>
                            <a:xfrm>
                              <a:off x="0" y="0"/>
                              <a:ext cx="13482300" cy="316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688330" cy="2652395"/>
                            </a:xfrm>
                            <a:custGeom>
                              <a:rect b="b" l="l" r="r" t="t"/>
                              <a:pathLst>
                                <a:path extrusionOk="0" h="2652395" w="5688330">
                                  <a:moveTo>
                                    <a:pt x="5687758" y="2652215"/>
                                  </a:moveTo>
                                  <a:lnTo>
                                    <a:pt x="0" y="2652215"/>
                                  </a:lnTo>
                                  <a:lnTo>
                                    <a:pt x="0" y="0"/>
                                  </a:lnTo>
                                  <a:lnTo>
                                    <a:pt x="5687758" y="0"/>
                                  </a:lnTo>
                                  <a:lnTo>
                                    <a:pt x="5687758" y="2652215"/>
                                  </a:lnTo>
                                  <a:close/>
                                </a:path>
                              </a:pathLst>
                            </a:custGeom>
                            <a:solidFill>
                              <a:srgbClr val="1C4E81"/>
                            </a:solidFill>
                            <a:ln>
                              <a:noFill/>
                            </a:ln>
                          </wps:spPr>
                          <wps:bodyPr anchorCtr="0" anchor="ctr" bIns="91425" lIns="91425" spcFirstLastPara="1" rIns="91425" wrap="square" tIns="91425">
                            <a:noAutofit/>
                          </wps:bodyPr>
                        </wps:wsp>
                        <wps:wsp>
                          <wps:cNvSpPr/>
                          <wps:cNvPr id="5" name="Shape 5"/>
                          <wps:spPr>
                            <a:xfrm>
                              <a:off x="7165064" y="0"/>
                              <a:ext cx="6316980" cy="2652395"/>
                            </a:xfrm>
                            <a:custGeom>
                              <a:rect b="b" l="l" r="r" t="t"/>
                              <a:pathLst>
                                <a:path extrusionOk="0" h="2652395" w="6316980">
                                  <a:moveTo>
                                    <a:pt x="6316726" y="2652215"/>
                                  </a:moveTo>
                                  <a:lnTo>
                                    <a:pt x="0" y="2652215"/>
                                  </a:lnTo>
                                  <a:lnTo>
                                    <a:pt x="0" y="0"/>
                                  </a:lnTo>
                                  <a:lnTo>
                                    <a:pt x="6316726" y="0"/>
                                  </a:lnTo>
                                  <a:lnTo>
                                    <a:pt x="6316726" y="2652215"/>
                                  </a:lnTo>
                                  <a:close/>
                                </a:path>
                              </a:pathLst>
                            </a:custGeom>
                            <a:solidFill>
                              <a:srgbClr val="97C6B9"/>
                            </a:solidFill>
                            <a:ln>
                              <a:noFill/>
                            </a:ln>
                          </wps:spPr>
                          <wps:bodyPr anchorCtr="0" anchor="ctr" bIns="91425" lIns="91425" spcFirstLastPara="1" rIns="91425" wrap="square" tIns="91425">
                            <a:noAutofit/>
                          </wps:bodyPr>
                        </wps:wsp>
                        <wps:wsp>
                          <wps:cNvSpPr/>
                          <wps:cNvPr id="6" name="Shape 6"/>
                          <wps:spPr>
                            <a:xfrm>
                              <a:off x="5690413" y="13617"/>
                              <a:ext cx="4098290" cy="3150870"/>
                            </a:xfrm>
                            <a:custGeom>
                              <a:rect b="b" l="l" r="r" t="t"/>
                              <a:pathLst>
                                <a:path extrusionOk="0" h="3150870" w="4098290">
                                  <a:moveTo>
                                    <a:pt x="2049957" y="3150352"/>
                                  </a:moveTo>
                                  <a:lnTo>
                                    <a:pt x="0" y="2660487"/>
                                  </a:lnTo>
                                  <a:lnTo>
                                    <a:pt x="0" y="0"/>
                                  </a:lnTo>
                                  <a:lnTo>
                                    <a:pt x="4097918" y="0"/>
                                  </a:lnTo>
                                  <a:lnTo>
                                    <a:pt x="4097918" y="2660963"/>
                                  </a:lnTo>
                                  <a:lnTo>
                                    <a:pt x="2049957" y="3150352"/>
                                  </a:lnTo>
                                  <a:close/>
                                </a:path>
                              </a:pathLst>
                            </a:custGeom>
                            <a:solidFill>
                              <a:srgbClr val="E1E7EC"/>
                            </a:solidFill>
                            <a:ln>
                              <a:noFill/>
                            </a:ln>
                          </wps:spPr>
                          <wps:bodyPr anchorCtr="0" anchor="ctr" bIns="91425" lIns="91425" spcFirstLastPara="1" rIns="91425" wrap="square" tIns="91425">
                            <a:noAutofit/>
                          </wps:bodyPr>
                        </wps:wsp>
                        <pic:pic>
                          <pic:nvPicPr>
                            <pic:cNvPr id="7" name="Shape 7"/>
                            <pic:cNvPicPr preferRelativeResize="0"/>
                          </pic:nvPicPr>
                          <pic:blipFill rotWithShape="1">
                            <a:blip r:embed="rId8">
                              <a:alphaModFix/>
                            </a:blip>
                            <a:srcRect b="0" l="0" r="0" t="0"/>
                            <a:stretch/>
                          </pic:blipFill>
                          <pic:spPr>
                            <a:xfrm>
                              <a:off x="270913" y="231343"/>
                              <a:ext cx="4941939" cy="2211339"/>
                            </a:xfrm>
                            <a:prstGeom prst="rect">
                              <a:avLst/>
                            </a:prstGeom>
                            <a:noFill/>
                            <a:ln>
                              <a:noFill/>
                            </a:ln>
                          </pic:spPr>
                        </pic:pic>
                        <pic:pic>
                          <pic:nvPicPr>
                            <pic:cNvPr id="8" name="Shape 8"/>
                            <pic:cNvPicPr preferRelativeResize="0"/>
                          </pic:nvPicPr>
                          <pic:blipFill rotWithShape="1">
                            <a:blip r:embed="rId9">
                              <a:alphaModFix/>
                            </a:blip>
                            <a:srcRect b="0" l="0" r="0" t="0"/>
                            <a:stretch/>
                          </pic:blipFill>
                          <pic:spPr>
                            <a:xfrm>
                              <a:off x="6536468" y="251048"/>
                              <a:ext cx="2354583" cy="2291914"/>
                            </a:xfrm>
                            <a:prstGeom prst="rect">
                              <a:avLst/>
                            </a:prstGeom>
                            <a:noFill/>
                            <a:ln>
                              <a:noFill/>
                            </a:ln>
                          </pic:spPr>
                        </pic:pic>
                        <pic:pic>
                          <pic:nvPicPr>
                            <pic:cNvPr id="9" name="Shape 9"/>
                            <pic:cNvPicPr preferRelativeResize="0"/>
                          </pic:nvPicPr>
                          <pic:blipFill rotWithShape="1">
                            <a:blip r:embed="rId10">
                              <a:alphaModFix/>
                            </a:blip>
                            <a:srcRect b="0" l="0" r="0" t="0"/>
                            <a:stretch/>
                          </pic:blipFill>
                          <pic:spPr>
                            <a:xfrm>
                              <a:off x="9945639" y="533733"/>
                              <a:ext cx="3384154" cy="1692077"/>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222812</wp:posOffset>
                </wp:positionH>
                <wp:positionV relativeFrom="page">
                  <wp:posOffset>50970</wp:posOffset>
                </wp:positionV>
                <wp:extent cx="13482319" cy="3164205"/>
                <wp:effectExtent b="0" l="0" r="0" t="0"/>
                <wp:wrapNone/>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3482319" cy="316420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sz w:val="28"/>
          <w:szCs w:val="28"/>
          <w:rtl w:val="0"/>
        </w:rPr>
        <w:t xml:space="preserve">Luz, Câmera, Conversação: Os Curtas-Metragens como ferramenta de Percepção de Fluência no Inglês em Estudantes do Ensino Médio.</w:t>
      </w:r>
    </w:p>
    <w:p w:rsidR="00000000" w:rsidDel="00000000" w:rsidP="00000000" w:rsidRDefault="00000000" w:rsidRPr="00000000" w14:paraId="00000008">
      <w:pPr>
        <w:keepLines w:val="1"/>
        <w:widowControl w:val="1"/>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Izabel Santos de Castro Silva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keepLines w:val="1"/>
        <w:widowControl w:val="1"/>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Izabelly Keile do Nascimento Santos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keepLines w:val="1"/>
        <w:widowControl w:val="1"/>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Rodrigo Cavalcanti de Andrade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keepLines w:val="1"/>
        <w:widowControl w:val="1"/>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Denise Silva Barbosa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keepLines w:val="1"/>
        <w:widowControl w:val="1"/>
        <w:spacing w:after="240"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Ricardo Rios Barreto Filho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D">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0E">
      <w:pPr>
        <w:widowControl w:val="1"/>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cenário de ensino de língua estrangeira nas escolas públicas, especialmente em um contexto onde os alunos tendem a entender a Compreensão Oral e a Fala como habilidades de especial dificuldade, a busca por estratégias didáticas que contemplem tanto desenvolver essas competências quanto propiciar um ambiente motivacional para os estudantes é vital. O contato com a mídia audiovisual, como os filmes e curta-metragens, vem sendo discutido por diversos autores como recurso didático relevante para o ensino de línguas. Além disso, tarefas pontuais e discussões orientadas durante a exibição do material audiovisual, potencializam a aprendizagem e estimulam o pensamento crítico. Portanto, esse trabalho tem como objetivo relatar experiências baseadas na análise de curtas-metragem como ferramenta didática pedagógica para o desenvolvimento da percepção de fluência em língua inglesa por estudantes brasileiros do ensino médio de escola pública, com ênfase no desenvolvimento das competências de Compreensão Oral e Fala. Partindo da hipótese central de que o contato com curtas-metragens, seguido de momentos de discussão, pode influenciar de maneira positiva a autopercepção e autoconfiança dos alunos, tornando o aprendizado mais interativo, significativo e estimulante.</w:t>
      </w:r>
    </w:p>
    <w:p w:rsidR="00000000" w:rsidDel="00000000" w:rsidP="00000000" w:rsidRDefault="00000000" w:rsidRPr="00000000" w14:paraId="0000000F">
      <w:pPr>
        <w:widowControl w:val="1"/>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Referencial Teórico</w:t>
      </w:r>
    </w:p>
    <w:p w:rsidR="00000000" w:rsidDel="00000000" w:rsidP="00000000" w:rsidRDefault="00000000" w:rsidRPr="00000000" w14:paraId="00000010">
      <w:pPr>
        <w:widowControl w:val="1"/>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Khatib e Alizadeh (2016), filmes são uma maneira eficaz de trabalhar o pensamento crítico dos alunos quanto focados na compreensão e interpretação das películas. Florence (2009) e Ismaili (2013) mostram ainda que filmes colocam os alunos em contato com elementos paralinguísticos, tais como: gestos, pausas, ações e reações dos personagens para que, assim, atinjam um nível muito mais profundo de compreensão e interpretação (apud KABOOHA, 2016, p. 249). Li (2012), defende que a implementação pode ser uma sessão de </w:t>
      </w:r>
      <w:r w:rsidDel="00000000" w:rsidR="00000000" w:rsidRPr="00000000">
        <w:rPr>
          <w:rFonts w:ascii="Times New Roman" w:cs="Times New Roman" w:eastAsia="Times New Roman" w:hAnsi="Times New Roman"/>
          <w:i w:val="1"/>
          <w:sz w:val="24"/>
          <w:szCs w:val="24"/>
          <w:rtl w:val="0"/>
        </w:rPr>
        <w:t xml:space="preserve">brainstorming </w:t>
      </w:r>
      <w:r w:rsidDel="00000000" w:rsidR="00000000" w:rsidRPr="00000000">
        <w:rPr>
          <w:rFonts w:ascii="Times New Roman" w:cs="Times New Roman" w:eastAsia="Times New Roman" w:hAnsi="Times New Roman"/>
          <w:sz w:val="24"/>
          <w:szCs w:val="24"/>
          <w:rtl w:val="0"/>
        </w:rPr>
        <w:t xml:space="preserve">entre os alunos e o(s) docente(s) para discutir os temas abordados no filme, vocabulário novo e expressões idiomáticas/gírias. Finalmente, também foi utilizado o estudo de Liani e Hamid (2023) sobre a autopercepção de alunos EFL em sua própria fluência. Tal estudo concluiu que o material utilizado pelo docente corresponde a um dos fatores cruciais para a motivação e </w:t>
      </w:r>
      <w:r w:rsidDel="00000000" w:rsidR="00000000" w:rsidRPr="00000000">
        <w:rPr>
          <w:rFonts w:ascii="Times New Roman" w:cs="Times New Roman" w:eastAsia="Times New Roman" w:hAnsi="Times New Roman"/>
          <w:i w:val="1"/>
          <w:sz w:val="24"/>
          <w:szCs w:val="24"/>
          <w:rtl w:val="0"/>
        </w:rPr>
        <w:t xml:space="preserve">self-perception </w:t>
      </w:r>
      <w:r w:rsidDel="00000000" w:rsidR="00000000" w:rsidRPr="00000000">
        <w:rPr>
          <w:rFonts w:ascii="Times New Roman" w:cs="Times New Roman" w:eastAsia="Times New Roman" w:hAnsi="Times New Roman"/>
          <w:sz w:val="24"/>
          <w:szCs w:val="24"/>
          <w:rtl w:val="0"/>
        </w:rPr>
        <w:t xml:space="preserve">dos alunos dentro da língua-alvo, juntamente com a metodologia e as experiências prévias dos discentes com a língua. Dessa forma, implementar nas aulas materiais instigantes aumenta a motivação dos alunos quanto a seu aprendizado.</w:t>
      </w:r>
    </w:p>
    <w:p w:rsidR="00000000" w:rsidDel="00000000" w:rsidP="00000000" w:rsidRDefault="00000000" w:rsidRPr="00000000" w14:paraId="00000011">
      <w:pPr>
        <w:widowControl w:val="1"/>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2">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modo a engajar com o objeto de estudo, foi realizada uma pesquisa bibliográfica do tipo revisão, analisando e sintetizando estudos publicados na área do ensino de línguas, com foco direcionado aos estudos tratando sobre uso de textos autênticos, uso de textos não literários como filmes, e percepção de aprendizagem. Tal revisão buscou mapear conceitos e evidências de modo a responder se curta-metragens seriam eficazes na melhora da autopercepção de fluência dos estudantes de idiomas, especialmente alunos de Ensino Médio. O aspecto qualitativo da metodologia fica por conta de uma pesquisa realizada por meio de um formulário com quatro estudantes do Ensino Médio do Instituto Federal de Pernambuco (IFPE), após um período de 3 meses com encontros semanais onde foram assistidos e discutidos um total de oito curta-metragens em língua inglesa.</w:t>
      </w:r>
    </w:p>
    <w:p w:rsidR="00000000" w:rsidDel="00000000" w:rsidP="00000000" w:rsidRDefault="00000000" w:rsidRPr="00000000" w14:paraId="00000013">
      <w:pPr>
        <w:widowControl w:val="1"/>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4">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revisão bibliográfica indica que filmes - e curta-metragens - podem de fato ser fortes aliados no ensino de idiomas em geral, especialmente na melhora da autopercepção dos próprios estudantes sobre seu nível no idioma, o que pode gerar efeitos positivos na confiança com a qual engajam em atividades de Compreensão Oral e Fala. Tais hipóteses ecoam nos resultados da pesquisa realizada com quatro estudantes do Ensino Médio do Instituto Federal de Pernambuco (IFPE). Todos eles indicaram nas respostas que gostaram muito de participar do projeto; que sentem que seu nível de Inglês melhorou; que aprenderam novas palavras e expressões; que se sentem capazes de assistir filmes em Inglês; e que se sentem capazes de manter uma conversa em Inglês. Além disso, metade dos estudantes acredita que tanto seu nível de fala quanto de compreensão oral foram as áreas mais positivamente afetadas, enquanto um deles elegeu fala como a área com mais melhorias e outro a compreensão oral. Por último, metade dos estudantes acredita ter ampliado seu arcabouço cultural no projeto.</w:t>
      </w:r>
    </w:p>
    <w:p w:rsidR="00000000" w:rsidDel="00000000" w:rsidP="00000000" w:rsidRDefault="00000000" w:rsidRPr="00000000" w14:paraId="00000015">
      <w:pPr>
        <w:widowControl w:val="1"/>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6">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estudos analisados, alinhados com as experiências desenvolvidas no Instituto Federal de Pernambuco evidenciam que o uso dos curtas-metragens beneficia não apenas o engajamento e a motivação dos estudantes, mas também a consolidação da autoconfiança e percepção de fluência. A partir dos resultados obtidos por meio dessa experiência, é possível concluir que essa ferramenta pedagógica trabalha positivamente de maneira significativa para o aperfeiçoamento das competências orais no ensino de inglês como língua estrangeira, tornando tanto o ensino quanto o processo de aprendizagem mais interativo e expressivo.</w:t>
      </w:r>
    </w:p>
    <w:p w:rsidR="00000000" w:rsidDel="00000000" w:rsidP="00000000" w:rsidRDefault="00000000" w:rsidRPr="00000000" w14:paraId="00000017">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18">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KABOOHA, Raniah Hassen. </w:t>
      </w:r>
      <w:r w:rsidDel="00000000" w:rsidR="00000000" w:rsidRPr="00000000">
        <w:rPr>
          <w:rFonts w:ascii="Times New Roman" w:cs="Times New Roman" w:eastAsia="Times New Roman" w:hAnsi="Times New Roman"/>
          <w:b w:val="1"/>
          <w:sz w:val="24"/>
          <w:szCs w:val="24"/>
          <w:rtl w:val="0"/>
        </w:rPr>
        <w:t xml:space="preserve">Using Movies in EFL Classrooms: A Study Conducted at the English Language Institute (ELI), King Abdul-Aziz University</w:t>
      </w:r>
      <w:r w:rsidDel="00000000" w:rsidR="00000000" w:rsidRPr="00000000">
        <w:rPr>
          <w:rFonts w:ascii="Times New Roman" w:cs="Times New Roman" w:eastAsia="Times New Roman" w:hAnsi="Times New Roman"/>
          <w:sz w:val="24"/>
          <w:szCs w:val="24"/>
          <w:rtl w:val="0"/>
        </w:rPr>
        <w:t xml:space="preserve">. English Language Teaching, Canadian Center Of Science And Education, v. 9, n. 3, p. 248-257, 22 fev. 2016. </w:t>
      </w:r>
    </w:p>
    <w:p w:rsidR="00000000" w:rsidDel="00000000" w:rsidP="00000000" w:rsidRDefault="00000000" w:rsidRPr="00000000" w14:paraId="00000019">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KHATIB, Mohammad; ALIZADEH, Iman. </w:t>
      </w:r>
      <w:r w:rsidDel="00000000" w:rsidR="00000000" w:rsidRPr="00000000">
        <w:rPr>
          <w:rFonts w:ascii="Times New Roman" w:cs="Times New Roman" w:eastAsia="Times New Roman" w:hAnsi="Times New Roman"/>
          <w:b w:val="1"/>
          <w:sz w:val="24"/>
          <w:szCs w:val="24"/>
          <w:rtl w:val="0"/>
        </w:rPr>
        <w:t xml:space="preserve">Critical Thinking Skills through Literary and Non-Literary Texts in English Classes. International Journal Of Linguistics</w:t>
      </w:r>
      <w:r w:rsidDel="00000000" w:rsidR="00000000" w:rsidRPr="00000000">
        <w:rPr>
          <w:rFonts w:ascii="Times New Roman" w:cs="Times New Roman" w:eastAsia="Times New Roman" w:hAnsi="Times New Roman"/>
          <w:sz w:val="24"/>
          <w:szCs w:val="24"/>
          <w:rtl w:val="0"/>
        </w:rPr>
        <w:t xml:space="preserve">, p. 563-580, 23 dez. 2012. Macrothink Institute, Inc..</w:t>
      </w:r>
    </w:p>
    <w:p w:rsidR="00000000" w:rsidDel="00000000" w:rsidP="00000000" w:rsidRDefault="00000000" w:rsidRPr="00000000" w14:paraId="0000001A">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Chen-Hong. </w:t>
      </w:r>
      <w:r w:rsidDel="00000000" w:rsidR="00000000" w:rsidRPr="00000000">
        <w:rPr>
          <w:rFonts w:ascii="Times New Roman" w:cs="Times New Roman" w:eastAsia="Times New Roman" w:hAnsi="Times New Roman"/>
          <w:b w:val="1"/>
          <w:sz w:val="24"/>
          <w:szCs w:val="24"/>
          <w:rtl w:val="0"/>
        </w:rPr>
        <w:t xml:space="preserve">Are They Listening Better? Supporting EFL College Students DVD Video Comprehension With Advance Organizers In A Multimedia English Course</w:t>
      </w:r>
      <w:r w:rsidDel="00000000" w:rsidR="00000000" w:rsidRPr="00000000">
        <w:rPr>
          <w:rFonts w:ascii="Times New Roman" w:cs="Times New Roman" w:eastAsia="Times New Roman" w:hAnsi="Times New Roman"/>
          <w:sz w:val="24"/>
          <w:szCs w:val="24"/>
          <w:rtl w:val="0"/>
        </w:rPr>
        <w:t xml:space="preserve">. Journal Of College Teaching &amp; Learning (Tlc), p. 277-288, 20 set. 2012. Clute Institute.</w:t>
      </w:r>
      <w:hyperlink r:id="rId12">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tl w:val="0"/>
        </w:rPr>
      </w:r>
    </w:p>
    <w:p w:rsidR="00000000" w:rsidDel="00000000" w:rsidP="00000000" w:rsidRDefault="00000000" w:rsidRPr="00000000" w14:paraId="0000001B">
      <w:pPr>
        <w:widowControl w:val="1"/>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LIANI, Silva; HAMID, Radiah. </w:t>
      </w:r>
      <w:r w:rsidDel="00000000" w:rsidR="00000000" w:rsidRPr="00000000">
        <w:rPr>
          <w:rFonts w:ascii="Times New Roman" w:cs="Times New Roman" w:eastAsia="Times New Roman" w:hAnsi="Times New Roman"/>
          <w:b w:val="1"/>
          <w:sz w:val="24"/>
          <w:szCs w:val="24"/>
          <w:rtl w:val="0"/>
        </w:rPr>
        <w:t xml:space="preserve">English learners speaking performance: do self-perception and exteroception influence their language acquisition?</w:t>
      </w:r>
      <w:r w:rsidDel="00000000" w:rsidR="00000000" w:rsidRPr="00000000">
        <w:rPr>
          <w:rFonts w:ascii="Times New Roman" w:cs="Times New Roman" w:eastAsia="Times New Roman" w:hAnsi="Times New Roman"/>
          <w:sz w:val="24"/>
          <w:szCs w:val="24"/>
          <w:rtl w:val="0"/>
        </w:rPr>
        <w:t xml:space="preserve">. International Journal of English Learning and Applied Linguistics (IJELAL), v. 3, n. 2, p. 101–115, 2023.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pgSz w:h="31660" w:w="22390" w:orient="portrait"/>
          <w:pgMar w:bottom="0" w:top="520" w:left="708" w:right="566" w:header="720" w:footer="720"/>
          <w:pgNumType w:start="1"/>
        </w:sect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 w:line="240" w:lineRule="auto"/>
        <w:ind w:left="0" w:right="0" w:firstLine="0"/>
        <w:jc w:val="left"/>
        <w:rPr>
          <w:rFonts w:ascii="Tahoma" w:cs="Tahoma" w:eastAsia="Tahoma" w:hAnsi="Tahoma"/>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42">
      <w:pPr>
        <w:spacing w:line="659" w:lineRule="auto"/>
        <w:ind w:left="37" w:firstLine="0"/>
        <w:jc w:val="center"/>
        <w:rPr>
          <w:rFonts w:ascii="Tahoma" w:cs="Tahoma" w:eastAsia="Tahoma" w:hAnsi="Tahoma"/>
          <w:b w:val="1"/>
          <w:sz w:val="60"/>
          <w:szCs w:val="60"/>
        </w:rPr>
      </w:pPr>
      <w:r w:rsidDel="00000000" w:rsidR="00000000" w:rsidRPr="00000000">
        <w:rPr>
          <w:rtl w:val="0"/>
        </w:rPr>
      </w:r>
    </w:p>
    <w:p w:rsidR="00000000" w:rsidDel="00000000" w:rsidP="00000000" w:rsidRDefault="00000000" w:rsidRPr="00000000" w14:paraId="00000043">
      <w:pPr>
        <w:spacing w:before="144" w:line="268" w:lineRule="auto"/>
        <w:ind w:left="905" w:right="763" w:firstLine="0"/>
        <w:jc w:val="center"/>
        <w:rPr>
          <w:sz w:val="17"/>
          <w:szCs w:val="17"/>
        </w:rPr>
        <w:sectPr>
          <w:type w:val="continuous"/>
          <w:pgSz w:h="31660" w:w="22390" w:orient="portrait"/>
          <w:pgMar w:bottom="0" w:top="520" w:left="708" w:right="566" w:header="720" w:footer="720"/>
          <w:cols w:equalWidth="0" w:num="2">
            <w:col w:space="2098" w:w="9509"/>
            <w:col w:space="0" w:w="9509"/>
          </w:cols>
        </w:sectPr>
      </w:pPr>
      <w:r w:rsidDel="00000000" w:rsidR="00000000" w:rsidRPr="00000000">
        <w:br w:type="column"/>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sectPr>
          <w:type w:val="continuous"/>
          <w:pgSz w:h="31660" w:w="22390" w:orient="portrait"/>
          <w:pgMar w:bottom="0" w:top="520" w:left="708" w:right="566" w:header="720" w:footer="720"/>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13" w:lineRule="auto"/>
        <w:ind w:left="453" w:right="38" w:firstLine="0"/>
        <w:jc w:val="both"/>
        <w:rPr>
          <w:rFonts w:ascii="Arial Black" w:cs="Arial Black" w:eastAsia="Arial Black" w:hAnsi="Arial Black"/>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48">
      <w:pPr>
        <w:tabs>
          <w:tab w:val="left" w:leader="none" w:pos="5305"/>
        </w:tabs>
        <w:ind w:left="453" w:firstLine="0"/>
        <w:rPr>
          <w:rFonts w:ascii="Arial Black" w:cs="Arial Black" w:eastAsia="Arial Black" w:hAnsi="Arial Black"/>
          <w:sz w:val="33"/>
          <w:szCs w:val="33"/>
        </w:rPr>
      </w:pPr>
      <w:r w:rsidDel="00000000" w:rsidR="00000000" w:rsidRPr="00000000">
        <w:rPr>
          <w:rtl w:val="0"/>
        </w:rPr>
      </w:r>
    </w:p>
    <w:sectPr>
      <w:type w:val="continuous"/>
      <w:pgSz w:h="31660" w:w="22390" w:orient="portrait"/>
      <w:pgMar w:bottom="0" w:top="520" w:left="708" w:right="566" w:header="720" w:footer="720"/>
      <w:cols w:equalWidth="0" w:num="2">
        <w:col w:space="216" w:w="10450"/>
        <w:col w:space="0" w:w="1045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ucida Sans"/>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9">
      <w:pPr>
        <w:widowControl w:val="1"/>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Estudante do décimo período de Letras – Inglês na Universidade Federal de Pernambuco (UFPE).</w:t>
      </w:r>
    </w:p>
  </w:footnote>
  <w:footnote w:id="1">
    <w:p w:rsidR="00000000" w:rsidDel="00000000" w:rsidP="00000000" w:rsidRDefault="00000000" w:rsidRPr="00000000" w14:paraId="0000004A">
      <w:pPr>
        <w:widowControl w:val="1"/>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Estudante do sétimo período de Letras – Inglês na Universidade Federal de Pernambuco (UFPE). Izabelly.nascimento@ufpe.br</w:t>
      </w:r>
    </w:p>
  </w:footnote>
  <w:footnote w:id="2">
    <w:p w:rsidR="00000000" w:rsidDel="00000000" w:rsidP="00000000" w:rsidRDefault="00000000" w:rsidRPr="00000000" w14:paraId="0000004B">
      <w:pPr>
        <w:widowControl w:val="1"/>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Bacharel em Relações Internacionais pela Faculdade Damas da Instrução Cristã (FADIC) e estudante do sétimo período de Letras – Inglês na Universidade Federal de Pernambuco (UFPE). Rodrigo.candrade@ufpe.br</w:t>
      </w:r>
    </w:p>
  </w:footnote>
  <w:footnote w:id="3">
    <w:p w:rsidR="00000000" w:rsidDel="00000000" w:rsidP="00000000" w:rsidRDefault="00000000" w:rsidRPr="00000000" w14:paraId="0000004C">
      <w:pPr>
        <w:widowControl w:val="1"/>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Graduada em Psicologia pela UFPE (1987) e em Letras pela UNICAP (1991). Possui Especialização em Linguística Aplicada à Língua Inglesa pela FAFIRE (2001) e Mestrado em Educação pela UFAL (2012). Atualmente é professora EBTT do IFPE. Denisebarbosa@recife.ifpe.edu.br</w:t>
      </w:r>
    </w:p>
  </w:footnote>
  <w:footnote w:id="4">
    <w:p w:rsidR="00000000" w:rsidDel="00000000" w:rsidP="00000000" w:rsidRDefault="00000000" w:rsidRPr="00000000" w14:paraId="0000004D">
      <w:pPr>
        <w:widowControl w:val="1"/>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 Adjunto do Departamento de Letras da Universidade Federal de Pernambuco (UFPE), doutor em Letras (Linguística) pela UFPE, líder do Grupo de Estudos em Linguagem e Interação (GELI), coordenador do projeto de extensão NLC (Núcleo de Línguas e Culturas), coordenador do PIBID (Língua Inglesa) e ocupa o cargo de 2 secretário na Associação Brasileira de Linguística (ABRALIN). Ricardo.rios@ufpe.br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image" Target="media/image1.png"/><Relationship Id="rId10" Type="http://schemas.openxmlformats.org/officeDocument/2006/relationships/image" Target="media/image2.jpg"/><Relationship Id="rId12" Type="http://schemas.openxmlformats.org/officeDocument/2006/relationships/hyperlink" Target="http://dx.doi.org/10.19030/tlc.v9i4.7298" TargetMode="External"/><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sL6BoRYpyqjazZs1O+7SGkreg==">CgMxLjA4AHIhMXprd1JERlpUNUp2bHVRdUVFTENMbGU2T19vNVdtT1hG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