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F5A0" w14:textId="77777777" w:rsidR="00FC0047" w:rsidRDefault="00665C5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SENECAVÍRUS A: VIROSE VESICULAR EMERGENTE NA SUINOCULTURA DO BRASIL</w:t>
      </w:r>
    </w:p>
    <w:p w14:paraId="678FF03C" w14:textId="77777777" w:rsidR="00FC0047" w:rsidRDefault="00665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bscript"/>
        </w:rPr>
      </w:pPr>
      <w:proofErr w:type="spellStart"/>
      <w:r>
        <w:rPr>
          <w:rFonts w:ascii="Arial" w:eastAsia="Arial" w:hAnsi="Arial" w:cs="Arial"/>
          <w:b/>
          <w:color w:val="000000"/>
          <w:highlight w:val="white"/>
        </w:rPr>
        <w:t>Glaycielle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Sarah Souza Damasceno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>, Emerson Augusto Crisóstomo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Talita da Silva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Alessandra Silva Dias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  <w:vertAlign w:val="subscript"/>
        </w:rPr>
        <w:t>.</w:t>
      </w:r>
    </w:p>
    <w:p w14:paraId="18002A55" w14:textId="77777777" w:rsidR="00FC0047" w:rsidRDefault="00665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glaycissd@gmail.com</w:t>
      </w:r>
    </w:p>
    <w:p w14:paraId="5964AE02" w14:textId="77777777" w:rsidR="00FC0047" w:rsidRDefault="00665C5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Adjunto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0674663C" w14:textId="77777777" w:rsidR="00FC0047" w:rsidRDefault="00FC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C0047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A82C7AA" w14:textId="77777777" w:rsidR="00FC0047" w:rsidRDefault="00665C5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632A39E" w14:textId="77777777" w:rsidR="00FC0047" w:rsidRDefault="00665C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abertura e manutenção de mercados depende de diversos fatores, como a qualidade das condições sanitárias de um país. Doenças infecciosas podem provocar surtos, os quais se não controlados tomam proporções maiores, o que impacta negativamente na suinocult</w:t>
      </w:r>
      <w:r>
        <w:rPr>
          <w:rFonts w:ascii="Arial" w:eastAsia="Arial" w:hAnsi="Arial" w:cs="Arial"/>
          <w:sz w:val="18"/>
          <w:szCs w:val="18"/>
        </w:rPr>
        <w:t xml:space="preserve">ura industrial. O </w:t>
      </w:r>
      <w:r>
        <w:rPr>
          <w:rFonts w:ascii="Arial" w:eastAsia="Arial" w:hAnsi="Arial" w:cs="Arial"/>
          <w:i/>
          <w:sz w:val="18"/>
          <w:szCs w:val="18"/>
        </w:rPr>
        <w:t>Senecavirus</w:t>
      </w:r>
      <w:r>
        <w:rPr>
          <w:rFonts w:ascii="Arial" w:eastAsia="Arial" w:hAnsi="Arial" w:cs="Arial"/>
          <w:i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 (SVA), é um vírus emergente no Brasil, que provoca sintomatologia clínica indistinguível da febre aftosa e outras doenças vesiculares que afetam os suínos¹. Entretanto, aspectos da biologia e patogênese desse microrganism</w:t>
      </w:r>
      <w:r>
        <w:rPr>
          <w:rFonts w:ascii="Arial" w:eastAsia="Arial" w:hAnsi="Arial" w:cs="Arial"/>
          <w:sz w:val="18"/>
          <w:szCs w:val="18"/>
        </w:rPr>
        <w:t xml:space="preserve">o ainda não são claros. O objetivo deste estudo é revisar os conceitos sobre a estrutura, epidemiologia e patogênese do </w:t>
      </w:r>
      <w:r>
        <w:rPr>
          <w:rFonts w:ascii="Arial" w:eastAsia="Arial" w:hAnsi="Arial" w:cs="Arial"/>
          <w:i/>
          <w:sz w:val="18"/>
          <w:szCs w:val="18"/>
        </w:rPr>
        <w:t>Senecaviru</w:t>
      </w:r>
      <w:r>
        <w:rPr>
          <w:rFonts w:ascii="Arial" w:eastAsia="Arial" w:hAnsi="Arial" w:cs="Arial"/>
          <w:i/>
          <w:sz w:val="18"/>
          <w:szCs w:val="18"/>
        </w:rPr>
        <w:t>s A</w:t>
      </w:r>
      <w:r>
        <w:rPr>
          <w:rFonts w:ascii="Arial" w:eastAsia="Arial" w:hAnsi="Arial" w:cs="Arial"/>
          <w:sz w:val="18"/>
          <w:szCs w:val="18"/>
        </w:rPr>
        <w:t>.</w:t>
      </w:r>
    </w:p>
    <w:p w14:paraId="1FBBBC97" w14:textId="77777777" w:rsidR="00FC0047" w:rsidRDefault="00665C53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3EBEAE" w14:textId="77777777" w:rsidR="00FC0047" w:rsidRDefault="00FC00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225DA2E" w14:textId="77777777" w:rsidR="00FC0047" w:rsidRDefault="00665C5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12FB656" w14:textId="77777777" w:rsidR="00FC0047" w:rsidRDefault="00665C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Foi realizado buscas em bases de dados (NCBI e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de artigos publicados em periódicos entre os anos de 2016 e 2020 na língua inglesa e portuguesa utilizando os termos de indexação: </w:t>
      </w:r>
      <w:proofErr w:type="spellStart"/>
      <w:r>
        <w:rPr>
          <w:rFonts w:ascii="Arial" w:eastAsia="Arial" w:hAnsi="Arial" w:cs="Arial"/>
          <w:sz w:val="18"/>
          <w:szCs w:val="18"/>
        </w:rPr>
        <w:t>swine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Senecavirus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patogênese.</w:t>
      </w:r>
    </w:p>
    <w:p w14:paraId="1E72B5C2" w14:textId="77777777" w:rsidR="00FC0047" w:rsidRDefault="00FC0047">
      <w:pPr>
        <w:jc w:val="both"/>
        <w:rPr>
          <w:rFonts w:ascii="Arial" w:eastAsia="Arial" w:hAnsi="Arial" w:cs="Arial"/>
          <w:sz w:val="18"/>
          <w:szCs w:val="18"/>
        </w:rPr>
      </w:pPr>
    </w:p>
    <w:p w14:paraId="31B393BA" w14:textId="77777777" w:rsidR="00FC0047" w:rsidRDefault="00FC0047">
      <w:pPr>
        <w:jc w:val="both"/>
        <w:rPr>
          <w:rFonts w:ascii="Arial" w:eastAsia="Arial" w:hAnsi="Arial" w:cs="Arial"/>
          <w:sz w:val="18"/>
          <w:szCs w:val="18"/>
        </w:rPr>
      </w:pPr>
    </w:p>
    <w:p w14:paraId="51371EC3" w14:textId="77777777" w:rsidR="00FC0047" w:rsidRDefault="00665C53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4AA3F0A9" w14:textId="77777777" w:rsidR="00FC0047" w:rsidRDefault="00665C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SVA circula em rebanhos nos Estados Unidos desde a década de 1980, porém foi isolado pela primeira vez em 2002 e disseminado para diversos países produtores de suínos como Canadá, China, Tailândia, Colômbia e Brasil, após o final de 2014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Nesse último p</w:t>
      </w:r>
      <w:r>
        <w:rPr>
          <w:rFonts w:ascii="Arial" w:eastAsia="Arial" w:hAnsi="Arial" w:cs="Arial"/>
          <w:sz w:val="18"/>
          <w:szCs w:val="18"/>
        </w:rPr>
        <w:t>aís, não está claro como o vírus emergiu e, embora tenham ocorrido surtos no final de 2014, foi entre os anos de 2018 e 2019 que o número de casos aumentou nas propriedades de produção de suínos, como o surto em Minas Gerais em 2019, que atingiu cerca de 6</w:t>
      </w:r>
      <w:r>
        <w:rPr>
          <w:rFonts w:ascii="Arial" w:eastAsia="Arial" w:hAnsi="Arial" w:cs="Arial"/>
          <w:sz w:val="18"/>
          <w:szCs w:val="18"/>
        </w:rPr>
        <w:t xml:space="preserve"> mil suínos, com morbidade e mortalidade de 20% e 2,2%, respectivamente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0E546AB9" w14:textId="77777777" w:rsidR="00FC0047" w:rsidRDefault="00665C53">
      <w:pPr>
        <w:jc w:val="both"/>
        <w:rPr>
          <w:rFonts w:ascii="Arial" w:eastAsia="Arial" w:hAnsi="Arial" w:cs="Arial"/>
          <w:sz w:val="18"/>
          <w:szCs w:val="18"/>
          <w:vertAlign w:val="subscript"/>
        </w:rPr>
      </w:pPr>
      <w:r>
        <w:rPr>
          <w:rFonts w:ascii="Arial" w:eastAsia="Arial" w:hAnsi="Arial" w:cs="Arial"/>
          <w:sz w:val="18"/>
          <w:szCs w:val="18"/>
        </w:rPr>
        <w:t xml:space="preserve">Esse vírus é o único membro do gênero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Senacavirus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pertencente à família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Picornaviridae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que possui RNA fita simples de sentido positivo, não envelopado, capsídeo com simetria </w:t>
      </w:r>
      <w:proofErr w:type="spellStart"/>
      <w:r>
        <w:rPr>
          <w:rFonts w:ascii="Arial" w:eastAsia="Arial" w:hAnsi="Arial" w:cs="Arial"/>
          <w:sz w:val="18"/>
          <w:szCs w:val="18"/>
        </w:rPr>
        <w:t>icosaéd</w:t>
      </w:r>
      <w:r>
        <w:rPr>
          <w:rFonts w:ascii="Arial" w:eastAsia="Arial" w:hAnsi="Arial" w:cs="Arial"/>
          <w:sz w:val="18"/>
          <w:szCs w:val="18"/>
        </w:rPr>
        <w:t>rica</w:t>
      </w:r>
      <w:proofErr w:type="spellEnd"/>
      <w:r>
        <w:rPr>
          <w:rFonts w:ascii="Arial" w:eastAsia="Arial" w:hAnsi="Arial" w:cs="Arial"/>
          <w:sz w:val="18"/>
          <w:szCs w:val="18"/>
        </w:rPr>
        <w:t>, ao qual estão inseridas proteínas estruturais (VP1, VP2, VP3, VP4)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  <w:vertAlign w:val="subscript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Seu genoma possui apenas uma grande </w:t>
      </w:r>
      <w:proofErr w:type="spellStart"/>
      <w:r>
        <w:rPr>
          <w:rFonts w:ascii="Arial" w:eastAsia="Arial" w:hAnsi="Arial" w:cs="Arial"/>
          <w:sz w:val="18"/>
          <w:szCs w:val="18"/>
        </w:rPr>
        <w:t>poliproteína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 codifica, além dessas proteínas estruturais, os peptídeos não estruturais, que estão envolvidos na replicação do vírus. Não se s</w:t>
      </w:r>
      <w:r>
        <w:rPr>
          <w:rFonts w:ascii="Arial" w:eastAsia="Arial" w:hAnsi="Arial" w:cs="Arial"/>
          <w:sz w:val="18"/>
          <w:szCs w:val="18"/>
        </w:rPr>
        <w:t>abe as características biológicas específicas, como estabilidade ao pH e ciclo de replicação do SVA, entretanto, sabe-se que o SVA utiliza do receptor 1 da toxina do antraz para penetrar na célula do hospedeiro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  <w:vertAlign w:val="subscript"/>
        </w:rPr>
        <w:t>.</w:t>
      </w:r>
    </w:p>
    <w:p w14:paraId="578F0130" w14:textId="77777777" w:rsidR="00FC0047" w:rsidRDefault="00665C53">
      <w:pPr>
        <w:jc w:val="both"/>
        <w:rPr>
          <w:rFonts w:ascii="Arial" w:eastAsia="Arial" w:hAnsi="Arial" w:cs="Arial"/>
          <w:sz w:val="18"/>
          <w:szCs w:val="18"/>
          <w:vertAlign w:val="subscript"/>
        </w:rPr>
      </w:pPr>
      <w:r>
        <w:rPr>
          <w:rFonts w:ascii="Arial" w:eastAsia="Arial" w:hAnsi="Arial" w:cs="Arial"/>
          <w:sz w:val="18"/>
          <w:szCs w:val="18"/>
        </w:rPr>
        <w:t xml:space="preserve">A via de infecção é oronasal e a doença </w:t>
      </w:r>
      <w:r>
        <w:rPr>
          <w:rFonts w:ascii="Arial" w:eastAsia="Arial" w:hAnsi="Arial" w:cs="Arial"/>
          <w:sz w:val="18"/>
          <w:szCs w:val="18"/>
        </w:rPr>
        <w:t>atinge animais jovens e adultos, os quais podem apresentar hiperemia, claudicação, anorexia e lesões vesiculares que progridem para úlceras na boca, lábios, focinhos, banda coronariana e cascos (Fig. 1)</w:t>
      </w:r>
      <w:r>
        <w:rPr>
          <w:rFonts w:ascii="Arial" w:eastAsia="Arial" w:hAnsi="Arial" w:cs="Arial"/>
          <w:sz w:val="18"/>
          <w:szCs w:val="18"/>
          <w:vertAlign w:val="superscript"/>
        </w:rPr>
        <w:t>5,6</w:t>
      </w:r>
      <w:r>
        <w:rPr>
          <w:rFonts w:ascii="Arial" w:eastAsia="Arial" w:hAnsi="Arial" w:cs="Arial"/>
          <w:sz w:val="18"/>
          <w:szCs w:val="18"/>
        </w:rPr>
        <w:t>. O  SVA possui tropismo por linfonodos e amigdalas</w:t>
      </w:r>
      <w:r>
        <w:rPr>
          <w:rFonts w:ascii="Arial" w:eastAsia="Arial" w:hAnsi="Arial" w:cs="Arial"/>
          <w:sz w:val="18"/>
          <w:szCs w:val="18"/>
        </w:rPr>
        <w:t xml:space="preserve">, sendo que no estudo conduzido por </w:t>
      </w:r>
      <w:r>
        <w:rPr>
          <w:rFonts w:ascii="Arial" w:eastAsia="Arial" w:hAnsi="Arial" w:cs="Arial"/>
          <w:sz w:val="18"/>
          <w:szCs w:val="18"/>
          <w:highlight w:val="white"/>
        </w:rPr>
        <w:t>Leme RA</w:t>
      </w:r>
      <w:r>
        <w:rPr>
          <w:rFonts w:ascii="Arial" w:eastAsia="Arial" w:hAnsi="Arial" w:cs="Arial"/>
          <w:sz w:val="18"/>
          <w:szCs w:val="18"/>
        </w:rPr>
        <w:t xml:space="preserve"> e colaboradores (2015), identificou-se que o vírus é pantrópico em suínos infectados em idade precoce, devido a infecção de enterócitos e outros tecidos. Nesse mesmo estudo, foi observada a presença de SVA no epi</w:t>
      </w:r>
      <w:r>
        <w:rPr>
          <w:rFonts w:ascii="Arial" w:eastAsia="Arial" w:hAnsi="Arial" w:cs="Arial"/>
          <w:sz w:val="18"/>
          <w:szCs w:val="18"/>
        </w:rPr>
        <w:t>télio urinário de todos os leitões, indicando que a via urinária pode ser um meio de disseminação e fonte de contaminação. Esse resultado difere dos achados anteriores, os quais identificaram apenas as fezes, secreções nasais e orais como meios de eliminaç</w:t>
      </w:r>
      <w:r>
        <w:rPr>
          <w:rFonts w:ascii="Arial" w:eastAsia="Arial" w:hAnsi="Arial" w:cs="Arial"/>
          <w:sz w:val="18"/>
          <w:szCs w:val="18"/>
        </w:rPr>
        <w:t>ão viral</w:t>
      </w:r>
      <w:r>
        <w:rPr>
          <w:rFonts w:ascii="Arial" w:eastAsia="Arial" w:hAnsi="Arial" w:cs="Arial"/>
          <w:sz w:val="18"/>
          <w:szCs w:val="18"/>
          <w:vertAlign w:val="superscript"/>
        </w:rPr>
        <w:t>3,4,5</w:t>
      </w:r>
      <w:r>
        <w:rPr>
          <w:rFonts w:ascii="Arial" w:eastAsia="Arial" w:hAnsi="Arial" w:cs="Arial"/>
          <w:sz w:val="18"/>
          <w:szCs w:val="18"/>
          <w:vertAlign w:val="subscript"/>
        </w:rPr>
        <w:t>.</w:t>
      </w:r>
    </w:p>
    <w:p w14:paraId="242D814E" w14:textId="77777777" w:rsidR="00FC0047" w:rsidRDefault="00665C53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sinais clínicos aparecem entre o 3º e 5º dia após infecção (</w:t>
      </w:r>
      <w:proofErr w:type="spellStart"/>
      <w:r>
        <w:rPr>
          <w:rFonts w:ascii="Arial" w:eastAsia="Arial" w:hAnsi="Arial" w:cs="Arial"/>
          <w:sz w:val="18"/>
          <w:szCs w:val="18"/>
        </w:rPr>
        <w:t>a.i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e persistem por volta de 2 a 10 dias </w:t>
      </w:r>
      <w:proofErr w:type="spellStart"/>
      <w:r>
        <w:rPr>
          <w:rFonts w:ascii="Arial" w:eastAsia="Arial" w:hAnsi="Arial" w:cs="Arial"/>
          <w:sz w:val="18"/>
          <w:szCs w:val="18"/>
        </w:rPr>
        <w:t>a.i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sendo que as lesões regridem entre o 12º -16º dia </w:t>
      </w:r>
      <w:proofErr w:type="spellStart"/>
      <w:r>
        <w:rPr>
          <w:rFonts w:ascii="Arial" w:eastAsia="Arial" w:hAnsi="Arial" w:cs="Arial"/>
          <w:sz w:val="18"/>
          <w:szCs w:val="18"/>
        </w:rPr>
        <w:t>a.i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O período virêmico é em torno de 3 a 10 dias, que coincide com a fase aguda </w:t>
      </w:r>
      <w:r>
        <w:rPr>
          <w:rFonts w:ascii="Arial" w:eastAsia="Arial" w:hAnsi="Arial" w:cs="Arial"/>
          <w:sz w:val="18"/>
          <w:szCs w:val="18"/>
        </w:rPr>
        <w:t>da doença, a qual tem pico no terceiro dia após a infecção, diminuindo progressivamente. Nesse mesmo período de pico, também ocorre um aumento nos níveis de anticorpos neutralizantes, que são chave para o controle e eliminação do vírus</w:t>
      </w:r>
      <w:r>
        <w:rPr>
          <w:rFonts w:ascii="Arial" w:eastAsia="Arial" w:hAnsi="Arial" w:cs="Arial"/>
          <w:sz w:val="18"/>
          <w:szCs w:val="18"/>
          <w:vertAlign w:val="superscript"/>
        </w:rPr>
        <w:t>3,4,5</w:t>
      </w:r>
      <w:r>
        <w:rPr>
          <w:rFonts w:ascii="Arial" w:eastAsia="Arial" w:hAnsi="Arial" w:cs="Arial"/>
          <w:sz w:val="18"/>
          <w:szCs w:val="18"/>
          <w:vertAlign w:val="subscript"/>
        </w:rPr>
        <w:t>.</w:t>
      </w:r>
    </w:p>
    <w:p w14:paraId="00C65246" w14:textId="77777777" w:rsidR="00FC0047" w:rsidRDefault="00FC0047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34EFF1A" w14:textId="77777777" w:rsidR="00FC0047" w:rsidRDefault="00665C53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3CEB8D18" wp14:editId="33909528">
            <wp:extent cx="3382645" cy="287972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87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D60B7" w14:textId="77777777" w:rsidR="00FC0047" w:rsidRDefault="00FC0047">
      <w:pPr>
        <w:rPr>
          <w:rFonts w:ascii="Arial" w:eastAsia="Arial" w:hAnsi="Arial" w:cs="Arial"/>
          <w:color w:val="000000"/>
          <w:sz w:val="18"/>
          <w:szCs w:val="18"/>
        </w:rPr>
      </w:pPr>
    </w:p>
    <w:p w14:paraId="68940A5E" w14:textId="77777777" w:rsidR="00FC0047" w:rsidRDefault="00665C53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Lesões causadas pelo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Senecavirus A </w:t>
      </w:r>
      <w:r>
        <w:rPr>
          <w:rFonts w:ascii="Arial" w:eastAsia="Arial" w:hAnsi="Arial" w:cs="Arial"/>
          <w:color w:val="000000"/>
          <w:sz w:val="18"/>
          <w:szCs w:val="18"/>
        </w:rPr>
        <w:t>em suínos. Imagem A e B observa-se vesículas no focinho; nas imagens C e D lesões vesiculares nos cascos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>.</w:t>
      </w:r>
    </w:p>
    <w:p w14:paraId="125EB9B4" w14:textId="77777777" w:rsidR="00FC0047" w:rsidRDefault="00FC0047">
      <w:pPr>
        <w:jc w:val="center"/>
        <w:rPr>
          <w:rFonts w:ascii="Arial" w:eastAsia="Arial" w:hAnsi="Arial" w:cs="Arial"/>
        </w:rPr>
      </w:pPr>
    </w:p>
    <w:p w14:paraId="5706E40A" w14:textId="77777777" w:rsidR="00FC0047" w:rsidRDefault="00FC0047">
      <w:pPr>
        <w:jc w:val="both"/>
        <w:rPr>
          <w:rFonts w:ascii="Arial" w:eastAsia="Arial" w:hAnsi="Arial" w:cs="Arial"/>
          <w:sz w:val="18"/>
          <w:szCs w:val="18"/>
        </w:rPr>
      </w:pPr>
    </w:p>
    <w:p w14:paraId="3E672F92" w14:textId="77777777" w:rsidR="00FC0047" w:rsidRDefault="00665C5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798C903" w14:textId="77777777" w:rsidR="00FC0047" w:rsidRDefault="00665C5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Embora este trabalho tenha elucidado aspectos da biologia e patogênese do </w:t>
      </w:r>
      <w:r>
        <w:rPr>
          <w:rFonts w:ascii="Arial" w:eastAsia="Arial" w:hAnsi="Arial" w:cs="Arial"/>
          <w:i/>
          <w:sz w:val="18"/>
          <w:szCs w:val="18"/>
          <w:highlight w:val="white"/>
        </w:rPr>
        <w:t>Senecavirus A</w:t>
      </w:r>
      <w:r>
        <w:rPr>
          <w:rFonts w:ascii="Arial" w:eastAsia="Arial" w:hAnsi="Arial" w:cs="Arial"/>
          <w:sz w:val="18"/>
          <w:szCs w:val="18"/>
          <w:highlight w:val="white"/>
        </w:rPr>
        <w:t>, são necessárias mais pesquisas para esclarecer o papel do vírus no desenvolvimento da doença. Ressalta-se, ainda, a importância das medidas de biosseguridade como form</w:t>
      </w:r>
      <w:r>
        <w:rPr>
          <w:rFonts w:ascii="Arial" w:eastAsia="Arial" w:hAnsi="Arial" w:cs="Arial"/>
          <w:sz w:val="18"/>
          <w:szCs w:val="18"/>
          <w:highlight w:val="white"/>
        </w:rPr>
        <w:t>a de prevenção da entrada do agente nas granjas, ou da sua eliminação dos rebanhos positivos.</w:t>
      </w:r>
    </w:p>
    <w:p w14:paraId="5B642AD1" w14:textId="77777777" w:rsidR="00FC0047" w:rsidRDefault="00FC0047">
      <w:pPr>
        <w:jc w:val="both"/>
        <w:rPr>
          <w:rFonts w:ascii="Arial" w:eastAsia="Arial" w:hAnsi="Arial" w:cs="Arial"/>
          <w:sz w:val="18"/>
          <w:szCs w:val="18"/>
        </w:rPr>
      </w:pPr>
    </w:p>
    <w:p w14:paraId="2CCB6CA4" w14:textId="77777777" w:rsidR="00FC0047" w:rsidRDefault="00665C5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14:paraId="1313ABD1" w14:textId="77777777" w:rsidR="00FC0047" w:rsidRDefault="00FC0047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74B33B67" w14:textId="77777777" w:rsidR="00FC0047" w:rsidRDefault="00FC0047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AFACD64" w14:textId="77777777" w:rsidR="00FC0047" w:rsidRDefault="00665C53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4CB6E54A" wp14:editId="673C4E29">
            <wp:extent cx="720000" cy="720000"/>
            <wp:effectExtent l="0" t="0" r="4445" b="4445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A62941" w14:textId="77777777" w:rsidR="00FC0047" w:rsidRDefault="00FC0047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B8977BB" w14:textId="77777777" w:rsidR="00FC0047" w:rsidRDefault="00665C53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APOIO:</w:t>
      </w:r>
    </w:p>
    <w:p w14:paraId="43C327F6" w14:textId="77777777" w:rsidR="00FC0047" w:rsidRDefault="00FC0047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30E0D8D7" w14:textId="77777777" w:rsidR="00FC0047" w:rsidRDefault="00665C53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1EC3A0C5" wp14:editId="51FB5C1D">
            <wp:extent cx="923275" cy="70538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6740" b="2029"/>
                    <a:stretch>
                      <a:fillRect/>
                    </a:stretch>
                  </pic:blipFill>
                  <pic:spPr>
                    <a:xfrm>
                      <a:off x="0" y="0"/>
                      <a:ext cx="923275" cy="705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004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24158" w14:textId="77777777" w:rsidR="00665C53" w:rsidRDefault="00665C53">
      <w:r>
        <w:separator/>
      </w:r>
    </w:p>
  </w:endnote>
  <w:endnote w:type="continuationSeparator" w:id="0">
    <w:p w14:paraId="5401ADDA" w14:textId="77777777" w:rsidR="00665C53" w:rsidRDefault="006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1BF9" w14:textId="77777777" w:rsidR="00665C53" w:rsidRDefault="00665C53">
      <w:r>
        <w:separator/>
      </w:r>
    </w:p>
  </w:footnote>
  <w:footnote w:type="continuationSeparator" w:id="0">
    <w:p w14:paraId="0398FA10" w14:textId="77777777" w:rsidR="00665C53" w:rsidRDefault="0066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2B15" w14:textId="77777777" w:rsidR="00FC0047" w:rsidRDefault="00665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325E7D" wp14:editId="5E5FB5DA">
          <wp:simplePos x="0" y="0"/>
          <wp:positionH relativeFrom="column">
            <wp:posOffset>5948045</wp:posOffset>
          </wp:positionH>
          <wp:positionV relativeFrom="paragraph">
            <wp:posOffset>-125728</wp:posOffset>
          </wp:positionV>
          <wp:extent cx="791210" cy="72009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965" r="6280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CA25E" w14:textId="77777777" w:rsidR="00FC0047" w:rsidRDefault="00665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47"/>
    <w:rsid w:val="0028047F"/>
    <w:rsid w:val="00665C53"/>
    <w:rsid w:val="00B268EB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0A00"/>
  <w15:docId w15:val="{9E09F00E-A12D-4AFF-AA3B-057F93E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4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Silva</dc:creator>
  <cp:lastModifiedBy>Talita Silva</cp:lastModifiedBy>
  <cp:revision>2</cp:revision>
  <dcterms:created xsi:type="dcterms:W3CDTF">2020-10-28T17:21:00Z</dcterms:created>
  <dcterms:modified xsi:type="dcterms:W3CDTF">2020-10-28T17:21:00Z</dcterms:modified>
</cp:coreProperties>
</file>