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BE16D" w14:textId="019BF415" w:rsidR="00526E88" w:rsidRDefault="00487837" w:rsidP="0048783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48783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POLÍTICA DE ASSISTÊNCIA ESTUDANTIL, DESIGUALDADES E PERMANÊNCIA UNIVERSITÁRIA: UMA ANÁLISE </w:t>
      </w:r>
      <w:r w:rsidR="002059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INICIAL</w:t>
      </w:r>
      <w:r w:rsidRPr="0048783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64125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 MINAS GERAIS</w:t>
      </w:r>
    </w:p>
    <w:p w14:paraId="41DA93CC" w14:textId="77777777" w:rsidR="00487837" w:rsidRDefault="00487837" w:rsidP="004878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</w:p>
    <w:p w14:paraId="438BE16E" w14:textId="63AB4026" w:rsidR="00526E88" w:rsidRDefault="004878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Helton Gabriel Prates Souza</w:t>
      </w:r>
    </w:p>
    <w:p w14:paraId="4A128D88" w14:textId="77777777" w:rsidR="003E778F" w:rsidRDefault="003E778F" w:rsidP="003E77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60E74D1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Mestrando pelo PPGE/Unimontes</w:t>
      </w:r>
    </w:p>
    <w:p w14:paraId="438BE170" w14:textId="3C8ACEE3" w:rsidR="00526E88" w:rsidRDefault="004071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6" w:history="1">
        <w:r w:rsidRPr="002563C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prateshg00@gmail.com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7423D5ED" w14:textId="77777777" w:rsidR="004071F3" w:rsidRDefault="004071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8BE171" w14:textId="06D58211" w:rsidR="00526E88" w:rsidRDefault="0048783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Viviane Bernadeth Gandra Brandão</w:t>
      </w:r>
    </w:p>
    <w:p w14:paraId="438BE172" w14:textId="13FE3660" w:rsidR="00526E88" w:rsidRDefault="00D7327E" w:rsidP="00D7327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Professora do PPGE e do Curso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Serviço Social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/Unimontes</w:t>
      </w:r>
    </w:p>
    <w:p w14:paraId="438BE173" w14:textId="0049629D" w:rsidR="00526E88" w:rsidRDefault="004071F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hyperlink r:id="rId7" w:history="1">
        <w:r w:rsidRPr="002563C1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pt-BR"/>
          </w:rPr>
          <w:t>viviane.brandao@unimontes.br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14:paraId="5031340D" w14:textId="77777777" w:rsidR="0020598E" w:rsidRDefault="0020598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38BE174" w14:textId="54F82F08" w:rsidR="00526E88" w:rsidRPr="0020598E" w:rsidRDefault="002F59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Eixo:</w:t>
      </w:r>
      <w:r w:rsidR="0020598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20598E" w:rsidRPr="0020598E">
        <w:rPr>
          <w:rFonts w:ascii="Times New Roman" w:eastAsia="Times New Roman" w:hAnsi="Times New Roman" w:cs="Times New Roman"/>
          <w:sz w:val="24"/>
          <w:szCs w:val="24"/>
          <w:lang w:eastAsia="pt-BR"/>
        </w:rPr>
        <w:t>Políticas Públicas e Gestão da Educação</w:t>
      </w:r>
    </w:p>
    <w:p w14:paraId="438BE175" w14:textId="7F5706C4" w:rsidR="00526E88" w:rsidRDefault="002F591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Palavras-chave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</w:t>
      </w:r>
      <w:r w:rsidR="0038029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B5512">
        <w:rPr>
          <w:rFonts w:ascii="Times New Roman" w:eastAsia="Times New Roman" w:hAnsi="Times New Roman" w:cs="Times New Roman"/>
          <w:sz w:val="24"/>
          <w:szCs w:val="24"/>
          <w:lang w:eastAsia="pt-BR"/>
        </w:rPr>
        <w:t>assistência estudantil</w:t>
      </w:r>
      <w:r w:rsidR="0038029F">
        <w:rPr>
          <w:rFonts w:ascii="Times New Roman" w:eastAsia="Times New Roman" w:hAnsi="Times New Roman" w:cs="Times New Roman"/>
          <w:sz w:val="24"/>
          <w:szCs w:val="24"/>
          <w:lang w:eastAsia="pt-BR"/>
        </w:rPr>
        <w:t>; desigualdades; educação superior.</w:t>
      </w:r>
    </w:p>
    <w:p w14:paraId="438BE176" w14:textId="77777777" w:rsidR="00526E88" w:rsidRDefault="00526E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8BE177" w14:textId="77777777" w:rsidR="00526E88" w:rsidRDefault="002F59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Resumo Simples</w:t>
      </w:r>
    </w:p>
    <w:p w14:paraId="797B8BED" w14:textId="77777777" w:rsidR="000D1D25" w:rsidRDefault="000D1D2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38BE178" w14:textId="65BA452C" w:rsidR="00526E88" w:rsidRDefault="00E94561" w:rsidP="00E945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94561">
        <w:rPr>
          <w:rFonts w:ascii="Times New Roman" w:hAnsi="Times New Roman" w:cs="Times New Roman"/>
          <w:bCs/>
          <w:sz w:val="24"/>
          <w:szCs w:val="24"/>
        </w:rPr>
        <w:t xml:space="preserve">A pesquisa justifica-se pela persistência das desigualdades educacionais no Brasil, onde menos da metade da população possui ensino superior completo, e a evasão acentuada entre grupos vulneráveis revela que o acesso à universidade não garante a permanência. Na Universidade Estadual de Montes Claros (Unimontes), situada no Norte de Minas Gerais, região de disparidades sociais, o problema central é compreender como os estudantes em vulnerabilidade socioeconômica vivenciam os desafios da trajetória acadêmica e quais os efeitos das políticas de assistência estudantil. O objetivo geral é analisar as experiências subjetivas de permanência, estratégias de resistência e sentimento de pertencimento dos discentes atendidos pelo Programa Estadual de Assistência Estudantil (PEAES), Observatório da Política Estudantil (OAE) e Núcleo de Atenção à Saúde e Bem-estar (NASBE). O referencial teórico fundamenta-se </w:t>
      </w:r>
      <w:r w:rsidR="00515E23">
        <w:rPr>
          <w:rFonts w:ascii="Times New Roman" w:hAnsi="Times New Roman" w:cs="Times New Roman"/>
          <w:bCs/>
          <w:sz w:val="24"/>
          <w:szCs w:val="24"/>
        </w:rPr>
        <w:t xml:space="preserve">em estudos </w:t>
      </w:r>
      <w:r w:rsidRPr="00E94561">
        <w:rPr>
          <w:rFonts w:ascii="Times New Roman" w:hAnsi="Times New Roman" w:cs="Times New Roman"/>
          <w:bCs/>
          <w:sz w:val="24"/>
          <w:szCs w:val="24"/>
        </w:rPr>
        <w:t>de Harvey (2018) e Dionísio (2016) sobre o contexto neoliberal e mercantilização do ensino.</w:t>
      </w:r>
      <w:r w:rsidR="003F4A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94561">
        <w:rPr>
          <w:rFonts w:ascii="Times New Roman" w:hAnsi="Times New Roman" w:cs="Times New Roman"/>
          <w:bCs/>
          <w:sz w:val="24"/>
          <w:szCs w:val="24"/>
        </w:rPr>
        <w:t>Metodologicamente, trata-se de uma pesquisa de abordagem quali</w:t>
      </w:r>
      <w:r w:rsidR="00837726">
        <w:rPr>
          <w:rFonts w:ascii="Times New Roman" w:hAnsi="Times New Roman" w:cs="Times New Roman"/>
          <w:bCs/>
          <w:sz w:val="24"/>
          <w:szCs w:val="24"/>
        </w:rPr>
        <w:t>quanti</w:t>
      </w:r>
      <w:r w:rsidRPr="00E94561">
        <w:rPr>
          <w:rFonts w:ascii="Times New Roman" w:hAnsi="Times New Roman" w:cs="Times New Roman"/>
          <w:bCs/>
          <w:sz w:val="24"/>
          <w:szCs w:val="24"/>
        </w:rPr>
        <w:t xml:space="preserve">tativa, utilizando análise documental dos relatórios institucionais da Unimontes para contextualização, aliada à análise </w:t>
      </w:r>
      <w:r w:rsidR="003F4AB8">
        <w:rPr>
          <w:rFonts w:ascii="Times New Roman" w:hAnsi="Times New Roman" w:cs="Times New Roman"/>
          <w:bCs/>
          <w:sz w:val="24"/>
          <w:szCs w:val="24"/>
        </w:rPr>
        <w:t xml:space="preserve">descritiva e </w:t>
      </w:r>
      <w:r w:rsidRPr="00E94561">
        <w:rPr>
          <w:rFonts w:ascii="Times New Roman" w:hAnsi="Times New Roman" w:cs="Times New Roman"/>
          <w:bCs/>
          <w:sz w:val="24"/>
          <w:szCs w:val="24"/>
        </w:rPr>
        <w:t xml:space="preserve">de conteúdo das percepções sobre as políticas afirmativas e assistenciais. Os resultados parciais indicam que, embora a região Sudeste lidere com 19,7% de frequentadores do ensino superior, Minas Gerais fica abaixo da média </w:t>
      </w:r>
      <w:r w:rsidR="000D1D25">
        <w:rPr>
          <w:rFonts w:ascii="Times New Roman" w:hAnsi="Times New Roman" w:cs="Times New Roman"/>
          <w:bCs/>
          <w:sz w:val="24"/>
          <w:szCs w:val="24"/>
        </w:rPr>
        <w:t>(</w:t>
      </w:r>
      <w:r w:rsidRPr="00E94561">
        <w:rPr>
          <w:rFonts w:ascii="Times New Roman" w:hAnsi="Times New Roman" w:cs="Times New Roman"/>
          <w:bCs/>
          <w:sz w:val="24"/>
          <w:szCs w:val="24"/>
        </w:rPr>
        <w:t>14,9%</w:t>
      </w:r>
      <w:r w:rsidR="000D1D25">
        <w:rPr>
          <w:rFonts w:ascii="Times New Roman" w:hAnsi="Times New Roman" w:cs="Times New Roman"/>
          <w:bCs/>
          <w:sz w:val="24"/>
          <w:szCs w:val="24"/>
        </w:rPr>
        <w:t>)</w:t>
      </w:r>
      <w:r w:rsidRPr="00E94561">
        <w:rPr>
          <w:rFonts w:ascii="Times New Roman" w:hAnsi="Times New Roman" w:cs="Times New Roman"/>
          <w:bCs/>
          <w:sz w:val="24"/>
          <w:szCs w:val="24"/>
        </w:rPr>
        <w:t>, evidenciando a importância dos programas institucionais como o PEAES para a mitigação das disparidades regionais e a garantia da dignidade hu</w:t>
      </w:r>
      <w:r w:rsidR="000D1D25">
        <w:rPr>
          <w:rFonts w:ascii="Times New Roman" w:hAnsi="Times New Roman" w:cs="Times New Roman"/>
          <w:bCs/>
          <w:sz w:val="24"/>
          <w:szCs w:val="24"/>
        </w:rPr>
        <w:t>mana</w:t>
      </w:r>
      <w:r w:rsidRPr="00E94561">
        <w:rPr>
          <w:rFonts w:ascii="Times New Roman" w:hAnsi="Times New Roman" w:cs="Times New Roman"/>
          <w:bCs/>
          <w:sz w:val="24"/>
          <w:szCs w:val="24"/>
        </w:rPr>
        <w:t>. O estudo vincula-se à Educação e ao eixo de Políticas Públicas e Gestão da Educação por investigar a eficácia da governança institucional na mediação das contradições sociais e na desconstrução da lógica excludente que naturaliza o fracasso acadêmico. Sua relevância social reside em subsidiar o aperfeiçoamento das ações de permanência, contribuindo para a efetivação do direito constitucional à educação como instrumento de equidade social.</w:t>
      </w:r>
    </w:p>
    <w:p w14:paraId="6F155F08" w14:textId="77777777" w:rsidR="000D1D25" w:rsidRPr="00E94561" w:rsidRDefault="000D1D25" w:rsidP="00E9456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624E96" w14:textId="77777777" w:rsidR="0093461B" w:rsidRDefault="009346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/>
      </w:r>
    </w:p>
    <w:p w14:paraId="091E1CB6" w14:textId="77777777" w:rsidR="0093461B" w:rsidRDefault="0093461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br w:type="page"/>
      </w:r>
    </w:p>
    <w:p w14:paraId="438BE179" w14:textId="006DA34B" w:rsidR="00526E88" w:rsidRPr="00EE788F" w:rsidRDefault="002F591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E78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Referências</w:t>
      </w:r>
    </w:p>
    <w:p w14:paraId="3453CA51" w14:textId="77777777" w:rsidR="0093461B" w:rsidRDefault="0093461B" w:rsidP="0093461B">
      <w:pPr>
        <w:spacing w:after="0" w:line="240" w:lineRule="auto"/>
        <w:rPr>
          <w:rFonts w:ascii="Times New Roman" w:hAnsi="Times New Roman" w:cs="Times New Roman"/>
        </w:rPr>
      </w:pPr>
    </w:p>
    <w:p w14:paraId="0D8566C3" w14:textId="55B250B6" w:rsidR="0093461B" w:rsidRPr="0093461B" w:rsidRDefault="0093461B" w:rsidP="00EE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788F">
        <w:rPr>
          <w:rFonts w:ascii="Times New Roman" w:hAnsi="Times New Roman" w:cs="Times New Roman"/>
          <w:sz w:val="24"/>
          <w:szCs w:val="24"/>
        </w:rPr>
        <w:t xml:space="preserve">ABREU, </w:t>
      </w:r>
      <w:r w:rsidR="009D5588" w:rsidRPr="009D5588">
        <w:rPr>
          <w:rFonts w:ascii="Times New Roman" w:hAnsi="Times New Roman" w:cs="Times New Roman"/>
          <w:sz w:val="24"/>
          <w:szCs w:val="24"/>
        </w:rPr>
        <w:t xml:space="preserve">Márcia </w:t>
      </w:r>
      <w:proofErr w:type="spellStart"/>
      <w:r w:rsidR="009D5588" w:rsidRPr="009D5588">
        <w:rPr>
          <w:rFonts w:ascii="Times New Roman" w:hAnsi="Times New Roman" w:cs="Times New Roman"/>
          <w:sz w:val="24"/>
          <w:szCs w:val="24"/>
        </w:rPr>
        <w:t>Kelma</w:t>
      </w:r>
      <w:proofErr w:type="spellEnd"/>
      <w:r w:rsidR="009D5588" w:rsidRPr="009D5588">
        <w:rPr>
          <w:rFonts w:ascii="Times New Roman" w:hAnsi="Times New Roman" w:cs="Times New Roman"/>
          <w:sz w:val="24"/>
          <w:szCs w:val="24"/>
        </w:rPr>
        <w:t xml:space="preserve"> de Alencar</w:t>
      </w:r>
      <w:r w:rsidRPr="00EE788F">
        <w:rPr>
          <w:rFonts w:ascii="Times New Roman" w:hAnsi="Times New Roman" w:cs="Times New Roman"/>
          <w:sz w:val="24"/>
          <w:szCs w:val="24"/>
        </w:rPr>
        <w:t xml:space="preserve">; XIMENES, </w:t>
      </w:r>
      <w:r w:rsidR="00B12939" w:rsidRPr="00B12939">
        <w:rPr>
          <w:rFonts w:ascii="Times New Roman" w:hAnsi="Times New Roman" w:cs="Times New Roman"/>
          <w:sz w:val="24"/>
          <w:szCs w:val="24"/>
        </w:rPr>
        <w:t>Verônica Morais</w:t>
      </w:r>
      <w:r w:rsidRPr="00EE788F">
        <w:rPr>
          <w:rFonts w:ascii="Times New Roman" w:hAnsi="Times New Roman" w:cs="Times New Roman"/>
          <w:sz w:val="24"/>
          <w:szCs w:val="24"/>
        </w:rPr>
        <w:t xml:space="preserve">. Pobreza, permanência de universitários e assistência </w:t>
      </w:r>
      <w:r w:rsidRPr="0093461B">
        <w:rPr>
          <w:rFonts w:ascii="Times New Roman" w:hAnsi="Times New Roman" w:cs="Times New Roman"/>
          <w:sz w:val="24"/>
          <w:szCs w:val="24"/>
        </w:rPr>
        <w:t>estudantil: Uma análise psicossocial. </w:t>
      </w:r>
      <w:r w:rsidRPr="0093461B">
        <w:rPr>
          <w:rFonts w:ascii="Times New Roman" w:hAnsi="Times New Roman" w:cs="Times New Roman"/>
          <w:b/>
          <w:bCs/>
          <w:sz w:val="24"/>
          <w:szCs w:val="24"/>
        </w:rPr>
        <w:t xml:space="preserve">Psicologia </w:t>
      </w:r>
      <w:proofErr w:type="spellStart"/>
      <w:r w:rsidRPr="0093461B">
        <w:rPr>
          <w:rFonts w:ascii="Times New Roman" w:hAnsi="Times New Roman" w:cs="Times New Roman"/>
          <w:b/>
          <w:bCs/>
          <w:sz w:val="24"/>
          <w:szCs w:val="24"/>
        </w:rPr>
        <w:t>Usp</w:t>
      </w:r>
      <w:proofErr w:type="spellEnd"/>
      <w:r w:rsidRPr="0093461B">
        <w:rPr>
          <w:rFonts w:ascii="Times New Roman" w:hAnsi="Times New Roman" w:cs="Times New Roman"/>
          <w:sz w:val="24"/>
          <w:szCs w:val="24"/>
        </w:rPr>
        <w:t>, v. 32, p. e200067, 2021.</w:t>
      </w:r>
    </w:p>
    <w:p w14:paraId="7D3CF9BE" w14:textId="77777777" w:rsidR="0093461B" w:rsidRPr="0093461B" w:rsidRDefault="0093461B" w:rsidP="00EE78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C3F871" w14:textId="78F8202C" w:rsidR="0093461B" w:rsidRPr="0093461B" w:rsidRDefault="0093461B" w:rsidP="00135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61B">
        <w:rPr>
          <w:rFonts w:ascii="Times New Roman" w:hAnsi="Times New Roman" w:cs="Times New Roman"/>
          <w:sz w:val="24"/>
          <w:szCs w:val="24"/>
        </w:rPr>
        <w:t>DIONÍSIO,</w:t>
      </w:r>
      <w:r w:rsidR="0039121C" w:rsidRPr="0039121C">
        <w:rPr>
          <w:rFonts w:ascii="Arial" w:eastAsia="Times New Roman" w:hAnsi="Arial" w:cs="Arial"/>
          <w:color w:val="333333"/>
          <w:kern w:val="0"/>
          <w:sz w:val="21"/>
          <w:szCs w:val="21"/>
          <w:lang w:eastAsia="pt-BR"/>
          <w14:ligatures w14:val="none"/>
        </w:rPr>
        <w:t xml:space="preserve"> </w:t>
      </w:r>
      <w:r w:rsidR="0039121C" w:rsidRPr="0039121C">
        <w:rPr>
          <w:rFonts w:ascii="Times New Roman" w:hAnsi="Times New Roman" w:cs="Times New Roman"/>
          <w:sz w:val="24"/>
          <w:szCs w:val="24"/>
        </w:rPr>
        <w:t>Débora Accioly</w:t>
      </w:r>
      <w:r w:rsidRPr="0093461B">
        <w:rPr>
          <w:rFonts w:ascii="Times New Roman" w:hAnsi="Times New Roman" w:cs="Times New Roman"/>
          <w:sz w:val="24"/>
          <w:szCs w:val="24"/>
        </w:rPr>
        <w:t>.</w:t>
      </w:r>
      <w:r w:rsidRPr="0093461B">
        <w:rPr>
          <w:rFonts w:ascii="Times New Roman" w:hAnsi="Times New Roman" w:cs="Times New Roman"/>
          <w:b/>
          <w:bCs/>
          <w:sz w:val="24"/>
          <w:szCs w:val="24"/>
        </w:rPr>
        <w:t xml:space="preserve"> Trabalho, educação e conhecimento: da universalização do ensino superior ao produtivismo acadêmico - o Homo Lattes</w:t>
      </w:r>
      <w:r w:rsidRPr="0093461B">
        <w:rPr>
          <w:rFonts w:ascii="Times New Roman" w:hAnsi="Times New Roman" w:cs="Times New Roman"/>
          <w:sz w:val="24"/>
          <w:szCs w:val="24"/>
        </w:rPr>
        <w:t xml:space="preserve">. 2016. 169 f. Dissertação (Mestrado Acadêmico em </w:t>
      </w:r>
      <w:r w:rsidR="0028763F">
        <w:rPr>
          <w:rFonts w:ascii="Times New Roman" w:hAnsi="Times New Roman" w:cs="Times New Roman"/>
          <w:sz w:val="24"/>
          <w:szCs w:val="24"/>
        </w:rPr>
        <w:t xml:space="preserve">Educação). </w:t>
      </w:r>
      <w:r w:rsidRPr="0093461B">
        <w:rPr>
          <w:rFonts w:ascii="Times New Roman" w:hAnsi="Times New Roman" w:cs="Times New Roman"/>
          <w:sz w:val="24"/>
          <w:szCs w:val="24"/>
        </w:rPr>
        <w:t>Universidade Estadual do Ceará,</w:t>
      </w:r>
      <w:r w:rsidR="00294F0B">
        <w:rPr>
          <w:rFonts w:ascii="Times New Roman" w:hAnsi="Times New Roman" w:cs="Times New Roman"/>
          <w:sz w:val="24"/>
          <w:szCs w:val="24"/>
        </w:rPr>
        <w:t xml:space="preserve"> Ceará</w:t>
      </w:r>
      <w:r w:rsidRPr="0093461B">
        <w:rPr>
          <w:rFonts w:ascii="Times New Roman" w:hAnsi="Times New Roman" w:cs="Times New Roman"/>
          <w:sz w:val="24"/>
          <w:szCs w:val="24"/>
        </w:rPr>
        <w:t xml:space="preserve">, 2016. </w:t>
      </w:r>
    </w:p>
    <w:p w14:paraId="423E0878" w14:textId="77777777" w:rsidR="0093461B" w:rsidRPr="0093461B" w:rsidRDefault="0093461B" w:rsidP="00135B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1EEA54" w14:textId="77777777" w:rsidR="0093461B" w:rsidRPr="0093461B" w:rsidRDefault="0093461B" w:rsidP="00ED5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61B">
        <w:rPr>
          <w:rFonts w:ascii="Times New Roman" w:hAnsi="Times New Roman" w:cs="Times New Roman"/>
          <w:sz w:val="24"/>
          <w:szCs w:val="24"/>
        </w:rPr>
        <w:t xml:space="preserve">HARVEY, David. </w:t>
      </w:r>
      <w:r w:rsidRPr="0093461B">
        <w:rPr>
          <w:rFonts w:ascii="Times New Roman" w:hAnsi="Times New Roman" w:cs="Times New Roman"/>
          <w:b/>
          <w:bCs/>
          <w:sz w:val="24"/>
          <w:szCs w:val="24"/>
        </w:rPr>
        <w:t xml:space="preserve">A loucura da razão econômica: o neoliberalismo e a barbárie do nosso tempo. </w:t>
      </w:r>
      <w:r w:rsidRPr="0093461B">
        <w:rPr>
          <w:rFonts w:ascii="Times New Roman" w:hAnsi="Times New Roman" w:cs="Times New Roman"/>
          <w:sz w:val="24"/>
          <w:szCs w:val="24"/>
        </w:rPr>
        <w:t>São Paulo: Boitempo, 2018.</w:t>
      </w:r>
    </w:p>
    <w:p w14:paraId="4DDED044" w14:textId="77777777" w:rsidR="0093461B" w:rsidRPr="0093461B" w:rsidRDefault="0093461B" w:rsidP="00ED5A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08C34" w14:textId="77777777" w:rsidR="0093461B" w:rsidRPr="0093461B" w:rsidRDefault="0093461B" w:rsidP="00934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61B">
        <w:rPr>
          <w:rFonts w:ascii="Times New Roman" w:hAnsi="Times New Roman" w:cs="Times New Roman"/>
          <w:sz w:val="24"/>
          <w:szCs w:val="24"/>
        </w:rPr>
        <w:t xml:space="preserve">INSTITUTO BRASILEIRO DE GEOGRAFIA E ESTATÍSTICA (IBGE). </w:t>
      </w:r>
      <w:r w:rsidRPr="0093461B">
        <w:rPr>
          <w:rFonts w:ascii="Times New Roman" w:hAnsi="Times New Roman" w:cs="Times New Roman"/>
          <w:b/>
          <w:bCs/>
          <w:sz w:val="24"/>
          <w:szCs w:val="24"/>
        </w:rPr>
        <w:t>Indicadores educacionais avançam em 2024, mas atraso escolar aumenta.</w:t>
      </w:r>
      <w:r w:rsidRPr="0093461B">
        <w:rPr>
          <w:rFonts w:ascii="Times New Roman" w:hAnsi="Times New Roman" w:cs="Times New Roman"/>
          <w:sz w:val="24"/>
          <w:szCs w:val="24"/>
        </w:rPr>
        <w:t xml:space="preserve"> Rio de Janeiro: IBGE, 2025. Disponível em: </w:t>
      </w:r>
      <w:hyperlink r:id="rId8" w:tgtFrame="_new" w:history="1">
        <w:r w:rsidRPr="0093461B">
          <w:rPr>
            <w:rStyle w:val="Hyperlink"/>
            <w:rFonts w:ascii="Times New Roman" w:hAnsi="Times New Roman" w:cs="Times New Roman"/>
            <w:sz w:val="24"/>
            <w:szCs w:val="24"/>
          </w:rPr>
          <w:t>https://agenciadenoticias.ibge.gov.br/agencia-noticias/2012-agencia-de-noticias/noticias/43699-indicadores-educacionais-avancam-em-2024-mas-atraso-escolar-aumenta</w:t>
        </w:r>
      </w:hyperlink>
      <w:r w:rsidRPr="0093461B">
        <w:rPr>
          <w:rFonts w:ascii="Times New Roman" w:hAnsi="Times New Roman" w:cs="Times New Roman"/>
          <w:sz w:val="24"/>
          <w:szCs w:val="24"/>
        </w:rPr>
        <w:t>. Acesso em: 02 fev. 2026.</w:t>
      </w:r>
    </w:p>
    <w:p w14:paraId="3174F88F" w14:textId="77777777" w:rsidR="0093461B" w:rsidRPr="0093461B" w:rsidRDefault="0093461B" w:rsidP="00934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F921D" w14:textId="77777777" w:rsidR="0093461B" w:rsidRPr="0093461B" w:rsidRDefault="0093461B" w:rsidP="00934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61B">
        <w:rPr>
          <w:rFonts w:ascii="Times New Roman" w:hAnsi="Times New Roman" w:cs="Times New Roman"/>
          <w:sz w:val="24"/>
          <w:szCs w:val="24"/>
        </w:rPr>
        <w:t xml:space="preserve">INSTITUTO BRASILEIRO DE GEOGRAFIA E ESTATÍSTICA (IBGE). </w:t>
      </w:r>
      <w:r w:rsidRPr="0093461B">
        <w:rPr>
          <w:rFonts w:ascii="Times New Roman" w:hAnsi="Times New Roman" w:cs="Times New Roman"/>
          <w:b/>
          <w:bCs/>
          <w:sz w:val="24"/>
          <w:szCs w:val="24"/>
        </w:rPr>
        <w:t>Panorama do Censo 2022</w:t>
      </w:r>
      <w:r w:rsidRPr="0093461B">
        <w:rPr>
          <w:rFonts w:ascii="Times New Roman" w:hAnsi="Times New Roman" w:cs="Times New Roman"/>
          <w:sz w:val="24"/>
          <w:szCs w:val="24"/>
        </w:rPr>
        <w:t xml:space="preserve">. Rio de Janeiro: IBGE, 2023. Disponível em: </w:t>
      </w:r>
      <w:hyperlink r:id="rId9" w:tgtFrame="_new" w:history="1">
        <w:r w:rsidRPr="0093461B">
          <w:rPr>
            <w:rStyle w:val="Hyperlink"/>
            <w:rFonts w:ascii="Times New Roman" w:hAnsi="Times New Roman" w:cs="Times New Roman"/>
            <w:sz w:val="24"/>
            <w:szCs w:val="24"/>
          </w:rPr>
          <w:t>https://censo2022.ibge.gov.br/panorama/</w:t>
        </w:r>
      </w:hyperlink>
      <w:r w:rsidRPr="0093461B">
        <w:rPr>
          <w:rFonts w:ascii="Times New Roman" w:hAnsi="Times New Roman" w:cs="Times New Roman"/>
          <w:sz w:val="24"/>
          <w:szCs w:val="24"/>
        </w:rPr>
        <w:t>. Acesso em: 8 maio 2025.</w:t>
      </w:r>
    </w:p>
    <w:p w14:paraId="4123C794" w14:textId="77777777" w:rsidR="0093461B" w:rsidRPr="0093461B" w:rsidRDefault="0093461B" w:rsidP="00934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F5399B" w14:textId="77777777" w:rsidR="0093461B" w:rsidRPr="0093461B" w:rsidRDefault="0093461B" w:rsidP="0093461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461B">
        <w:rPr>
          <w:rFonts w:ascii="Times New Roman" w:hAnsi="Times New Roman" w:cs="Times New Roman"/>
          <w:sz w:val="24"/>
          <w:szCs w:val="24"/>
        </w:rPr>
        <w:t xml:space="preserve">INSTITUTO BRASILEIRO DE GEOGRAFIA E ESTATÍSTICA (IBGE). </w:t>
      </w:r>
      <w:r w:rsidRPr="0093461B">
        <w:rPr>
          <w:rFonts w:ascii="Times New Roman" w:hAnsi="Times New Roman" w:cs="Times New Roman"/>
          <w:b/>
          <w:bCs/>
          <w:sz w:val="24"/>
          <w:szCs w:val="24"/>
        </w:rPr>
        <w:t>Tabela 7155</w:t>
      </w:r>
      <w:r w:rsidRPr="0093461B">
        <w:rPr>
          <w:rFonts w:ascii="Times New Roman" w:hAnsi="Times New Roman" w:cs="Times New Roman"/>
          <w:sz w:val="24"/>
          <w:szCs w:val="24"/>
        </w:rPr>
        <w:t xml:space="preserve">. Sistema IBGE de Recuperação Automática – SIDRA. 2026. Disponível em: </w:t>
      </w:r>
      <w:hyperlink r:id="rId10" w:anchor="resultado" w:tgtFrame="_new" w:history="1">
        <w:r w:rsidRPr="0093461B">
          <w:rPr>
            <w:rStyle w:val="Hyperlink"/>
            <w:rFonts w:ascii="Times New Roman" w:hAnsi="Times New Roman" w:cs="Times New Roman"/>
            <w:sz w:val="24"/>
            <w:szCs w:val="24"/>
          </w:rPr>
          <w:t>https://sidra.ibge.gov.br/Tabela/7155#resultado</w:t>
        </w:r>
      </w:hyperlink>
      <w:r w:rsidRPr="0093461B">
        <w:rPr>
          <w:rFonts w:ascii="Times New Roman" w:hAnsi="Times New Roman" w:cs="Times New Roman"/>
          <w:sz w:val="24"/>
          <w:szCs w:val="24"/>
        </w:rPr>
        <w:t>. 02 fev. 2026.</w:t>
      </w:r>
    </w:p>
    <w:p w14:paraId="438BE17A" w14:textId="77777777" w:rsidR="00526E88" w:rsidRDefault="00526E88">
      <w:pPr>
        <w:pStyle w:val="Rodap"/>
      </w:pPr>
    </w:p>
    <w:p w14:paraId="438BE17B" w14:textId="77777777" w:rsidR="00526E88" w:rsidRDefault="00526E88">
      <w:pPr>
        <w:pStyle w:val="NormalWeb"/>
      </w:pPr>
    </w:p>
    <w:p w14:paraId="438BE17C" w14:textId="77777777" w:rsidR="00526E88" w:rsidRDefault="00526E88"/>
    <w:sectPr w:rsidR="00526E88">
      <w:headerReference w:type="default" r:id="rId11"/>
      <w:pgSz w:w="11906" w:h="16838"/>
      <w:pgMar w:top="1701" w:right="1134" w:bottom="1134" w:left="1701" w:header="708" w:footer="709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82BF35" w14:textId="77777777" w:rsidR="002F5910" w:rsidRDefault="002F5910">
      <w:pPr>
        <w:spacing w:line="240" w:lineRule="auto"/>
      </w:pPr>
      <w:r>
        <w:separator/>
      </w:r>
    </w:p>
  </w:endnote>
  <w:endnote w:type="continuationSeparator" w:id="0">
    <w:p w14:paraId="00DAB8D2" w14:textId="77777777" w:rsidR="002F5910" w:rsidRDefault="002F59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F5B7" w14:textId="77777777" w:rsidR="002F5910" w:rsidRDefault="002F5910">
      <w:pPr>
        <w:spacing w:after="0"/>
      </w:pPr>
      <w:r>
        <w:separator/>
      </w:r>
    </w:p>
  </w:footnote>
  <w:footnote w:type="continuationSeparator" w:id="0">
    <w:p w14:paraId="1C4056A2" w14:textId="77777777" w:rsidR="002F5910" w:rsidRDefault="002F591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E181" w14:textId="77777777" w:rsidR="00526E88" w:rsidRDefault="002F5910">
    <w:pPr>
      <w:pStyle w:val="Cabealho"/>
    </w:pPr>
    <w:r>
      <w:rPr>
        <w:noProof/>
      </w:rPr>
      <w:drawing>
        <wp:inline distT="0" distB="0" distL="114300" distR="114300" wp14:anchorId="438BE182" wp14:editId="438BE183">
          <wp:extent cx="5756910" cy="1344295"/>
          <wp:effectExtent l="0" t="0" r="0" b="0"/>
          <wp:docPr id="1" name="Imagem 1" descr="Cabeçalho - fundo transpar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Cabeçalho - fundo transparente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6910" cy="13442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B16D9"/>
    <w:rsid w:val="000D1D25"/>
    <w:rsid w:val="00135B27"/>
    <w:rsid w:val="00172A27"/>
    <w:rsid w:val="0020598E"/>
    <w:rsid w:val="0028763F"/>
    <w:rsid w:val="00294F0B"/>
    <w:rsid w:val="002F5910"/>
    <w:rsid w:val="00313289"/>
    <w:rsid w:val="0038029F"/>
    <w:rsid w:val="0039121C"/>
    <w:rsid w:val="003E778F"/>
    <w:rsid w:val="003F4AB8"/>
    <w:rsid w:val="004071F3"/>
    <w:rsid w:val="00487837"/>
    <w:rsid w:val="00515E23"/>
    <w:rsid w:val="00526E88"/>
    <w:rsid w:val="005B403F"/>
    <w:rsid w:val="00641254"/>
    <w:rsid w:val="00677F30"/>
    <w:rsid w:val="006F2A71"/>
    <w:rsid w:val="00741E2B"/>
    <w:rsid w:val="00837726"/>
    <w:rsid w:val="0093461B"/>
    <w:rsid w:val="009D5588"/>
    <w:rsid w:val="00B12939"/>
    <w:rsid w:val="00B82A8F"/>
    <w:rsid w:val="00D25266"/>
    <w:rsid w:val="00D7327E"/>
    <w:rsid w:val="00E94561"/>
    <w:rsid w:val="00ED5A43"/>
    <w:rsid w:val="00EE788F"/>
    <w:rsid w:val="00FB5512"/>
    <w:rsid w:val="16580EBF"/>
    <w:rsid w:val="169E1E76"/>
    <w:rsid w:val="1A894334"/>
    <w:rsid w:val="1EF63937"/>
    <w:rsid w:val="221653A0"/>
    <w:rsid w:val="22184B3D"/>
    <w:rsid w:val="25485496"/>
    <w:rsid w:val="27CD66DB"/>
    <w:rsid w:val="2D0A23B4"/>
    <w:rsid w:val="39113C01"/>
    <w:rsid w:val="4A4308C7"/>
    <w:rsid w:val="4C0E1B5F"/>
    <w:rsid w:val="4C871DB8"/>
    <w:rsid w:val="4D83438D"/>
    <w:rsid w:val="4DAD2754"/>
    <w:rsid w:val="52603EB2"/>
    <w:rsid w:val="59FB6197"/>
    <w:rsid w:val="5B5B3C9A"/>
    <w:rsid w:val="60831F3B"/>
    <w:rsid w:val="60FF12C0"/>
    <w:rsid w:val="68F74436"/>
    <w:rsid w:val="704476BC"/>
    <w:rsid w:val="7E5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BE16C"/>
  <w15:docId w15:val="{C6A5ACBC-1618-474E-9726-CB0934111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9121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paragraph" w:styleId="Rodap">
    <w:name w:val="footer"/>
    <w:basedOn w:val="Normal"/>
    <w:uiPriority w:val="99"/>
    <w:semiHidden/>
    <w:unhideWhenUsed/>
    <w:qFormat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4071F3"/>
    <w:rPr>
      <w:color w:val="605E5C"/>
      <w:shd w:val="clear" w:color="auto" w:fill="E1DFDD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9121C"/>
    <w:rPr>
      <w:rFonts w:asciiTheme="majorHAnsi" w:eastAsiaTheme="majorEastAsia" w:hAnsiTheme="maj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enciadenoticias.ibge.gov.br/agencia-noticias/2012-agencia-de-noticias/noticias/43699-indicadores-educacionais-avancam-em-2024-mas-atraso-escolar-aumenta?utm_source=chatgpt.com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Viviane.brandao@unimontes.br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ateshg00@gmail.com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sidra.ibge.gov.br/Tabela/7155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censo2022.ibge.gov.br/panorama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666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Ùrsula</dc:creator>
  <cp:lastModifiedBy>Helton Gabriel</cp:lastModifiedBy>
  <cp:revision>26</cp:revision>
  <dcterms:created xsi:type="dcterms:W3CDTF">2024-10-22T15:37:00Z</dcterms:created>
  <dcterms:modified xsi:type="dcterms:W3CDTF">2026-04-21T13:35:00Z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40DD000B52534D7A9A42B836D9332885_13</vt:lpwstr>
  </property>
</Properties>
</file>