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Repercussões do estudo LACC: estado atual do tratamento cirúrgico do câncer de colo uterino 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Jaqueline Yonara da Silva Galhardo¹*; Shiren Fathi Yusef Bakri¹; Juliana Soares da Silva²; Amanda da Silva Anjos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; Filipe Vieira Kwiatkowski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¹Universidade Católica de Pelotas, Curso de Medicina – Pelotas – RS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²Universidade Nilton Lins, Curso de Medicina - Manaus – AM</w:t>
      </w:r>
    </w:p>
    <w:p w:rsidR="00000000" w:rsidDel="00000000" w:rsidP="00000000" w:rsidRDefault="00000000" w:rsidRPr="00000000" w14:paraId="00000007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Faculdades Pequeno Príncipe, Curso de Medicina - Curitiba - PR</w:t>
      </w:r>
    </w:p>
    <w:p w:rsidR="00000000" w:rsidDel="00000000" w:rsidP="00000000" w:rsidRDefault="00000000" w:rsidRPr="00000000" w14:paraId="00000008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Santa Casa de Misericórdia de Pelotas - Pelotas - RS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*Autor correspondente: 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jaqueline.galhardo@sou.ucpel.edu.br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câncer de colo uterino é a 3ª neoplasia mais incidente em mulheres no país e ocupa a 4ª colocação nas causas de morte pela doença. Em estágios iniciais, a cirurgia tem o papel principal no tratamento e, quando realizada por equipes especializadas, apresenta melhor chance de cura. Com o passar dos anos, a cirurgia minimamente invasiva foi evoluindo e tornou-se o método de escolha no tratamento da doença inicial. Apoiando-se nos benefícios já evidenciados da técnica, como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menor risco de infecções, perda de sangue intra-operatória, menor tempo de internação e mais rápida recuperação. Recentemente, o ensaio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clínico prospectivo e randomizado LACC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Laparoscopic Approach to Cervical Cancer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avaliou os desfechos oncológicos após histerectomia radical por laparotomia versus via minimamente invasiva. Este estudo teve um impacto muito grande no meio científico, gerando enorme discussão e mudando conceitos.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Revisar sobre o estado atual da cirurgia do câncer de colo uterino após o LACC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trial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Métodos: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Revisão narrativa de literatura realizada em agosto de 2020 através da base de dados PubMed, mediante os descritores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after LACC trial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e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cervical cancer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com aplicação de filtro de publicações dos últimos dez anos.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estudo LACC foi um grande divisor de águas e criador de controvérsias da oncoginecologia ao apontar menor sobrevida livre de doença e sobrevida geral na cirurgia minimamente invasiva para câncer de colo uterino em estágios iniciais, além de não reduzir complicações intra e pós operatórias e nem proporcionar melhor qualidade de vida em relação a cirurgia via laparotomia.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Após sua publicação, diversos trabalhos corroboraram estes resultados, enquanto outros refutaram seus achados e levantam questionamentos acerca da falta de padronização do procedimento cirúrgico, uso de manipuladores uterinos (relacionados à propagação de células tumorais em cavidade abdominal),  experiência e habilidades técnicas do cirurgião, critérios de seleção dos centros participantes  e baixa proporção de cirurgias robóticas.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Apesar disso, as histerectomias radicais minimamente invasivas diminuíram drasticamente após apresentação de seus dados preliminares e diversas sociedades ao redor do mundo atualizaram suas diretrizes, afirmando que o procedimento via laparotomia é o padrão ouro para tratamento do câncer cervical inicial.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Apesar de algumas críticas ao estudo LACC, nenhum outro foi capaz de reproduzir sua magnitude e fornecer evidências tão generalizáveis ao mundo real quanto este. Todavia, é necessário e urgente fomentar a realização de mais estudos similares, desta vez com rígido controle dos parâmetros criticados no LACC, buscando elucidar controvérsias ainda presentes. Diante deste cenário, é dever do médico orientar os pacientes acerca dos riscos e benefícios para que, à luz das evidências científicas, possam realizar uma decisão informada.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Câncer de Colo Uterino; Cirurgia Laparoscópica; Laparotomia.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REFERÊNCIAS: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shd w:fill="fcfcfc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cfcfc" w:val="clear"/>
          <w:rtl w:val="0"/>
        </w:rPr>
        <w:t xml:space="preserve">HILLEMANNS, P., HERTEL, H. &amp; KLAPDOR, R. Radical hysterectomy for early cervical cancer: what shall we do after the LACC trial?.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cfcfc" w:val="clear"/>
          <w:rtl w:val="0"/>
        </w:rPr>
        <w:t xml:space="preserve">Arch Gynecol Obstet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cfcfc" w:val="clear"/>
          <w:rtl w:val="0"/>
        </w:rPr>
        <w:t xml:space="preserve"> 302, 289–292 (2020).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RAMIREZ PT, FRUMOVITZ M, PAREJA R, ET AL. Minimally Invasive versus Abdominal Radical Hysterectomy for Cervical Cancer.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N Engl J Med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2018;379(20):1895-1904. doi:10.1056/NEJMoa1806395.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MELAMED A, RAMIREZ PT. Changing treatment landscape for early cervical cancer: outcomes reported with minimally invasive surgery compared with an open approach.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Curr Opin Obstet Gynecol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2020;32(1):22-27. doi:10.1097/GCO.0000000000000598.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shd w:fill="fcfcf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shd w:fill="fcfcf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shd w:fill="fcfcf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shd w:fill="fcfcf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Roboto" w:cs="Roboto" w:eastAsia="Roboto" w:hAnsi="Roboto"/>
          <w:b w:val="1"/>
          <w:color w:val="333333"/>
          <w:sz w:val="24"/>
          <w:szCs w:val="24"/>
          <w:shd w:fill="fcfcf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Roboto" w:cs="Roboto" w:eastAsia="Roboto" w:hAnsi="Roboto"/>
          <w:b w:val="1"/>
          <w:color w:val="333333"/>
          <w:sz w:val="24"/>
          <w:szCs w:val="24"/>
          <w:shd w:fill="fcfcf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/>
      <w:pgMar w:bottom="1417.3228346456694" w:top="1700.7874015748032" w:left="1700.7874015748032" w:right="1417.3228346456694" w:header="720" w:footer="720"/>
      <w:pgNumType w:start="1"/>
      <w:cols w:equalWidth="0" w:num="1">
        <w:col w:space="0" w:w="8787.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aqueline.galhardo@sou.ucpel.edu.br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