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983E" w14:textId="77777777" w:rsidR="00C70B30" w:rsidRDefault="00C70B30">
      <w:pPr>
        <w:sectPr w:rsidR="00C70B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709" w:footer="709" w:gutter="0"/>
          <w:cols w:space="720"/>
          <w:formProt w:val="0"/>
          <w:docGrid w:linePitch="100" w:charSpace="8192"/>
        </w:sectPr>
      </w:pPr>
    </w:p>
    <w:p w14:paraId="6769B223" w14:textId="2EFB3764" w:rsidR="003C16D9" w:rsidRPr="00AD1C83" w:rsidRDefault="003C16D9" w:rsidP="003C16D9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D1C83">
        <w:rPr>
          <w:rFonts w:ascii="Arial" w:eastAsia="Arial" w:hAnsi="Arial" w:cs="Arial"/>
          <w:b/>
          <w:bCs/>
          <w:sz w:val="24"/>
          <w:szCs w:val="24"/>
        </w:rPr>
        <w:t>EFEITO DA GRANULOMETRIA, DO USO DE INOCULANTES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commentRangeStart w:id="0"/>
      <w:r w:rsidRPr="00A45624">
        <w:rPr>
          <w:rFonts w:ascii="Arial" w:eastAsia="Arial" w:hAnsi="Arial" w:cs="Arial"/>
          <w:b/>
          <w:bCs/>
          <w:i/>
          <w:iCs/>
          <w:sz w:val="24"/>
          <w:szCs w:val="24"/>
        </w:rPr>
        <w:t>LENTILACTOBACILLUS BUCHNERI</w:t>
      </w:r>
      <w:r w:rsidRPr="00AD1C8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commentRangeEnd w:id="0"/>
      <w:r>
        <w:rPr>
          <w:rStyle w:val="Refdecomentrio"/>
        </w:rPr>
        <w:commentReference w:id="0"/>
      </w:r>
      <w:r w:rsidRPr="00AD1C83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commentRangeStart w:id="1"/>
      <w:r w:rsidRPr="00A45624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L. HILGARDII </w:t>
      </w:r>
      <w:commentRangeEnd w:id="1"/>
      <w:r w:rsidRPr="00A45624">
        <w:rPr>
          <w:rStyle w:val="Refdecomentrio"/>
          <w:i/>
          <w:iCs/>
        </w:rPr>
        <w:commentReference w:id="1"/>
      </w:r>
      <w:r w:rsidRPr="00AD1C83">
        <w:rPr>
          <w:rFonts w:ascii="Arial" w:eastAsia="Arial" w:hAnsi="Arial" w:cs="Arial"/>
          <w:b/>
          <w:bCs/>
          <w:sz w:val="24"/>
          <w:szCs w:val="24"/>
        </w:rPr>
        <w:t>E DO TEMPO DE</w:t>
      </w:r>
    </w:p>
    <w:p w14:paraId="5CE3CEFE" w14:textId="77777777" w:rsidR="003C16D9" w:rsidRPr="00AD1C83" w:rsidRDefault="003C16D9" w:rsidP="003C16D9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D1C83">
        <w:rPr>
          <w:rFonts w:ascii="Arial" w:eastAsia="Arial" w:hAnsi="Arial" w:cs="Arial"/>
          <w:b/>
          <w:bCs/>
          <w:sz w:val="24"/>
          <w:szCs w:val="24"/>
        </w:rPr>
        <w:t>ENSILAGEM SOBRE OS PARÂMETROS FERMENTATIVOS E ESTABILIDADE</w:t>
      </w:r>
    </w:p>
    <w:p w14:paraId="3189058C" w14:textId="30AD408D" w:rsidR="00C70B30" w:rsidRDefault="003C16D9" w:rsidP="003C16D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D1C83">
        <w:rPr>
          <w:rFonts w:ascii="Arial" w:eastAsia="Arial" w:hAnsi="Arial" w:cs="Arial"/>
          <w:b/>
          <w:bCs/>
          <w:sz w:val="24"/>
          <w:szCs w:val="24"/>
        </w:rPr>
        <w:t>AERÓBIA DA SILAGEM DE MILHO REIDRATADO</w:t>
      </w:r>
    </w:p>
    <w:p w14:paraId="70A69151" w14:textId="79153891" w:rsidR="00C70B30" w:rsidRDefault="00000000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</w:t>
      </w:r>
    </w:p>
    <w:p w14:paraId="28355373" w14:textId="77777777" w:rsidR="003C16D9" w:rsidRDefault="003C16D9" w:rsidP="003C16D9">
      <w:pPr>
        <w:pStyle w:val="Corpo"/>
        <w:spacing w:after="0"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4"/>
          <w:szCs w:val="24"/>
          <w:lang w:val="de-DE"/>
        </w:rPr>
        <w:t xml:space="preserve">NERI, </w:t>
      </w:r>
      <w:r>
        <w:rPr>
          <w:rFonts w:ascii="Arial" w:hAnsi="Arial"/>
          <w:sz w:val="24"/>
          <w:szCs w:val="24"/>
          <w:lang w:val="pt-PT"/>
        </w:rPr>
        <w:t>Edinalva Conceiçã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  <w:vertAlign w:val="superscript"/>
          <w:lang w:val="pt-PT"/>
        </w:rPr>
        <w:t>1</w:t>
      </w:r>
      <w:r>
        <w:rPr>
          <w:rFonts w:ascii="Arial" w:hAnsi="Arial"/>
          <w:b/>
          <w:bCs/>
          <w:sz w:val="24"/>
          <w:szCs w:val="24"/>
          <w:lang w:val="de-DE"/>
        </w:rPr>
        <w:t xml:space="preserve">; FERREIRA, </w:t>
      </w:r>
      <w:r>
        <w:rPr>
          <w:rFonts w:ascii="Arial" w:hAnsi="Arial"/>
          <w:sz w:val="24"/>
          <w:szCs w:val="24"/>
          <w:lang w:val="pt-PT"/>
        </w:rPr>
        <w:t>Deborah Alves</w:t>
      </w:r>
      <w:r>
        <w:rPr>
          <w:rFonts w:ascii="Arial" w:hAnsi="Arial"/>
          <w:sz w:val="24"/>
          <w:szCs w:val="24"/>
          <w:vertAlign w:val="superscript"/>
          <w:lang w:val="pt-PT"/>
        </w:rPr>
        <w:t>2</w:t>
      </w:r>
      <w:r>
        <w:rPr>
          <w:rFonts w:ascii="Arial" w:hAnsi="Arial"/>
          <w:sz w:val="24"/>
          <w:szCs w:val="24"/>
          <w:lang w:val="pt-PT"/>
        </w:rPr>
        <w:t xml:space="preserve">; 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GOMES, </w:t>
      </w:r>
      <w:r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  <w:lang w:val="pt-PT"/>
        </w:rPr>
        <w:t>árcio Gianordoli Teixeira³</w:t>
      </w:r>
    </w:p>
    <w:p w14:paraId="305BD8B0" w14:textId="77777777" w:rsidR="00C70B30" w:rsidRDefault="00C70B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949A40" w14:textId="77777777" w:rsidR="00C70B30" w:rsidRDefault="0000000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61C94BCE" w14:textId="77777777" w:rsidR="003C16D9" w:rsidRPr="003C16D9" w:rsidRDefault="003C16D9" w:rsidP="003C16D9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C16D9">
        <w:rPr>
          <w:rFonts w:ascii="Arial" w:eastAsia="Arial" w:hAnsi="Arial" w:cs="Arial"/>
          <w:sz w:val="24"/>
          <w:szCs w:val="24"/>
        </w:rPr>
        <w:t xml:space="preserve">O estudo avaliou o efeito da granulometria, do uso de </w:t>
      </w:r>
      <w:r w:rsidRPr="003C16D9">
        <w:rPr>
          <w:rFonts w:ascii="Arial" w:eastAsia="Arial" w:hAnsi="Arial" w:cs="Arial"/>
          <w:i/>
          <w:iCs/>
          <w:sz w:val="24"/>
          <w:szCs w:val="24"/>
        </w:rPr>
        <w:t xml:space="preserve">inoculantes </w:t>
      </w:r>
      <w:proofErr w:type="spellStart"/>
      <w:r w:rsidRPr="003C16D9">
        <w:rPr>
          <w:rFonts w:ascii="Arial" w:eastAsia="Arial" w:hAnsi="Arial" w:cs="Arial"/>
          <w:i/>
          <w:iCs/>
          <w:sz w:val="24"/>
          <w:szCs w:val="24"/>
        </w:rPr>
        <w:t>Lentilactobacillus</w:t>
      </w:r>
      <w:proofErr w:type="spellEnd"/>
      <w:r w:rsidRPr="003C16D9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3C16D9">
        <w:rPr>
          <w:rFonts w:ascii="Arial" w:eastAsia="Arial" w:hAnsi="Arial" w:cs="Arial"/>
          <w:i/>
          <w:iCs/>
          <w:sz w:val="24"/>
          <w:szCs w:val="24"/>
        </w:rPr>
        <w:t>buchneri</w:t>
      </w:r>
      <w:proofErr w:type="spellEnd"/>
      <w:r w:rsidRPr="003C16D9">
        <w:rPr>
          <w:rFonts w:ascii="Arial" w:eastAsia="Arial" w:hAnsi="Arial" w:cs="Arial"/>
          <w:i/>
          <w:iCs/>
          <w:sz w:val="24"/>
          <w:szCs w:val="24"/>
        </w:rPr>
        <w:t xml:space="preserve"> e L. </w:t>
      </w:r>
      <w:proofErr w:type="spellStart"/>
      <w:r w:rsidRPr="003C16D9">
        <w:rPr>
          <w:rFonts w:ascii="Arial" w:eastAsia="Arial" w:hAnsi="Arial" w:cs="Arial"/>
          <w:i/>
          <w:iCs/>
          <w:sz w:val="24"/>
          <w:szCs w:val="24"/>
        </w:rPr>
        <w:t>hilgardii</w:t>
      </w:r>
      <w:proofErr w:type="spellEnd"/>
      <w:r w:rsidRPr="003C16D9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3C16D9">
        <w:rPr>
          <w:rFonts w:ascii="Arial" w:eastAsia="Arial" w:hAnsi="Arial" w:cs="Arial"/>
          <w:sz w:val="24"/>
          <w:szCs w:val="24"/>
        </w:rPr>
        <w:t>e do tempo de ensilagem sobre a qualidade fermentativa e a estabilidade aeróbia da silagem de milho reidratado. O milho foi moído em duas granulometrias (2 mm e 6 mm), reidratado e ensilado com ou sem inoculante, sendo avaliados seis períodos de estocagem (15</w:t>
      </w:r>
      <w:r w:rsidRPr="003C16D9">
        <w:rPr>
          <w:rFonts w:ascii="Arial" w:eastAsia="Arial" w:hAnsi="Arial" w:cs="Arial"/>
          <w:sz w:val="24"/>
          <w:szCs w:val="24"/>
        </w:rPr>
        <w:t xml:space="preserve"> a </w:t>
      </w:r>
      <w:r w:rsidRPr="003C16D9">
        <w:rPr>
          <w:rFonts w:ascii="Arial" w:eastAsia="Arial" w:hAnsi="Arial" w:cs="Arial"/>
          <w:sz w:val="24"/>
          <w:szCs w:val="24"/>
        </w:rPr>
        <w:t>90 dias)</w:t>
      </w:r>
      <w:r w:rsidRPr="003C16D9">
        <w:rPr>
          <w:rFonts w:ascii="Arial" w:eastAsia="Arial" w:hAnsi="Arial" w:cs="Arial"/>
          <w:sz w:val="24"/>
          <w:szCs w:val="24"/>
        </w:rPr>
        <w:t xml:space="preserve">. </w:t>
      </w:r>
      <w:r w:rsidRPr="003C16D9">
        <w:rPr>
          <w:rFonts w:ascii="Arial" w:eastAsia="Arial" w:hAnsi="Arial" w:cs="Arial"/>
          <w:sz w:val="24"/>
          <w:szCs w:val="24"/>
        </w:rPr>
        <w:t xml:space="preserve">Foram analisados pH, matéria seca, amônia, perdas gasosas e estabilidade aeróbia. </w:t>
      </w:r>
      <w:commentRangeStart w:id="2"/>
      <w:commentRangeStart w:id="3"/>
      <w:r w:rsidRPr="003C16D9">
        <w:rPr>
          <w:rFonts w:ascii="Arial" w:eastAsia="Arial" w:hAnsi="Arial" w:cs="Arial"/>
          <w:sz w:val="24"/>
          <w:szCs w:val="24"/>
        </w:rPr>
        <w:t>Os resultados indicaram que o tempo de ensilagem foi determinante nas variáveis fermentativas</w:t>
      </w:r>
      <w:commentRangeEnd w:id="2"/>
      <w:r w:rsidRPr="003C16D9">
        <w:rPr>
          <w:rStyle w:val="Refdecomentrio"/>
          <w:rFonts w:ascii="Arial" w:hAnsi="Arial" w:cs="Arial"/>
          <w:sz w:val="24"/>
          <w:szCs w:val="24"/>
        </w:rPr>
        <w:commentReference w:id="2"/>
      </w:r>
      <w:r w:rsidRPr="003C16D9">
        <w:rPr>
          <w:rFonts w:ascii="Arial" w:eastAsia="Arial" w:hAnsi="Arial" w:cs="Arial"/>
          <w:sz w:val="24"/>
          <w:szCs w:val="24"/>
        </w:rPr>
        <w:t xml:space="preserve">, com redução do pH e aumento da amônia ao longo do período. </w:t>
      </w:r>
      <w:commentRangeStart w:id="4"/>
      <w:r w:rsidRPr="003C16D9">
        <w:rPr>
          <w:rFonts w:ascii="Arial" w:eastAsia="Arial" w:hAnsi="Arial" w:cs="Arial"/>
          <w:sz w:val="24"/>
          <w:szCs w:val="24"/>
        </w:rPr>
        <w:t>A granulometria influenciou o   comportamento inicial da fermentação</w:t>
      </w:r>
      <w:commentRangeEnd w:id="4"/>
      <w:r w:rsidRPr="003C16D9">
        <w:rPr>
          <w:rStyle w:val="Refdecomentrio"/>
          <w:rFonts w:ascii="Arial" w:hAnsi="Arial" w:cs="Arial"/>
          <w:sz w:val="24"/>
          <w:szCs w:val="24"/>
        </w:rPr>
        <w:commentReference w:id="4"/>
      </w:r>
      <w:r w:rsidRPr="003C16D9">
        <w:rPr>
          <w:rFonts w:ascii="Arial" w:eastAsia="Arial" w:hAnsi="Arial" w:cs="Arial"/>
          <w:sz w:val="24"/>
          <w:szCs w:val="24"/>
        </w:rPr>
        <w:t xml:space="preserve">, enquanto o uso dos inoculantes aumentou significativamente a estabilidade aeróbia, mantendo o pH mais estável após a abertura dos silos. </w:t>
      </w:r>
      <w:commentRangeEnd w:id="3"/>
      <w:r w:rsidRPr="003C16D9">
        <w:rPr>
          <w:rStyle w:val="Refdecomentrio"/>
          <w:rFonts w:ascii="Arial" w:hAnsi="Arial" w:cs="Arial"/>
          <w:sz w:val="24"/>
          <w:szCs w:val="24"/>
        </w:rPr>
        <w:commentReference w:id="3"/>
      </w:r>
      <w:r w:rsidRPr="003C16D9">
        <w:rPr>
          <w:rFonts w:ascii="Arial" w:eastAsia="Arial" w:hAnsi="Arial" w:cs="Arial"/>
          <w:sz w:val="24"/>
          <w:szCs w:val="24"/>
        </w:rPr>
        <w:t xml:space="preserve">Conclui-se que a associação de </w:t>
      </w:r>
      <w:r w:rsidRPr="003C16D9">
        <w:rPr>
          <w:rFonts w:ascii="Arial" w:eastAsia="Arial" w:hAnsi="Arial" w:cs="Arial"/>
          <w:i/>
          <w:iCs/>
          <w:sz w:val="24"/>
          <w:szCs w:val="24"/>
        </w:rPr>
        <w:t xml:space="preserve">L. </w:t>
      </w:r>
      <w:proofErr w:type="spellStart"/>
      <w:r w:rsidRPr="003C16D9">
        <w:rPr>
          <w:rFonts w:ascii="Arial" w:eastAsia="Arial" w:hAnsi="Arial" w:cs="Arial"/>
          <w:i/>
          <w:iCs/>
          <w:sz w:val="24"/>
          <w:szCs w:val="24"/>
        </w:rPr>
        <w:t>buchneri</w:t>
      </w:r>
      <w:proofErr w:type="spellEnd"/>
      <w:r w:rsidRPr="003C16D9">
        <w:rPr>
          <w:rFonts w:ascii="Arial" w:eastAsia="Arial" w:hAnsi="Arial" w:cs="Arial"/>
          <w:i/>
          <w:iCs/>
          <w:sz w:val="24"/>
          <w:szCs w:val="24"/>
        </w:rPr>
        <w:t xml:space="preserve"> e L. </w:t>
      </w:r>
      <w:proofErr w:type="spellStart"/>
      <w:r w:rsidRPr="003C16D9">
        <w:rPr>
          <w:rFonts w:ascii="Arial" w:eastAsia="Arial" w:hAnsi="Arial" w:cs="Arial"/>
          <w:i/>
          <w:iCs/>
          <w:sz w:val="24"/>
          <w:szCs w:val="24"/>
        </w:rPr>
        <w:t>hilgardii</w:t>
      </w:r>
      <w:proofErr w:type="spellEnd"/>
      <w:r w:rsidRPr="003C16D9">
        <w:rPr>
          <w:rFonts w:ascii="Arial" w:eastAsia="Arial" w:hAnsi="Arial" w:cs="Arial"/>
          <w:sz w:val="24"/>
          <w:szCs w:val="24"/>
        </w:rPr>
        <w:t xml:space="preserve"> é eficiente para melhorar a qualidade e prolongar a estabilidade aeróbia da silagem de milho reidratado, sendo uma estratégia recomendada para sistemas de produção leiteira e de corte que utilizam o milho ensilado como principal fonte energética.</w:t>
      </w:r>
    </w:p>
    <w:p w14:paraId="4F3C789A" w14:textId="77777777" w:rsidR="003C16D9" w:rsidRDefault="003C16D9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3E58594C" w14:textId="7F665384" w:rsidR="00C70B30" w:rsidRDefault="00000000" w:rsidP="003C16D9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>:</w:t>
      </w:r>
      <w:r w:rsidR="003C16D9">
        <w:rPr>
          <w:rFonts w:ascii="Arial" w:eastAsia="Arial" w:hAnsi="Arial" w:cs="Arial"/>
          <w:sz w:val="24"/>
          <w:szCs w:val="24"/>
        </w:rPr>
        <w:t xml:space="preserve"> </w:t>
      </w:r>
      <w:r w:rsidR="003C16D9" w:rsidRPr="005E3825">
        <w:rPr>
          <w:rFonts w:ascii="Arial" w:eastAsia="Arial" w:hAnsi="Arial" w:cs="Arial"/>
          <w:sz w:val="24"/>
          <w:szCs w:val="24"/>
        </w:rPr>
        <w:t>Estabilidade Aeróbia. Fermentação.</w:t>
      </w:r>
      <w:r w:rsidR="003C16D9">
        <w:rPr>
          <w:rFonts w:ascii="Arial" w:eastAsia="Arial" w:hAnsi="Arial" w:cs="Arial"/>
          <w:sz w:val="24"/>
          <w:szCs w:val="24"/>
        </w:rPr>
        <w:t xml:space="preserve"> </w:t>
      </w:r>
      <w:r w:rsidR="003C16D9" w:rsidRPr="005E3825">
        <w:rPr>
          <w:rFonts w:ascii="Arial" w:eastAsia="Arial" w:hAnsi="Arial" w:cs="Arial"/>
          <w:sz w:val="24"/>
          <w:szCs w:val="24"/>
        </w:rPr>
        <w:t>Inoculante. Milho</w:t>
      </w:r>
      <w:r w:rsidR="003C16D9">
        <w:rPr>
          <w:rFonts w:ascii="Arial" w:eastAsia="Arial" w:hAnsi="Arial" w:cs="Arial"/>
          <w:sz w:val="24"/>
          <w:szCs w:val="24"/>
        </w:rPr>
        <w:t xml:space="preserve"> </w:t>
      </w:r>
      <w:r w:rsidR="003C16D9" w:rsidRPr="005E3825">
        <w:rPr>
          <w:rFonts w:ascii="Arial" w:eastAsia="Arial" w:hAnsi="Arial" w:cs="Arial"/>
          <w:sz w:val="24"/>
          <w:szCs w:val="24"/>
        </w:rPr>
        <w:t>reidratado.</w:t>
      </w:r>
      <w:commentRangeStart w:id="5"/>
      <w:commentRangeEnd w:id="5"/>
      <w:r w:rsidR="003C16D9">
        <w:rPr>
          <w:rStyle w:val="Refdecomentrio"/>
        </w:rPr>
        <w:commentReference w:id="5"/>
      </w:r>
      <w:r w:rsidR="003C16D9" w:rsidRPr="005E3825">
        <w:rPr>
          <w:rFonts w:ascii="Arial" w:eastAsia="Arial" w:hAnsi="Arial" w:cs="Arial"/>
          <w:b/>
          <w:sz w:val="24"/>
          <w:szCs w:val="24"/>
        </w:rPr>
        <w:t xml:space="preserve"> </w:t>
      </w:r>
      <w:r w:rsidR="003C16D9">
        <w:rPr>
          <w:rFonts w:ascii="Arial" w:eastAsia="Arial" w:hAnsi="Arial" w:cs="Arial"/>
          <w:sz w:val="20"/>
          <w:szCs w:val="20"/>
        </w:rPr>
        <w:t xml:space="preserve">         </w:t>
      </w:r>
      <w:r w:rsidR="003C16D9" w:rsidRPr="005E3825">
        <w:rPr>
          <w:rFonts w:ascii="Arial" w:eastAsia="Arial" w:hAnsi="Arial" w:cs="Arial"/>
          <w:sz w:val="24"/>
          <w:szCs w:val="24"/>
        </w:rPr>
        <w:t xml:space="preserve">Silagem. </w:t>
      </w:r>
    </w:p>
    <w:p w14:paraId="520DBD10" w14:textId="1D0B3312" w:rsidR="00FE63C6" w:rsidRDefault="00FE63C6" w:rsidP="00FE63C6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Voluntári</w:t>
      </w:r>
      <w:r w:rsidR="00D51920"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Programa de Iniciação Científica (PIVIC). Universidade Federal do Norte do Tocantins (UFNT), Centro de</w:t>
      </w:r>
      <w:r w:rsidR="00D51920">
        <w:rPr>
          <w:rFonts w:ascii="Arial" w:eastAsia="Arial" w:hAnsi="Arial" w:cs="Arial"/>
          <w:color w:val="000000"/>
          <w:sz w:val="20"/>
          <w:szCs w:val="20"/>
        </w:rPr>
        <w:t xml:space="preserve"> Ciências Agrárias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D51920" w:rsidRPr="00D51920">
        <w:rPr>
          <w:rFonts w:ascii="Arial" w:eastAsia="Arial" w:hAnsi="Arial" w:cs="Arial"/>
          <w:color w:val="000000"/>
          <w:sz w:val="20"/>
          <w:szCs w:val="20"/>
        </w:rPr>
        <w:t>edinalva.neri@ufnt.edu.br</w:t>
      </w:r>
      <w:r w:rsidR="00D51920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80F27E9" w14:textId="77777777" w:rsidR="007A5AB3" w:rsidRPr="007A5AB3" w:rsidRDefault="00FE63C6" w:rsidP="007A5AB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t xml:space="preserve">2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Professora Doutora da Faculdade de </w:t>
      </w:r>
      <w:r w:rsidR="00D51920">
        <w:rPr>
          <w:rFonts w:ascii="Arial" w:eastAsia="Arial" w:hAnsi="Arial" w:cs="Arial"/>
          <w:color w:val="000000"/>
          <w:sz w:val="20"/>
          <w:szCs w:val="20"/>
        </w:rPr>
        <w:t>Zootecnia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Universidade Federal </w:t>
      </w:r>
      <w:r w:rsidR="00D51920">
        <w:rPr>
          <w:rFonts w:ascii="Arial" w:eastAsia="Arial" w:hAnsi="Arial" w:cs="Arial"/>
          <w:color w:val="000000"/>
          <w:sz w:val="20"/>
          <w:szCs w:val="20"/>
        </w:rPr>
        <w:t xml:space="preserve">do Norte do Tocantins </w:t>
      </w:r>
      <w:r>
        <w:rPr>
          <w:rFonts w:ascii="Arial" w:eastAsia="Arial" w:hAnsi="Arial" w:cs="Arial"/>
          <w:color w:val="000000"/>
          <w:sz w:val="20"/>
          <w:szCs w:val="20"/>
        </w:rPr>
        <w:t>(UF</w:t>
      </w:r>
      <w:r w:rsidR="00D51920"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  <w:r w:rsidR="00D51920">
        <w:rPr>
          <w:rFonts w:ascii="Arial" w:eastAsia="Arial" w:hAnsi="Arial" w:cs="Arial"/>
          <w:color w:val="000000"/>
          <w:sz w:val="20"/>
          <w:szCs w:val="20"/>
        </w:rPr>
        <w:t>, Centro de Ciências Agrarias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7A5AB3" w:rsidRPr="007A5AB3">
        <w:rPr>
          <w:rFonts w:ascii="Arial" w:eastAsia="Arial" w:hAnsi="Arial" w:cs="Arial"/>
          <w:color w:val="000000"/>
          <w:sz w:val="20"/>
          <w:szCs w:val="20"/>
        </w:rPr>
        <w:t>deborah.ferreira@ufnt.edu.br</w:t>
      </w:r>
    </w:p>
    <w:p w14:paraId="100CA286" w14:textId="77777777" w:rsidR="007A5AB3" w:rsidRDefault="00FE63C6" w:rsidP="007A5AB3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t xml:space="preserve">2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Professor Doutor da Faculdade de </w:t>
      </w:r>
      <w:r w:rsidR="00D51920">
        <w:rPr>
          <w:rFonts w:ascii="Arial" w:eastAsia="Arial" w:hAnsi="Arial" w:cs="Arial"/>
          <w:color w:val="000000"/>
          <w:sz w:val="20"/>
          <w:szCs w:val="20"/>
        </w:rPr>
        <w:t>Zootecnia</w:t>
      </w:r>
      <w:r>
        <w:rPr>
          <w:rFonts w:ascii="Arial" w:eastAsia="Arial" w:hAnsi="Arial" w:cs="Arial"/>
          <w:color w:val="000000"/>
          <w:sz w:val="20"/>
          <w:szCs w:val="20"/>
        </w:rPr>
        <w:t>, Universidade Federal d</w:t>
      </w:r>
      <w:r w:rsidR="00D51920">
        <w:rPr>
          <w:rFonts w:ascii="Arial" w:eastAsia="Arial" w:hAnsi="Arial" w:cs="Arial"/>
          <w:color w:val="000000"/>
          <w:sz w:val="20"/>
          <w:szCs w:val="20"/>
        </w:rPr>
        <w:t xml:space="preserve">o Norte do Tocantins </w:t>
      </w:r>
      <w:r>
        <w:rPr>
          <w:rFonts w:ascii="Arial" w:eastAsia="Arial" w:hAnsi="Arial" w:cs="Arial"/>
          <w:color w:val="000000"/>
          <w:sz w:val="20"/>
          <w:szCs w:val="20"/>
        </w:rPr>
        <w:t>(UF</w:t>
      </w:r>
      <w:r w:rsidR="00D51920"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z w:val="20"/>
          <w:szCs w:val="20"/>
        </w:rPr>
        <w:t>),</w:t>
      </w:r>
      <w:r w:rsidR="00D51920" w:rsidRPr="00D5192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51920">
        <w:rPr>
          <w:rFonts w:ascii="Arial" w:eastAsia="Arial" w:hAnsi="Arial" w:cs="Arial"/>
          <w:color w:val="000000"/>
          <w:sz w:val="20"/>
          <w:szCs w:val="20"/>
        </w:rPr>
        <w:t>Centro de Ciências Agrarias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7A5AB3" w:rsidRPr="007A5AB3">
        <w:rPr>
          <w:rFonts w:ascii="Arial" w:eastAsia="Arial" w:hAnsi="Arial" w:cs="Arial"/>
          <w:color w:val="000000"/>
          <w:sz w:val="20"/>
          <w:szCs w:val="20"/>
        </w:rPr>
        <w:t>marcio.gomes@ufnt.edu.br</w:t>
      </w:r>
    </w:p>
    <w:p w14:paraId="4173B583" w14:textId="1ACDD650" w:rsidR="003C16D9" w:rsidRPr="007A5AB3" w:rsidRDefault="00000000" w:rsidP="007A5AB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A5AB3">
        <w:rPr>
          <w:rFonts w:ascii="Arial" w:eastAsia="Arial" w:hAnsi="Arial" w:cs="Arial"/>
          <w:b/>
          <w:sz w:val="24"/>
          <w:szCs w:val="24"/>
        </w:rPr>
        <w:lastRenderedPageBreak/>
        <w:t>INTRODUÇÃO/JUSTIFICATIVA</w:t>
      </w:r>
    </w:p>
    <w:p w14:paraId="7121EEC9" w14:textId="77777777" w:rsidR="00136F43" w:rsidRDefault="003C16D9" w:rsidP="003C16D9">
      <w:pPr>
        <w:spacing w:after="0"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3C16D9">
        <w:rPr>
          <w:rFonts w:ascii="Arial" w:eastAsia="Arial" w:hAnsi="Arial" w:cs="Arial"/>
          <w:sz w:val="24"/>
          <w:szCs w:val="24"/>
        </w:rPr>
        <w:t xml:space="preserve">No Brasil, o milho cultivado é predominantemente do tipo </w:t>
      </w:r>
      <w:proofErr w:type="spellStart"/>
      <w:r w:rsidRPr="003C16D9">
        <w:rPr>
          <w:rFonts w:ascii="Arial" w:eastAsia="Arial" w:hAnsi="Arial" w:cs="Arial"/>
          <w:i/>
          <w:iCs/>
          <w:sz w:val="24"/>
          <w:szCs w:val="24"/>
        </w:rPr>
        <w:t>flint</w:t>
      </w:r>
      <w:proofErr w:type="spellEnd"/>
      <w:r w:rsidRPr="003C16D9">
        <w:rPr>
          <w:rFonts w:ascii="Arial" w:eastAsia="Arial" w:hAnsi="Arial" w:cs="Arial"/>
          <w:sz w:val="24"/>
          <w:szCs w:val="24"/>
        </w:rPr>
        <w:t xml:space="preserve"> (endosperma vítreo), cuja alta dureza limita a digestão do amido por ruminantes (Correa </w:t>
      </w:r>
      <w:r w:rsidRPr="003C16D9">
        <w:rPr>
          <w:rFonts w:ascii="Arial" w:eastAsia="Arial" w:hAnsi="Arial" w:cs="Arial"/>
          <w:i/>
          <w:iCs/>
          <w:sz w:val="24"/>
          <w:szCs w:val="24"/>
        </w:rPr>
        <w:t>et al.</w:t>
      </w:r>
      <w:r w:rsidRPr="003C16D9">
        <w:rPr>
          <w:rFonts w:ascii="Arial" w:eastAsia="Arial" w:hAnsi="Arial" w:cs="Arial"/>
          <w:sz w:val="24"/>
          <w:szCs w:val="24"/>
        </w:rPr>
        <w:t xml:space="preserve">, 2002). </w:t>
      </w:r>
      <w:commentRangeStart w:id="6"/>
      <w:r w:rsidRPr="003C16D9">
        <w:rPr>
          <w:rFonts w:ascii="Arial" w:eastAsia="Arial" w:hAnsi="Arial" w:cs="Arial"/>
          <w:sz w:val="24"/>
          <w:szCs w:val="24"/>
        </w:rPr>
        <w:t>A ensilagem após moagem e reidratação é uma técnica essencial para aumentar o valor nutritivo do grão, pois o tamanho da partícula é determinante para a digestão:</w:t>
      </w:r>
      <w:commentRangeEnd w:id="6"/>
      <w:r>
        <w:rPr>
          <w:rStyle w:val="Refdecomentrio"/>
        </w:rPr>
        <w:commentReference w:id="6"/>
      </w:r>
      <w:r w:rsidRPr="003C16D9">
        <w:rPr>
          <w:rFonts w:ascii="Arial" w:eastAsia="Arial" w:hAnsi="Arial" w:cs="Arial"/>
          <w:sz w:val="24"/>
          <w:szCs w:val="24"/>
        </w:rPr>
        <w:t xml:space="preserve"> quanto menor a partícula, maior a superfície de contato e, consequentemente, maior a </w:t>
      </w:r>
      <w:proofErr w:type="spellStart"/>
      <w:r w:rsidRPr="003C16D9">
        <w:rPr>
          <w:rFonts w:ascii="Arial" w:eastAsia="Arial" w:hAnsi="Arial" w:cs="Arial"/>
          <w:sz w:val="24"/>
          <w:szCs w:val="24"/>
        </w:rPr>
        <w:t>degradabilidade</w:t>
      </w:r>
      <w:proofErr w:type="spellEnd"/>
      <w:r w:rsidRPr="003C16D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C16D9">
        <w:rPr>
          <w:rFonts w:ascii="Arial" w:eastAsia="Arial" w:hAnsi="Arial" w:cs="Arial"/>
          <w:sz w:val="24"/>
          <w:szCs w:val="24"/>
        </w:rPr>
        <w:t>ruminal</w:t>
      </w:r>
      <w:proofErr w:type="spellEnd"/>
      <w:r w:rsidRPr="003C16D9">
        <w:rPr>
          <w:rFonts w:ascii="Arial" w:eastAsia="Arial" w:hAnsi="Arial" w:cs="Arial"/>
          <w:sz w:val="24"/>
          <w:szCs w:val="24"/>
        </w:rPr>
        <w:t xml:space="preserve"> do amido (</w:t>
      </w:r>
      <w:proofErr w:type="spellStart"/>
      <w:r w:rsidRPr="003C16D9">
        <w:rPr>
          <w:rFonts w:ascii="Arial" w:eastAsia="Arial" w:hAnsi="Arial" w:cs="Arial"/>
          <w:sz w:val="24"/>
          <w:szCs w:val="24"/>
        </w:rPr>
        <w:t>Shipandeni</w:t>
      </w:r>
      <w:proofErr w:type="spellEnd"/>
      <w:r w:rsidRPr="003C16D9">
        <w:rPr>
          <w:rFonts w:ascii="Arial" w:eastAsia="Arial" w:hAnsi="Arial" w:cs="Arial"/>
          <w:sz w:val="24"/>
          <w:szCs w:val="24"/>
        </w:rPr>
        <w:t xml:space="preserve"> </w:t>
      </w:r>
      <w:r w:rsidRPr="003C16D9">
        <w:rPr>
          <w:rFonts w:ascii="Arial" w:eastAsia="Arial" w:hAnsi="Arial" w:cs="Arial"/>
          <w:i/>
          <w:iCs/>
          <w:sz w:val="24"/>
          <w:szCs w:val="24"/>
        </w:rPr>
        <w:t>et al.</w:t>
      </w:r>
      <w:r w:rsidRPr="003C16D9">
        <w:rPr>
          <w:rFonts w:ascii="Arial" w:eastAsia="Arial" w:hAnsi="Arial" w:cs="Arial"/>
          <w:sz w:val="24"/>
          <w:szCs w:val="24"/>
        </w:rPr>
        <w:t xml:space="preserve">, 2023). </w:t>
      </w:r>
    </w:p>
    <w:p w14:paraId="684A2280" w14:textId="12982075" w:rsidR="00C70B30" w:rsidRDefault="003C16D9" w:rsidP="003C16D9">
      <w:pPr>
        <w:spacing w:after="0" w:line="360" w:lineRule="auto"/>
        <w:ind w:firstLine="360"/>
        <w:jc w:val="both"/>
        <w:rPr>
          <w:rFonts w:ascii="Arial" w:eastAsia="Arial" w:hAnsi="Arial" w:cs="Arial"/>
          <w:b/>
          <w:sz w:val="24"/>
          <w:szCs w:val="24"/>
        </w:rPr>
      </w:pPr>
      <w:r w:rsidRPr="003C16D9">
        <w:rPr>
          <w:rFonts w:ascii="Arial" w:eastAsia="Arial" w:hAnsi="Arial" w:cs="Arial"/>
          <w:sz w:val="24"/>
          <w:szCs w:val="24"/>
        </w:rPr>
        <w:t xml:space="preserve">Adicionalmente, o uso de inoculantes </w:t>
      </w:r>
      <w:proofErr w:type="spellStart"/>
      <w:r w:rsidRPr="003C16D9">
        <w:rPr>
          <w:rFonts w:ascii="Arial" w:eastAsia="Arial" w:hAnsi="Arial" w:cs="Arial"/>
          <w:sz w:val="24"/>
          <w:szCs w:val="24"/>
        </w:rPr>
        <w:t>heterofermentativos</w:t>
      </w:r>
      <w:proofErr w:type="spellEnd"/>
      <w:r w:rsidRPr="003C16D9">
        <w:rPr>
          <w:rFonts w:ascii="Arial" w:eastAsia="Arial" w:hAnsi="Arial" w:cs="Arial"/>
          <w:sz w:val="24"/>
          <w:szCs w:val="24"/>
        </w:rPr>
        <w:t xml:space="preserve">, como </w:t>
      </w:r>
      <w:r w:rsidRPr="003C16D9">
        <w:rPr>
          <w:rFonts w:ascii="Arial" w:eastAsia="Arial" w:hAnsi="Arial" w:cs="Arial"/>
          <w:i/>
          <w:iCs/>
          <w:sz w:val="24"/>
          <w:szCs w:val="24"/>
        </w:rPr>
        <w:t xml:space="preserve">L. </w:t>
      </w:r>
      <w:proofErr w:type="spellStart"/>
      <w:r w:rsidRPr="003C16D9">
        <w:rPr>
          <w:rFonts w:ascii="Arial" w:eastAsia="Arial" w:hAnsi="Arial" w:cs="Arial"/>
          <w:i/>
          <w:iCs/>
          <w:sz w:val="24"/>
          <w:szCs w:val="24"/>
        </w:rPr>
        <w:t>buchneri</w:t>
      </w:r>
      <w:proofErr w:type="spellEnd"/>
      <w:r w:rsidRPr="003C16D9">
        <w:rPr>
          <w:rFonts w:ascii="Arial" w:eastAsia="Arial" w:hAnsi="Arial" w:cs="Arial"/>
          <w:sz w:val="24"/>
          <w:szCs w:val="24"/>
        </w:rPr>
        <w:t xml:space="preserve"> e </w:t>
      </w:r>
      <w:r w:rsidRPr="003C16D9">
        <w:rPr>
          <w:rFonts w:ascii="Arial" w:eastAsia="Arial" w:hAnsi="Arial" w:cs="Arial"/>
          <w:i/>
          <w:iCs/>
          <w:sz w:val="24"/>
          <w:szCs w:val="24"/>
        </w:rPr>
        <w:t xml:space="preserve">L. </w:t>
      </w:r>
      <w:proofErr w:type="spellStart"/>
      <w:r w:rsidRPr="003C16D9">
        <w:rPr>
          <w:rFonts w:ascii="Arial" w:eastAsia="Arial" w:hAnsi="Arial" w:cs="Arial"/>
          <w:i/>
          <w:iCs/>
          <w:sz w:val="24"/>
          <w:szCs w:val="24"/>
        </w:rPr>
        <w:t>hilgardii</w:t>
      </w:r>
      <w:proofErr w:type="spellEnd"/>
      <w:r w:rsidRPr="003C16D9">
        <w:rPr>
          <w:rFonts w:ascii="Arial" w:eastAsia="Arial" w:hAnsi="Arial" w:cs="Arial"/>
          <w:sz w:val="24"/>
          <w:szCs w:val="24"/>
        </w:rPr>
        <w:t xml:space="preserve">, não só aumenta a estabilidade da silagem ao inibir leveduras e fungos, mas também melhora a qualidade nutricional do grão. Estudos recentes indicam que esses inoculantes reduzem o teor de </w:t>
      </w:r>
      <w:proofErr w:type="spellStart"/>
      <w:r w:rsidRPr="003C16D9">
        <w:rPr>
          <w:rFonts w:ascii="Arial" w:eastAsia="Arial" w:hAnsi="Arial" w:cs="Arial"/>
          <w:sz w:val="24"/>
          <w:szCs w:val="24"/>
        </w:rPr>
        <w:t>prolaminas</w:t>
      </w:r>
      <w:proofErr w:type="spellEnd"/>
      <w:r w:rsidRPr="003C16D9">
        <w:rPr>
          <w:rFonts w:ascii="Arial" w:eastAsia="Arial" w:hAnsi="Arial" w:cs="Arial"/>
          <w:sz w:val="24"/>
          <w:szCs w:val="24"/>
        </w:rPr>
        <w:t xml:space="preserve"> e aumentam a </w:t>
      </w:r>
      <w:proofErr w:type="spellStart"/>
      <w:r w:rsidRPr="003C16D9">
        <w:rPr>
          <w:rFonts w:ascii="Arial" w:eastAsia="Arial" w:hAnsi="Arial" w:cs="Arial"/>
          <w:sz w:val="24"/>
          <w:szCs w:val="24"/>
        </w:rPr>
        <w:t>degradabilidade</w:t>
      </w:r>
      <w:proofErr w:type="spellEnd"/>
      <w:r w:rsidRPr="003C16D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C16D9">
        <w:rPr>
          <w:rFonts w:ascii="Arial" w:eastAsia="Arial" w:hAnsi="Arial" w:cs="Arial"/>
          <w:sz w:val="24"/>
          <w:szCs w:val="24"/>
        </w:rPr>
        <w:t>ruminal</w:t>
      </w:r>
      <w:proofErr w:type="spellEnd"/>
      <w:r w:rsidRPr="003C16D9">
        <w:rPr>
          <w:rFonts w:ascii="Arial" w:eastAsia="Arial" w:hAnsi="Arial" w:cs="Arial"/>
          <w:sz w:val="24"/>
          <w:szCs w:val="24"/>
        </w:rPr>
        <w:t xml:space="preserve"> </w:t>
      </w:r>
      <w:r w:rsidRPr="003C16D9">
        <w:rPr>
          <w:rFonts w:ascii="Arial" w:eastAsia="Arial" w:hAnsi="Arial" w:cs="Arial"/>
          <w:i/>
          <w:iCs/>
          <w:sz w:val="24"/>
          <w:szCs w:val="24"/>
        </w:rPr>
        <w:t>in vitro</w:t>
      </w:r>
      <w:r w:rsidRPr="003C16D9">
        <w:rPr>
          <w:rFonts w:ascii="Arial" w:eastAsia="Arial" w:hAnsi="Arial" w:cs="Arial"/>
          <w:sz w:val="24"/>
          <w:szCs w:val="24"/>
        </w:rPr>
        <w:t xml:space="preserve"> da matéria seca, independentemente da textura do endosperma (Costa </w:t>
      </w:r>
      <w:r w:rsidRPr="003C16D9">
        <w:rPr>
          <w:rFonts w:ascii="Arial" w:eastAsia="Arial" w:hAnsi="Arial" w:cs="Arial"/>
          <w:i/>
          <w:iCs/>
          <w:sz w:val="24"/>
          <w:szCs w:val="24"/>
        </w:rPr>
        <w:t>et al.</w:t>
      </w:r>
      <w:r w:rsidRPr="003C16D9">
        <w:rPr>
          <w:rFonts w:ascii="Arial" w:eastAsia="Arial" w:hAnsi="Arial" w:cs="Arial"/>
          <w:sz w:val="24"/>
          <w:szCs w:val="24"/>
        </w:rPr>
        <w:t>, 2023), potencializando o aproveitamento do amido.</w:t>
      </w:r>
    </w:p>
    <w:p w14:paraId="5EBC131F" w14:textId="77777777" w:rsidR="003C16D9" w:rsidRDefault="003C16D9" w:rsidP="003C16D9">
      <w:pPr>
        <w:spacing w:after="0" w:line="360" w:lineRule="auto"/>
        <w:ind w:firstLine="360"/>
        <w:jc w:val="both"/>
        <w:rPr>
          <w:rFonts w:ascii="Arial" w:eastAsia="Arial" w:hAnsi="Arial" w:cs="Arial"/>
          <w:b/>
          <w:sz w:val="24"/>
          <w:szCs w:val="24"/>
        </w:rPr>
      </w:pPr>
    </w:p>
    <w:p w14:paraId="7F1A6D0D" w14:textId="77777777" w:rsidR="00C70B30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</w:t>
      </w:r>
    </w:p>
    <w:p w14:paraId="20C6A26F" w14:textId="77777777" w:rsidR="003C16D9" w:rsidRPr="003C16D9" w:rsidRDefault="003C16D9" w:rsidP="003C16D9">
      <w:pPr>
        <w:spacing w:after="0"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3C16D9">
        <w:rPr>
          <w:rFonts w:ascii="Arial" w:eastAsia="Arial" w:hAnsi="Arial" w:cs="Arial"/>
          <w:sz w:val="24"/>
          <w:szCs w:val="24"/>
        </w:rPr>
        <w:t xml:space="preserve">Avaliar o efeito combinado da granulometria, do uso dos inoculantes </w:t>
      </w:r>
      <w:r w:rsidRPr="003C16D9">
        <w:rPr>
          <w:rFonts w:ascii="Arial" w:eastAsia="Arial" w:hAnsi="Arial" w:cs="Arial"/>
          <w:i/>
          <w:iCs/>
          <w:sz w:val="24"/>
          <w:szCs w:val="24"/>
        </w:rPr>
        <w:t xml:space="preserve">L. </w:t>
      </w:r>
      <w:proofErr w:type="spellStart"/>
      <w:r w:rsidRPr="003C16D9">
        <w:rPr>
          <w:rFonts w:ascii="Arial" w:eastAsia="Arial" w:hAnsi="Arial" w:cs="Arial"/>
          <w:i/>
          <w:iCs/>
          <w:sz w:val="24"/>
          <w:szCs w:val="24"/>
        </w:rPr>
        <w:t>buchneri</w:t>
      </w:r>
      <w:proofErr w:type="spellEnd"/>
      <w:r w:rsidRPr="003C16D9">
        <w:rPr>
          <w:rFonts w:ascii="Arial" w:eastAsia="Arial" w:hAnsi="Arial" w:cs="Arial"/>
          <w:i/>
          <w:iCs/>
          <w:sz w:val="24"/>
          <w:szCs w:val="24"/>
        </w:rPr>
        <w:t xml:space="preserve">   </w:t>
      </w:r>
      <w:r w:rsidRPr="003C16D9">
        <w:rPr>
          <w:rFonts w:ascii="Arial" w:eastAsia="Arial" w:hAnsi="Arial" w:cs="Arial"/>
          <w:sz w:val="24"/>
          <w:szCs w:val="24"/>
        </w:rPr>
        <w:t>e</w:t>
      </w:r>
      <w:r w:rsidRPr="003C16D9">
        <w:rPr>
          <w:rFonts w:ascii="Arial" w:eastAsia="Arial" w:hAnsi="Arial" w:cs="Arial"/>
          <w:i/>
          <w:iCs/>
          <w:sz w:val="24"/>
          <w:szCs w:val="24"/>
        </w:rPr>
        <w:t xml:space="preserve">    L. </w:t>
      </w:r>
      <w:proofErr w:type="spellStart"/>
      <w:r w:rsidRPr="003C16D9">
        <w:rPr>
          <w:rFonts w:ascii="Arial" w:eastAsia="Arial" w:hAnsi="Arial" w:cs="Arial"/>
          <w:i/>
          <w:iCs/>
          <w:sz w:val="24"/>
          <w:szCs w:val="24"/>
        </w:rPr>
        <w:t>hilgardii</w:t>
      </w:r>
      <w:proofErr w:type="spellEnd"/>
      <w:r w:rsidRPr="003C16D9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3C16D9">
        <w:rPr>
          <w:rFonts w:ascii="Arial" w:eastAsia="Arial" w:hAnsi="Arial" w:cs="Arial"/>
          <w:sz w:val="24"/>
          <w:szCs w:val="24"/>
        </w:rPr>
        <w:t>e do tempo de ensilagem sobre os parâmetros fermentativos e a estabilidade aeróbia da silagem de milho reidratado.</w:t>
      </w:r>
    </w:p>
    <w:p w14:paraId="4764249F" w14:textId="742B2BC4" w:rsidR="00C70B30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</w:t>
      </w:r>
    </w:p>
    <w:p w14:paraId="136D355F" w14:textId="77777777" w:rsidR="00136F43" w:rsidRDefault="00000000" w:rsidP="00136F4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METODOLOGIA</w:t>
      </w:r>
    </w:p>
    <w:p w14:paraId="3095ED74" w14:textId="77777777" w:rsidR="00136F43" w:rsidRDefault="00136F43" w:rsidP="00136F43">
      <w:pPr>
        <w:spacing w:after="0" w:line="360" w:lineRule="auto"/>
        <w:ind w:firstLine="360"/>
        <w:jc w:val="both"/>
        <w:rPr>
          <w:rFonts w:ascii="Arial" w:eastAsia="Arial" w:hAnsi="Arial" w:cs="Arial"/>
          <w:b/>
          <w:sz w:val="24"/>
          <w:szCs w:val="24"/>
        </w:rPr>
      </w:pPr>
      <w:r w:rsidRPr="00136F43">
        <w:rPr>
          <w:rFonts w:ascii="Arial" w:eastAsia="Times New Roman" w:hAnsi="Arial" w:cs="Arial"/>
          <w:sz w:val="24"/>
          <w:szCs w:val="24"/>
        </w:rPr>
        <w:t xml:space="preserve">O experimento foi conduzido no Centro de Ciências Agrárias da UFNT. O milho foi moído em duas granulometrias: 2 mm (fina) e 6 mm (grosseira). Para cada tipo de moagem, oito pilhas foram reidratadas até 35% de umidade; quatro receberam inoculação com </w:t>
      </w:r>
      <w:r w:rsidRPr="00136F43">
        <w:rPr>
          <w:rFonts w:ascii="Arial" w:eastAsia="Times New Roman" w:hAnsi="Arial" w:cs="Arial"/>
          <w:i/>
          <w:iCs/>
          <w:sz w:val="24"/>
          <w:szCs w:val="24"/>
        </w:rPr>
        <w:t xml:space="preserve">L. </w:t>
      </w:r>
      <w:proofErr w:type="spellStart"/>
      <w:r w:rsidRPr="00136F43">
        <w:rPr>
          <w:rFonts w:ascii="Arial" w:eastAsia="Times New Roman" w:hAnsi="Arial" w:cs="Arial"/>
          <w:i/>
          <w:iCs/>
          <w:sz w:val="24"/>
          <w:szCs w:val="24"/>
        </w:rPr>
        <w:t>buchneri</w:t>
      </w:r>
      <w:proofErr w:type="spellEnd"/>
      <w:r w:rsidRPr="00136F43">
        <w:rPr>
          <w:rFonts w:ascii="Arial" w:eastAsia="Times New Roman" w:hAnsi="Arial" w:cs="Arial"/>
          <w:sz w:val="24"/>
          <w:szCs w:val="24"/>
        </w:rPr>
        <w:t xml:space="preserve"> + </w:t>
      </w:r>
      <w:r w:rsidRPr="00136F43">
        <w:rPr>
          <w:rFonts w:ascii="Arial" w:eastAsia="Times New Roman" w:hAnsi="Arial" w:cs="Arial"/>
          <w:i/>
          <w:iCs/>
          <w:sz w:val="24"/>
          <w:szCs w:val="24"/>
        </w:rPr>
        <w:t xml:space="preserve">L. </w:t>
      </w:r>
      <w:proofErr w:type="spellStart"/>
      <w:r w:rsidRPr="00136F43">
        <w:rPr>
          <w:rFonts w:ascii="Arial" w:eastAsia="Times New Roman" w:hAnsi="Arial" w:cs="Arial"/>
          <w:i/>
          <w:iCs/>
          <w:sz w:val="24"/>
          <w:szCs w:val="24"/>
        </w:rPr>
        <w:t>hilgardii</w:t>
      </w:r>
      <w:proofErr w:type="spellEnd"/>
      <w:r w:rsidRPr="00136F43">
        <w:rPr>
          <w:rFonts w:ascii="Arial" w:eastAsia="Times New Roman" w:hAnsi="Arial" w:cs="Arial"/>
          <w:sz w:val="24"/>
          <w:szCs w:val="24"/>
        </w:rPr>
        <w:t xml:space="preserve"> e quatro permaneceram sem inoculante (controle).</w:t>
      </w:r>
    </w:p>
    <w:p w14:paraId="6F149242" w14:textId="57A32D0B" w:rsidR="00136F43" w:rsidRPr="00136F43" w:rsidRDefault="00136F43" w:rsidP="00D67940">
      <w:pPr>
        <w:spacing w:after="0" w:line="360" w:lineRule="auto"/>
        <w:ind w:firstLine="360"/>
        <w:jc w:val="both"/>
        <w:rPr>
          <w:rFonts w:ascii="Arial" w:eastAsia="Arial" w:hAnsi="Arial" w:cs="Arial"/>
          <w:b/>
          <w:sz w:val="24"/>
          <w:szCs w:val="24"/>
        </w:rPr>
      </w:pPr>
      <w:r w:rsidRPr="00136F43">
        <w:rPr>
          <w:rFonts w:ascii="Arial" w:eastAsia="Times New Roman" w:hAnsi="Arial" w:cs="Arial"/>
          <w:sz w:val="24"/>
          <w:szCs w:val="24"/>
        </w:rPr>
        <w:lastRenderedPageBreak/>
        <w:t>As silagens foram armazenadas em silos experimentais e abertas nos períodos de 15, 30, 45, 60, 75 e 90 dias. Avaliaram-se as perdas por gases, pH, amônia (N–NH</w:t>
      </w:r>
      <w:r w:rsidRPr="00136F43">
        <w:rPr>
          <w:rFonts w:ascii="Cambria Math" w:eastAsia="Times New Roman" w:hAnsi="Cambria Math" w:cs="Cambria Math"/>
          <w:sz w:val="24"/>
          <w:szCs w:val="24"/>
        </w:rPr>
        <w:t>₃</w:t>
      </w:r>
      <w:r w:rsidRPr="00136F43">
        <w:rPr>
          <w:rFonts w:ascii="Arial" w:eastAsia="Times New Roman" w:hAnsi="Arial" w:cs="Arial"/>
          <w:sz w:val="24"/>
          <w:szCs w:val="24"/>
        </w:rPr>
        <w:t>), matéria seca (MS), matéria mineral (MM) e estabilidade aeróbia (definida pelo tempo em que a temperatura da silagem não ultrapassou 2°C acima da temperatura ambiente</w:t>
      </w:r>
      <w:proofErr w:type="gramStart"/>
      <w:r w:rsidRPr="00136F43">
        <w:rPr>
          <w:rFonts w:ascii="Arial" w:eastAsia="Times New Roman" w:hAnsi="Arial" w:cs="Arial"/>
          <w:sz w:val="24"/>
          <w:szCs w:val="24"/>
        </w:rPr>
        <w:t>).O</w:t>
      </w:r>
      <w:proofErr w:type="gramEnd"/>
      <w:r w:rsidRPr="00136F43">
        <w:rPr>
          <w:rFonts w:ascii="Arial" w:eastAsia="Times New Roman" w:hAnsi="Arial" w:cs="Arial"/>
          <w:sz w:val="24"/>
          <w:szCs w:val="24"/>
        </w:rPr>
        <w:t xml:space="preserve"> delineamento experimental foi inteiramente </w:t>
      </w:r>
      <w:proofErr w:type="spellStart"/>
      <w:r w:rsidRPr="00136F43">
        <w:rPr>
          <w:rFonts w:ascii="Arial" w:eastAsia="Times New Roman" w:hAnsi="Arial" w:cs="Arial"/>
          <w:sz w:val="24"/>
          <w:szCs w:val="24"/>
        </w:rPr>
        <w:t>casualizado</w:t>
      </w:r>
      <w:proofErr w:type="spellEnd"/>
      <w:r w:rsidRPr="00136F43">
        <w:rPr>
          <w:rFonts w:ascii="Arial" w:eastAsia="Times New Roman" w:hAnsi="Arial" w:cs="Arial"/>
          <w:sz w:val="24"/>
          <w:szCs w:val="24"/>
        </w:rPr>
        <w:t xml:space="preserve"> em esquema fatorial 2 × 2 × 6 (granulometria × inoculante × tempo), com análises estatísticas para verificar efeitos isolados e interações.</w:t>
      </w:r>
    </w:p>
    <w:p w14:paraId="062F0D34" w14:textId="77777777" w:rsidR="003C16D9" w:rsidRDefault="003C16D9" w:rsidP="003C16D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C1AF274" w14:textId="5FF7EDAC" w:rsidR="00C70B30" w:rsidRPr="003C16D9" w:rsidRDefault="00000000" w:rsidP="003C16D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C16D9">
        <w:rPr>
          <w:rFonts w:ascii="Arial" w:eastAsia="Arial" w:hAnsi="Arial" w:cs="Arial"/>
          <w:b/>
          <w:sz w:val="24"/>
          <w:szCs w:val="24"/>
        </w:rPr>
        <w:t>RESULTADOS E DISCUSSÃO</w:t>
      </w:r>
    </w:p>
    <w:p w14:paraId="08CB7AEB" w14:textId="77777777" w:rsidR="00D67940" w:rsidRDefault="008A2840" w:rsidP="00FE63C6">
      <w:pPr>
        <w:spacing w:after="0"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8A2840">
        <w:rPr>
          <w:rFonts w:ascii="Arial" w:eastAsia="Arial" w:hAnsi="Arial" w:cs="Arial"/>
          <w:sz w:val="24"/>
          <w:szCs w:val="24"/>
        </w:rPr>
        <w:t>A Tabela 1 apresenta os valores médios de matéria seca (MS), pH, amônia (NH</w:t>
      </w:r>
      <w:r w:rsidRPr="008A2840">
        <w:rPr>
          <w:rFonts w:ascii="Cambria Math" w:eastAsia="Arial" w:hAnsi="Cambria Math" w:cs="Cambria Math"/>
          <w:sz w:val="24"/>
          <w:szCs w:val="24"/>
        </w:rPr>
        <w:t>₃</w:t>
      </w:r>
      <w:r w:rsidRPr="008A2840">
        <w:rPr>
          <w:rFonts w:ascii="Arial" w:eastAsia="Arial" w:hAnsi="Arial" w:cs="Arial"/>
          <w:sz w:val="24"/>
          <w:szCs w:val="24"/>
        </w:rPr>
        <w:t>), matéria mineral (MM) e perda por gases (PG) em função da granulometria (2 e 6 mm), do inoculante (TC e HB) e do tempo de armazenamento (15 a 90 dias)</w:t>
      </w:r>
      <w:r w:rsidR="00136F43">
        <w:rPr>
          <w:rFonts w:ascii="Arial" w:eastAsia="Arial" w:hAnsi="Arial" w:cs="Arial"/>
          <w:sz w:val="24"/>
          <w:szCs w:val="24"/>
        </w:rPr>
        <w:t>.</w:t>
      </w:r>
    </w:p>
    <w:p w14:paraId="40203741" w14:textId="77777777" w:rsidR="00D67940" w:rsidRDefault="00136F43" w:rsidP="00D67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6F43">
        <w:t xml:space="preserve"> </w:t>
      </w:r>
      <w:r w:rsidR="00D67940" w:rsidRPr="00136F43">
        <w:rPr>
          <w:rFonts w:ascii="Arial" w:hAnsi="Arial" w:cs="Arial"/>
          <w:sz w:val="24"/>
          <w:szCs w:val="24"/>
        </w:rPr>
        <w:t xml:space="preserve">As perdas por gases (PG) apresentaram variação significativa entre os tratamentos, com valores mais elevados observados na granulometria de 6 mm associada ao inoculante HB aos 90 dias de ensilagem (24,04 g/kg de MS). </w:t>
      </w:r>
    </w:p>
    <w:p w14:paraId="759540F1" w14:textId="77777777" w:rsidR="00D67940" w:rsidRDefault="00D67940" w:rsidP="00D67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6F43">
        <w:rPr>
          <w:rFonts w:ascii="Arial" w:hAnsi="Arial" w:cs="Arial"/>
          <w:sz w:val="24"/>
          <w:szCs w:val="24"/>
        </w:rPr>
        <w:t xml:space="preserve">O tempo de armazenamento (p &lt; 0,0001), a granulometria (p = 0,0061) e a interação entre inoculante e granulometria (p = 0,0323) influenciaram significativamente os resultados, indicando que partículas maiores combinadas ao inoculante </w:t>
      </w:r>
      <w:proofErr w:type="spellStart"/>
      <w:r w:rsidRPr="00136F43">
        <w:rPr>
          <w:rFonts w:ascii="Arial" w:hAnsi="Arial" w:cs="Arial"/>
          <w:sz w:val="24"/>
          <w:szCs w:val="24"/>
        </w:rPr>
        <w:t>heterofermentativo</w:t>
      </w:r>
      <w:proofErr w:type="spellEnd"/>
      <w:r w:rsidRPr="00136F43">
        <w:rPr>
          <w:rFonts w:ascii="Arial" w:hAnsi="Arial" w:cs="Arial"/>
          <w:sz w:val="24"/>
          <w:szCs w:val="24"/>
        </w:rPr>
        <w:t xml:space="preserve"> favoreceram maior liberação de gases devido à intensa atividade microbiana. </w:t>
      </w:r>
    </w:p>
    <w:p w14:paraId="4B4F4644" w14:textId="2EF484BE" w:rsidR="00D67940" w:rsidRPr="00136F43" w:rsidRDefault="00D67940" w:rsidP="00D679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6F43">
        <w:rPr>
          <w:rFonts w:ascii="Arial" w:hAnsi="Arial" w:cs="Arial"/>
          <w:sz w:val="24"/>
          <w:szCs w:val="24"/>
        </w:rPr>
        <w:t>De modo geral, o tempo de ensilagem foi o principal fator de variação nas variáveis analisadas, seguido pelas interações entre granulometria e inoculante, corroborando Oliveira et al. (2017), que apontam que os efeitos dos inoculantes dependem de fatores como tamanho de partícula e período de armazenamento.</w:t>
      </w:r>
    </w:p>
    <w:p w14:paraId="1F848ED0" w14:textId="3B47747F" w:rsidR="00136F43" w:rsidRDefault="00136F43" w:rsidP="00D67940">
      <w:pPr>
        <w:spacing w:after="0" w:line="360" w:lineRule="auto"/>
        <w:ind w:firstLine="709"/>
        <w:jc w:val="both"/>
      </w:pPr>
    </w:p>
    <w:p w14:paraId="1CA8159A" w14:textId="3AC04BAA" w:rsidR="00FD09E6" w:rsidRPr="00136F43" w:rsidRDefault="00136F43" w:rsidP="00136F43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136F43">
        <w:rPr>
          <w:rFonts w:ascii="Arial" w:eastAsia="Arial" w:hAnsi="Arial" w:cs="Arial"/>
          <w:sz w:val="20"/>
          <w:szCs w:val="20"/>
        </w:rPr>
        <w:lastRenderedPageBreak/>
        <w:t>Tabela 1 – Médias de MS, pH, N-NH</w:t>
      </w:r>
      <w:r w:rsidRPr="00136F43">
        <w:rPr>
          <w:rFonts w:ascii="Cambria Math" w:eastAsia="Arial" w:hAnsi="Cambria Math" w:cs="Cambria Math"/>
          <w:sz w:val="20"/>
          <w:szCs w:val="20"/>
        </w:rPr>
        <w:t>₃</w:t>
      </w:r>
      <w:r w:rsidRPr="00136F43">
        <w:rPr>
          <w:rFonts w:ascii="Arial" w:eastAsia="Arial" w:hAnsi="Arial" w:cs="Arial"/>
          <w:sz w:val="20"/>
          <w:szCs w:val="20"/>
        </w:rPr>
        <w:t>, MM e PG em função da granulometria, inoculante e tempo de armazenamento</w:t>
      </w:r>
      <w:r w:rsidRPr="00136F43">
        <w:rPr>
          <w:rFonts w:ascii="Arial" w:eastAsia="Arial" w:hAnsi="Arial" w:cs="Arial"/>
          <w:sz w:val="20"/>
          <w:szCs w:val="20"/>
        </w:rPr>
        <w:t>.</w:t>
      </w:r>
    </w:p>
    <w:tbl>
      <w:tblPr>
        <w:tblW w:w="9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924"/>
        <w:gridCol w:w="1018"/>
        <w:gridCol w:w="1243"/>
        <w:gridCol w:w="924"/>
        <w:gridCol w:w="1361"/>
        <w:gridCol w:w="924"/>
        <w:gridCol w:w="1148"/>
      </w:tblGrid>
      <w:tr w:rsidR="00136F43" w:rsidRPr="00136F43" w14:paraId="055A76C0" w14:textId="77777777" w:rsidTr="00D67940">
        <w:trPr>
          <w:trHeight w:val="378"/>
        </w:trPr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166D8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Dias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36BA0" w14:textId="11890CBF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commentRangeStart w:id="7"/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4960B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INOC</w:t>
            </w:r>
            <w:commentRangeEnd w:id="7"/>
            <w:r w:rsidRPr="00136F43">
              <w:rPr>
                <w:rStyle w:val="Refdecomentrio"/>
                <w:rFonts w:ascii="Arial" w:hAnsi="Arial" w:cs="Arial"/>
                <w:sz w:val="20"/>
                <w:szCs w:val="20"/>
              </w:rPr>
              <w:commentReference w:id="7"/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CF153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MS (g kg </w:t>
            </w:r>
            <w:commentRangeStart w:id="8"/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MN</w:t>
            </w:r>
            <w:commentRangeEnd w:id="8"/>
            <w:r w:rsidRPr="00136F43">
              <w:rPr>
                <w:rStyle w:val="Refdecomentrio"/>
                <w:rFonts w:ascii="Arial" w:hAnsi="Arial" w:cs="Arial"/>
                <w:sz w:val="20"/>
                <w:szCs w:val="20"/>
              </w:rPr>
              <w:commentReference w:id="8"/>
            </w: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2C204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9C429" w14:textId="3DD95C9E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NH3 </w:t>
            </w: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 kg de MS</w:t>
            </w: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70EEB" w14:textId="0029B91A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MM </w:t>
            </w: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 kg MS</w:t>
            </w: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425C9" w14:textId="5B77EFE8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PG </w:t>
            </w: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 kg MS</w:t>
            </w: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136F43" w:rsidRPr="00136F43" w14:paraId="7A54C705" w14:textId="77777777" w:rsidTr="00D67940">
        <w:trPr>
          <w:trHeight w:val="187"/>
        </w:trPr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5859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3BCE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2mm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0FD9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D2A6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644,31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E37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898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C698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15,72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9FEB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11,96</w:t>
            </w:r>
          </w:p>
        </w:tc>
      </w:tr>
      <w:tr w:rsidR="00136F43" w:rsidRPr="00136F43" w14:paraId="035EC939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4040D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C3CAB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2CB6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0BA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636,26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B3DF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3513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E32F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14,08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4E46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14,71</w:t>
            </w:r>
          </w:p>
        </w:tc>
      </w:tr>
      <w:tr w:rsidR="00136F43" w:rsidRPr="00136F43" w14:paraId="0C31D4B3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A317F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D245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6mm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6195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53A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649,09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85FC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FD99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A362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12,71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C76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9,29</w:t>
            </w:r>
          </w:p>
        </w:tc>
      </w:tr>
      <w:tr w:rsidR="00136F43" w:rsidRPr="00136F43" w14:paraId="462891E9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98A6D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068AA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1F58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47C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647,70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DB89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F7B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761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12,80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EEF9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11,97</w:t>
            </w:r>
          </w:p>
        </w:tc>
      </w:tr>
      <w:tr w:rsidR="00136F43" w:rsidRPr="00136F43" w14:paraId="328C5E82" w14:textId="77777777" w:rsidTr="00D67940">
        <w:trPr>
          <w:trHeight w:val="187"/>
        </w:trPr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6E1D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198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2mm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9628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39E6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638,32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FD54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5204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1668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12,69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5B09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13,66</w:t>
            </w:r>
          </w:p>
        </w:tc>
      </w:tr>
      <w:tr w:rsidR="00136F43" w:rsidRPr="00136F43" w14:paraId="6FBDAAE8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26CFB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BA529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F6C6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04D1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631,22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7534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3D56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C004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13,35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4701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16,43</w:t>
            </w:r>
          </w:p>
        </w:tc>
      </w:tr>
      <w:tr w:rsidR="00136F43" w:rsidRPr="00136F43" w14:paraId="10AFD92A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2734D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35E7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6mm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AC19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F201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625,62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EFAD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752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05B8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13,32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4D6B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10,51</w:t>
            </w:r>
          </w:p>
        </w:tc>
      </w:tr>
      <w:tr w:rsidR="00136F43" w:rsidRPr="00136F43" w14:paraId="790280CF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AEB30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D5C7E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0F43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4DBE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636,24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21AD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D7C6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7CF5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14,44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750F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15,19</w:t>
            </w:r>
          </w:p>
        </w:tc>
      </w:tr>
      <w:tr w:rsidR="00136F43" w:rsidRPr="00136F43" w14:paraId="32867E38" w14:textId="77777777" w:rsidTr="00D67940">
        <w:trPr>
          <w:trHeight w:val="187"/>
        </w:trPr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8686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BBB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2mm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3643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94AF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630,77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F097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A3B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EC5D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14,45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84CD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17,79</w:t>
            </w:r>
          </w:p>
        </w:tc>
      </w:tr>
      <w:tr w:rsidR="00136F43" w:rsidRPr="00136F43" w14:paraId="41E4BA54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50AB3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8657F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8556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2A08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627,51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3D0F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6595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C5C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14,13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CD39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20,45</w:t>
            </w:r>
          </w:p>
        </w:tc>
      </w:tr>
      <w:tr w:rsidR="00136F43" w:rsidRPr="00136F43" w14:paraId="41454AF3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D1250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733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6mm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B01D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FA6F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634,85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737B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F29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CB45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13,43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0149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11,15</w:t>
            </w:r>
          </w:p>
        </w:tc>
      </w:tr>
      <w:tr w:rsidR="00136F43" w:rsidRPr="00136F43" w14:paraId="07C63DE3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928D1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F99EA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847E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B17C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644,09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C87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AF68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26BD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11,76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E12C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16,82</w:t>
            </w:r>
          </w:p>
        </w:tc>
      </w:tr>
      <w:tr w:rsidR="00136F43" w:rsidRPr="00136F43" w14:paraId="6CE15576" w14:textId="77777777" w:rsidTr="00D67940">
        <w:trPr>
          <w:trHeight w:val="187"/>
        </w:trPr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EC54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3B9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2mm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F67A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872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645,30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CA8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E9F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C721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11,86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166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13,11</w:t>
            </w:r>
          </w:p>
        </w:tc>
      </w:tr>
      <w:tr w:rsidR="00136F43" w:rsidRPr="00136F43" w14:paraId="3446520C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881FC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F6C99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116E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9FB9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635,25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524C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227F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49C3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13,07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9FB1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17,77</w:t>
            </w:r>
          </w:p>
        </w:tc>
      </w:tr>
      <w:tr w:rsidR="00136F43" w:rsidRPr="00136F43" w14:paraId="02A0A489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65CDF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8791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6mm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9420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7049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642,65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6022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DA5B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C561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12,24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D88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12,75</w:t>
            </w:r>
          </w:p>
        </w:tc>
      </w:tr>
      <w:tr w:rsidR="00136F43" w:rsidRPr="00136F43" w14:paraId="58FCABCB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4BCF6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2151D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F205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86A7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637,62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9087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7F69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95FE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099E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20,53</w:t>
            </w:r>
          </w:p>
        </w:tc>
      </w:tr>
      <w:tr w:rsidR="00136F43" w:rsidRPr="00136F43" w14:paraId="1D6C6C9C" w14:textId="77777777" w:rsidTr="00D67940">
        <w:trPr>
          <w:trHeight w:val="187"/>
        </w:trPr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69D4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D71C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2mm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38FF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50B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643,11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AAFD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8752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45B5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12,96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0053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10,85</w:t>
            </w:r>
          </w:p>
        </w:tc>
      </w:tr>
      <w:tr w:rsidR="00136F43" w:rsidRPr="00136F43" w14:paraId="49080914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F6B32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044CB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DB3D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958B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642,66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BBEF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6968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B3B7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12,81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53E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20,67</w:t>
            </w:r>
          </w:p>
        </w:tc>
      </w:tr>
      <w:tr w:rsidR="00136F43" w:rsidRPr="00136F43" w14:paraId="46D46EF3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132A2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600B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6mm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751D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C1AF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641,47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430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042E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46DC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19D8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11,65</w:t>
            </w:r>
          </w:p>
        </w:tc>
      </w:tr>
      <w:tr w:rsidR="00136F43" w:rsidRPr="00136F43" w14:paraId="7762717D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1474D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94BCF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212F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F1E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643,10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E421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CA51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3083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12,22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D613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21,67</w:t>
            </w:r>
          </w:p>
        </w:tc>
      </w:tr>
      <w:tr w:rsidR="00136F43" w:rsidRPr="00136F43" w14:paraId="07602E35" w14:textId="77777777" w:rsidTr="00D67940">
        <w:trPr>
          <w:trHeight w:val="187"/>
        </w:trPr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B968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7AF5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2mm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0158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3581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643,08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79F7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EC59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D039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11,65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F5E5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17,45</w:t>
            </w:r>
          </w:p>
        </w:tc>
      </w:tr>
      <w:tr w:rsidR="00136F43" w:rsidRPr="00136F43" w14:paraId="0103924E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95CD5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B05FD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6DA3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DEEE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635,03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2CB2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9982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D8FB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11,96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FD56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22,30</w:t>
            </w:r>
          </w:p>
        </w:tc>
      </w:tr>
      <w:tr w:rsidR="00136F43" w:rsidRPr="00136F43" w14:paraId="236D26F5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06772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413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6mm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37FB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64AF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639,53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78E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E10B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61A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12,54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101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13,03</w:t>
            </w:r>
          </w:p>
        </w:tc>
      </w:tr>
      <w:tr w:rsidR="00136F43" w:rsidRPr="00136F43" w14:paraId="74B047C0" w14:textId="77777777" w:rsidTr="00D67940">
        <w:trPr>
          <w:trHeight w:val="187"/>
        </w:trPr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C431F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7C5FF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70EB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EACB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639,38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5EA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6F67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C5D9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13,22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BA05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24,04</w:t>
            </w:r>
          </w:p>
        </w:tc>
      </w:tr>
      <w:tr w:rsidR="00136F43" w:rsidRPr="00136F43" w14:paraId="4B096481" w14:textId="77777777" w:rsidTr="00D67940">
        <w:trPr>
          <w:trHeight w:val="187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8D5C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B898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8592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1085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C065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2C2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AB91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B144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F43" w:rsidRPr="00136F43" w14:paraId="776AE0CB" w14:textId="77777777" w:rsidTr="00D67940">
        <w:trPr>
          <w:trHeight w:val="187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8ACB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7719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BC64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3F03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commentRangeStart w:id="9"/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0.3011</w:t>
            </w:r>
            <w:commentRangeEnd w:id="9"/>
            <w:r w:rsidRPr="00136F43">
              <w:rPr>
                <w:rStyle w:val="Refdecomentrio"/>
                <w:rFonts w:ascii="Arial" w:hAnsi="Arial" w:cs="Arial"/>
                <w:sz w:val="20"/>
                <w:szCs w:val="20"/>
              </w:rPr>
              <w:commentReference w:id="9"/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4B80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5F8B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1C82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0.8092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65DF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&lt;.0001</w:t>
            </w:r>
          </w:p>
        </w:tc>
      </w:tr>
      <w:tr w:rsidR="00136F43" w:rsidRPr="00136F43" w14:paraId="4F29B69B" w14:textId="77777777" w:rsidTr="00D67940">
        <w:trPr>
          <w:trHeight w:val="187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C235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4BD6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2FC0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BEE0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0.1820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8764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F660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0.0138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7BD8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0.0484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E56F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0.0061</w:t>
            </w:r>
          </w:p>
        </w:tc>
      </w:tr>
      <w:tr w:rsidR="00136F43" w:rsidRPr="00136F43" w14:paraId="64C57629" w14:textId="77777777" w:rsidTr="00D67940">
        <w:trPr>
          <w:trHeight w:val="187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25A3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A314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E6F8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947A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0B19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A4CF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</w:t>
            </w:r>
            <w:commentRangeStart w:id="10"/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commentRangeEnd w:id="10"/>
            <w:r w:rsidRPr="00136F43">
              <w:rPr>
                <w:rStyle w:val="Refdecomentrio"/>
                <w:rFonts w:ascii="Arial" w:hAnsi="Arial" w:cs="Arial"/>
                <w:sz w:val="20"/>
                <w:szCs w:val="20"/>
              </w:rPr>
              <w:commentReference w:id="10"/>
            </w: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7429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365E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&lt;.0001</w:t>
            </w:r>
          </w:p>
        </w:tc>
      </w:tr>
      <w:tr w:rsidR="00136F43" w:rsidRPr="00136F43" w14:paraId="171AD068" w14:textId="77777777" w:rsidTr="00D67940">
        <w:trPr>
          <w:trHeight w:val="187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DDB6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 </w:t>
            </w:r>
            <w:r w:rsidRPr="00136F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VALOR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484A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090F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x G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7DE9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180F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A4B6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8281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0.8379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6509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0.0323</w:t>
            </w:r>
          </w:p>
        </w:tc>
      </w:tr>
      <w:tr w:rsidR="00136F43" w:rsidRPr="00136F43" w14:paraId="2B3EC5A0" w14:textId="77777777" w:rsidTr="00D67940">
        <w:trPr>
          <w:trHeight w:val="187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D9DA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899D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2AF8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x T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4B41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0.4583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CA51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46C4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8FAB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0.0954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4B04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0.0019</w:t>
            </w:r>
          </w:p>
        </w:tc>
      </w:tr>
      <w:tr w:rsidR="00136F43" w:rsidRPr="00136F43" w14:paraId="4435D579" w14:textId="77777777" w:rsidTr="00D67940">
        <w:trPr>
          <w:trHeight w:val="187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578E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A08D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2360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 x T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1821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0.1581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8661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E94A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0.0226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A29B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15A3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0.0127</w:t>
            </w:r>
          </w:p>
        </w:tc>
      </w:tr>
      <w:tr w:rsidR="00136F43" w:rsidRPr="00136F43" w14:paraId="5A355C10" w14:textId="77777777" w:rsidTr="00D67940">
        <w:trPr>
          <w:trHeight w:val="187"/>
        </w:trPr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B52D4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580FB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20197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x G x 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3C09D" w14:textId="77777777" w:rsidR="00FD09E6" w:rsidRPr="00136F43" w:rsidRDefault="00FD09E6" w:rsidP="00A4562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0.8314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1412C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E0263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0.9027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E5BCB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0.4387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44DB1" w14:textId="77777777" w:rsidR="00FD09E6" w:rsidRPr="00136F43" w:rsidRDefault="00FD09E6" w:rsidP="00A4562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0.6021</w:t>
            </w:r>
          </w:p>
        </w:tc>
      </w:tr>
    </w:tbl>
    <w:p w14:paraId="02047A36" w14:textId="39CADB85" w:rsidR="00FD09E6" w:rsidRPr="00136F43" w:rsidRDefault="00136F43" w:rsidP="00136F43">
      <w:pPr>
        <w:spacing w:after="0" w:line="360" w:lineRule="auto"/>
        <w:ind w:firstLine="70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I=INOCULANTE; G=GRANULOMETRIA; T=TEMPO</w:t>
      </w:r>
    </w:p>
    <w:p w14:paraId="4CD33DEE" w14:textId="77777777" w:rsidR="00DE61B8" w:rsidRDefault="00DE61B8" w:rsidP="00DE61B8">
      <w:pPr>
        <w:spacing w:after="0"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</w:p>
    <w:p w14:paraId="7EA724C2" w14:textId="47777513" w:rsidR="00DE61B8" w:rsidRDefault="00D67940" w:rsidP="00DE61B8">
      <w:pPr>
        <w:spacing w:after="0" w:line="360" w:lineRule="auto"/>
        <w:ind w:firstLine="360"/>
        <w:jc w:val="both"/>
      </w:pPr>
      <w:r>
        <w:rPr>
          <w:rFonts w:ascii="Arial" w:eastAsia="Arial" w:hAnsi="Arial" w:cs="Arial"/>
          <w:sz w:val="24"/>
          <w:szCs w:val="24"/>
        </w:rPr>
        <w:t>E</w:t>
      </w:r>
      <w:r w:rsidRPr="002B1FEA">
        <w:rPr>
          <w:rFonts w:ascii="Arial" w:eastAsia="Arial" w:hAnsi="Arial" w:cs="Arial"/>
          <w:sz w:val="24"/>
          <w:szCs w:val="24"/>
        </w:rPr>
        <w:t>m relação à estabilidade aeróbia</w:t>
      </w:r>
      <w:r>
        <w:rPr>
          <w:rFonts w:ascii="Arial" w:eastAsia="Arial" w:hAnsi="Arial" w:cs="Arial"/>
          <w:sz w:val="24"/>
          <w:szCs w:val="24"/>
        </w:rPr>
        <w:t xml:space="preserve"> (Tabela 2)</w:t>
      </w:r>
      <w:r w:rsidRPr="002B1FEA">
        <w:rPr>
          <w:rFonts w:ascii="Arial" w:eastAsia="Arial" w:hAnsi="Arial" w:cs="Arial"/>
          <w:sz w:val="24"/>
          <w:szCs w:val="24"/>
        </w:rPr>
        <w:t xml:space="preserve">, o uso do inoculante HB foi o fator mais crucial, conferindo superioridade significativa (p&lt;0,0001). As silagens com HB demonstraram resistência prolongada à deterioração, mantendo-se estáveis por até 10 dias, em nítido contraste com os tratamentos TC que apresentaram instabilidade </w:t>
      </w:r>
      <w:r w:rsidRPr="002B1FEA">
        <w:rPr>
          <w:rFonts w:ascii="Arial" w:eastAsia="Arial" w:hAnsi="Arial" w:cs="Arial"/>
          <w:sz w:val="24"/>
          <w:szCs w:val="24"/>
        </w:rPr>
        <w:lastRenderedPageBreak/>
        <w:t xml:space="preserve">em menos de 48 horas e pH acima de 6,5 após 12 horas de aeração. Essa proteção é inerente à função dos inoculantes </w:t>
      </w:r>
      <w:proofErr w:type="spellStart"/>
      <w:r w:rsidRPr="002B1FEA">
        <w:rPr>
          <w:rFonts w:ascii="Arial" w:eastAsia="Arial" w:hAnsi="Arial" w:cs="Arial"/>
          <w:sz w:val="24"/>
          <w:szCs w:val="24"/>
        </w:rPr>
        <w:t>heterofermentativos</w:t>
      </w:r>
      <w:proofErr w:type="spellEnd"/>
      <w:r w:rsidRPr="002B1FEA">
        <w:rPr>
          <w:rFonts w:ascii="Arial" w:eastAsia="Arial" w:hAnsi="Arial" w:cs="Arial"/>
          <w:sz w:val="24"/>
          <w:szCs w:val="24"/>
        </w:rPr>
        <w:t xml:space="preserve">, </w:t>
      </w:r>
      <w:commentRangeStart w:id="11"/>
      <w:r w:rsidRPr="002B1FEA">
        <w:rPr>
          <w:rFonts w:ascii="Arial" w:eastAsia="Arial" w:hAnsi="Arial" w:cs="Arial"/>
          <w:sz w:val="24"/>
          <w:szCs w:val="24"/>
        </w:rPr>
        <w:t>que inibem microrganismos deterioradores</w:t>
      </w:r>
      <w:commentRangeEnd w:id="11"/>
      <w:r>
        <w:rPr>
          <w:rStyle w:val="Refdecomentrio"/>
        </w:rPr>
        <w:commentReference w:id="11"/>
      </w:r>
      <w:r w:rsidRPr="002B1FEA">
        <w:rPr>
          <w:rFonts w:ascii="Arial" w:eastAsia="Arial" w:hAnsi="Arial" w:cs="Arial"/>
          <w:sz w:val="24"/>
          <w:szCs w:val="24"/>
        </w:rPr>
        <w:t xml:space="preserve"> e mantêm o pH estável sob exposição ao oxigênio (KUNG </w:t>
      </w:r>
      <w:r w:rsidRPr="002B1FEA">
        <w:rPr>
          <w:rFonts w:ascii="Arial" w:eastAsia="Arial" w:hAnsi="Arial" w:cs="Arial"/>
          <w:i/>
          <w:iCs/>
          <w:sz w:val="24"/>
          <w:szCs w:val="24"/>
        </w:rPr>
        <w:t>et al.</w:t>
      </w:r>
      <w:r w:rsidRPr="002B1FEA">
        <w:rPr>
          <w:rFonts w:ascii="Arial" w:eastAsia="Arial" w:hAnsi="Arial" w:cs="Arial"/>
          <w:sz w:val="24"/>
          <w:szCs w:val="24"/>
        </w:rPr>
        <w:t>, 2018; WOOLFORD, 1984).</w:t>
      </w:r>
      <w:r w:rsidR="00DE61B8" w:rsidRPr="00DE61B8">
        <w:t xml:space="preserve"> </w:t>
      </w:r>
    </w:p>
    <w:p w14:paraId="106B04FE" w14:textId="77777777" w:rsidR="00DE61B8" w:rsidRDefault="00DE61B8" w:rsidP="00DE61B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E61B8">
        <w:rPr>
          <w:rFonts w:ascii="Arial" w:hAnsi="Arial" w:cs="Arial"/>
          <w:sz w:val="24"/>
          <w:szCs w:val="24"/>
        </w:rPr>
        <w:t xml:space="preserve">A estabilidade aeróbia variou entre os tratamentos, sendo superior nas silagens com inoculante HB, que resistiram à deterioração por até 244 horas (10 dias), enquanto as sem inoculante (TC) apresentaram menor estabilidade, entre 17 e 202 horas. </w:t>
      </w:r>
    </w:p>
    <w:p w14:paraId="698BFB24" w14:textId="77777777" w:rsidR="00DE61B8" w:rsidRDefault="00DE61B8" w:rsidP="00DE61B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E61B8">
        <w:rPr>
          <w:rFonts w:ascii="Arial" w:hAnsi="Arial" w:cs="Arial"/>
          <w:sz w:val="24"/>
          <w:szCs w:val="24"/>
        </w:rPr>
        <w:t xml:space="preserve">O inoculante HB mostrou-se mais eficiente por produzir ácidos que inibem microrganismos deterioradores. O efeito do inoculante (p &lt; 0,0001), da granulometria (p = 0,0009) e do tempo (p &lt; 0,0001) foi significativo, confirmando que o desempenho depende do tamanho das partículas e do período de armazenamento. </w:t>
      </w:r>
    </w:p>
    <w:p w14:paraId="26017697" w14:textId="77777777" w:rsidR="00DE61B8" w:rsidRDefault="00DE61B8" w:rsidP="00DE61B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E61B8">
        <w:rPr>
          <w:rFonts w:ascii="Arial" w:hAnsi="Arial" w:cs="Arial"/>
          <w:sz w:val="24"/>
          <w:szCs w:val="24"/>
        </w:rPr>
        <w:t xml:space="preserve">O pH inicial variou entre 3,6 e 4,6, com valores ligeiramente maiores em partículas grossas (6 mm) e menores em partículas finas (2 mm). Após exposição ao ar, silagens sem inoculante tiveram elevação acentuada do pH, enquanto as inoculadas mantiveram estabilidade (4,1–4,7), evidenciando o efeito protetor do HB contra leveduras e fungos. </w:t>
      </w:r>
    </w:p>
    <w:p w14:paraId="688C7AC3" w14:textId="2F5A878D" w:rsidR="00DE61B8" w:rsidRPr="00DE61B8" w:rsidRDefault="00DE61B8" w:rsidP="00DE61B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E61B8">
        <w:rPr>
          <w:rFonts w:ascii="Arial" w:hAnsi="Arial" w:cs="Arial"/>
          <w:sz w:val="24"/>
          <w:szCs w:val="24"/>
        </w:rPr>
        <w:t xml:space="preserve">De modo geral, os resultados evidenciam que a granulometria influenciou a fermentação inicial (pH 0 h), enquanto o inoculante foi determinante na estabilidade aeróbia e no controle do pH após a abertura. Esses achados corroboram estudos prévios que destacam a superioridade de inoculantes </w:t>
      </w:r>
      <w:proofErr w:type="spellStart"/>
      <w:r w:rsidRPr="00DE61B8">
        <w:rPr>
          <w:rFonts w:ascii="Arial" w:hAnsi="Arial" w:cs="Arial"/>
          <w:sz w:val="24"/>
          <w:szCs w:val="24"/>
        </w:rPr>
        <w:t>heterofermentativos</w:t>
      </w:r>
      <w:proofErr w:type="spellEnd"/>
      <w:r w:rsidRPr="00DE61B8">
        <w:rPr>
          <w:rFonts w:ascii="Arial" w:hAnsi="Arial" w:cs="Arial"/>
          <w:sz w:val="24"/>
          <w:szCs w:val="24"/>
        </w:rPr>
        <w:t xml:space="preserve"> para prolongar a estabilidade aeróbia e reduzir perdas por deterioração (OLIVEIRA et al., 2017; KUNG et al., 2018)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B05B42E" w14:textId="77777777" w:rsidR="00DE61B8" w:rsidRDefault="00DE61B8" w:rsidP="00D67940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EC568FF" w14:textId="77777777" w:rsidR="00DE61B8" w:rsidRDefault="00DE61B8" w:rsidP="00D67940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3398AF4" w14:textId="77777777" w:rsidR="00DE61B8" w:rsidRDefault="00DE61B8" w:rsidP="00D67940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F7E6726" w14:textId="77777777" w:rsidR="00DE61B8" w:rsidRDefault="00DE61B8" w:rsidP="00D67940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64C9AE6" w14:textId="77777777" w:rsidR="00DE61B8" w:rsidRDefault="00DE61B8" w:rsidP="00D67940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907F1F" w14:textId="3B888698" w:rsidR="00D67940" w:rsidRPr="00D67940" w:rsidRDefault="00DE61B8" w:rsidP="00DE61B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E61B8">
        <w:rPr>
          <w:rFonts w:ascii="Arial" w:eastAsia="Arial" w:hAnsi="Arial" w:cs="Arial"/>
          <w:sz w:val="20"/>
          <w:szCs w:val="20"/>
        </w:rPr>
        <w:t>Tabela 2 - Médias de estabilidade aeróbia (h) e pH (0, 4, 8 e 12 h) em diferentes granulometrias (2 e 6 mm), inoculantes (TC e HB) e tempos de armazenamento (15–90 dias)</w:t>
      </w:r>
    </w:p>
    <w:tbl>
      <w:tblPr>
        <w:tblpPr w:leftFromText="141" w:rightFromText="141" w:vertAnchor="text" w:horzAnchor="margin" w:tblpXSpec="center" w:tblpY="448"/>
        <w:tblW w:w="91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194"/>
        <w:gridCol w:w="1080"/>
        <w:gridCol w:w="1468"/>
        <w:gridCol w:w="1080"/>
        <w:gridCol w:w="1080"/>
        <w:gridCol w:w="1112"/>
        <w:gridCol w:w="1080"/>
      </w:tblGrid>
      <w:tr w:rsidR="00DE61B8" w:rsidRPr="0087457C" w14:paraId="7C091252" w14:textId="77777777" w:rsidTr="00DE61B8">
        <w:trPr>
          <w:trHeight w:val="356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499D5" w14:textId="77777777" w:rsidR="00D67940" w:rsidRPr="0087457C" w:rsidRDefault="00D67940" w:rsidP="00D67940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Dias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E82F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GRANU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3A1B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INOC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09F3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ESTABILIDADE HORAS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996E4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PH0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E775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PH4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59F53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PH8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DEEA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PH12</w:t>
            </w:r>
          </w:p>
        </w:tc>
      </w:tr>
      <w:tr w:rsidR="00DE61B8" w:rsidRPr="0087457C" w14:paraId="307225CF" w14:textId="77777777" w:rsidTr="00DE61B8">
        <w:trPr>
          <w:trHeight w:val="118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C097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0A71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2mm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63A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TC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C20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26C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0AD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7,20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E24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6,21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467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5,94</w:t>
            </w:r>
          </w:p>
        </w:tc>
      </w:tr>
      <w:tr w:rsidR="00DE61B8" w:rsidRPr="0087457C" w14:paraId="1D2D9B9D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381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08AB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69B6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HB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5AE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76C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C44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3,60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A7A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16B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4,27</w:t>
            </w:r>
          </w:p>
        </w:tc>
      </w:tr>
      <w:tr w:rsidR="00DE61B8" w:rsidRPr="0087457C" w14:paraId="6F7C159D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798C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9DE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6mm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9D9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TC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EC44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BAD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285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6,15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881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5,51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D4B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5,17</w:t>
            </w:r>
          </w:p>
        </w:tc>
      </w:tr>
      <w:tr w:rsidR="00DE61B8" w:rsidRPr="0087457C" w14:paraId="1C86C8E2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6294A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ABC19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D81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HB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798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CAD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8189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3,76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4B4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827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5,16</w:t>
            </w:r>
          </w:p>
        </w:tc>
      </w:tr>
      <w:tr w:rsidR="00DE61B8" w:rsidRPr="0087457C" w14:paraId="3C18EADB" w14:textId="77777777" w:rsidTr="00DE61B8">
        <w:trPr>
          <w:trHeight w:val="118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471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1D2A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2mm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7A8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TC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1FB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1EBA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9E96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6,02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C93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6,27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26D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6,53</w:t>
            </w:r>
          </w:p>
        </w:tc>
      </w:tr>
      <w:tr w:rsidR="00DE61B8" w:rsidRPr="0087457C" w14:paraId="21B0E519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69F9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60B8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E41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HB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A949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1D1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64A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3,84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331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935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4,11</w:t>
            </w:r>
          </w:p>
        </w:tc>
      </w:tr>
      <w:tr w:rsidR="00DE61B8" w:rsidRPr="0087457C" w14:paraId="53ECF396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1BE29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E8B6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6mm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6257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TC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5D6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077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2C2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4,74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A80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6,77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84D6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6,28</w:t>
            </w:r>
          </w:p>
        </w:tc>
      </w:tr>
      <w:tr w:rsidR="00DE61B8" w:rsidRPr="0087457C" w14:paraId="5CA706F5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9A66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24A69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7B6F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HB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0A46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D4B4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DCDA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5A6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1EFF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4,20</w:t>
            </w:r>
          </w:p>
        </w:tc>
      </w:tr>
      <w:tr w:rsidR="00DE61B8" w:rsidRPr="0087457C" w14:paraId="69E82098" w14:textId="77777777" w:rsidTr="00DE61B8">
        <w:trPr>
          <w:trHeight w:val="118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DB8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249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2mm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4897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TC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B37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3B5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5C23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5,03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A69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129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6,61</w:t>
            </w:r>
          </w:p>
        </w:tc>
      </w:tr>
      <w:tr w:rsidR="00DE61B8" w:rsidRPr="0087457C" w14:paraId="260CB4EC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76853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9EA5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735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HB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632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4A4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26D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4,06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E3A6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185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4,10</w:t>
            </w:r>
          </w:p>
        </w:tc>
      </w:tr>
      <w:tr w:rsidR="00DE61B8" w:rsidRPr="0087457C" w14:paraId="03E37CFC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58A1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663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6mm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D9C4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TC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1E39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71B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0AE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3,78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C59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5,84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EA6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5,84</w:t>
            </w:r>
          </w:p>
        </w:tc>
      </w:tr>
      <w:tr w:rsidR="00DE61B8" w:rsidRPr="0087457C" w14:paraId="0D7E4928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E78AF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8A0B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C5A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HB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3ED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779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E23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4,31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D8C3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76D3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4,25</w:t>
            </w:r>
          </w:p>
        </w:tc>
      </w:tr>
      <w:tr w:rsidR="00DE61B8" w:rsidRPr="0087457C" w14:paraId="7D3F3393" w14:textId="77777777" w:rsidTr="00DE61B8">
        <w:trPr>
          <w:trHeight w:val="118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4877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DB4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2mm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97F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TC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DDE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0A4F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3F0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4,93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EB6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5,74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B1A7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6,74</w:t>
            </w:r>
          </w:p>
        </w:tc>
      </w:tr>
      <w:tr w:rsidR="00DE61B8" w:rsidRPr="0087457C" w14:paraId="04C9D907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A7B6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DC32A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EF8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HB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327A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73E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0E19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B7F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414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4,33</w:t>
            </w:r>
          </w:p>
        </w:tc>
      </w:tr>
      <w:tr w:rsidR="00DE61B8" w:rsidRPr="0087457C" w14:paraId="094319CD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7A1E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1C3F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6mm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63F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TC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EF94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AE3F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8A8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4,01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C04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2097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5,27</w:t>
            </w:r>
          </w:p>
        </w:tc>
      </w:tr>
      <w:tr w:rsidR="00DE61B8" w:rsidRPr="0087457C" w14:paraId="25A9380B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171E3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AF5F1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0EB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HB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7F76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AACF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91F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4,54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084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3BB3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4,52</w:t>
            </w:r>
          </w:p>
        </w:tc>
      </w:tr>
      <w:tr w:rsidR="00DE61B8" w:rsidRPr="0087457C" w14:paraId="2C1B12D5" w14:textId="77777777" w:rsidTr="00DE61B8">
        <w:trPr>
          <w:trHeight w:val="118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B4B1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DB11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2mm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032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TC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B3A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0E5A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5B0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3,99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F3B4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1F07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5,65</w:t>
            </w:r>
          </w:p>
        </w:tc>
      </w:tr>
      <w:tr w:rsidR="00DE61B8" w:rsidRPr="0087457C" w14:paraId="513D2E60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E2D34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8E3B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4D7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HB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4BA3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91E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C45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4,48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7E96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49F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4,47</w:t>
            </w:r>
          </w:p>
        </w:tc>
      </w:tr>
      <w:tr w:rsidR="00DE61B8" w:rsidRPr="0087457C" w14:paraId="64E2133A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8ECF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D21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6mm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5FFA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TC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D18F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4FB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ECC6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4,05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5FF7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6046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4,75</w:t>
            </w:r>
          </w:p>
        </w:tc>
      </w:tr>
      <w:tr w:rsidR="00DE61B8" w:rsidRPr="0087457C" w14:paraId="48CCC57E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881F1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DEDA3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866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HB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889F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F5C1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DD9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4,68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695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B14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4,61</w:t>
            </w:r>
          </w:p>
        </w:tc>
      </w:tr>
      <w:tr w:rsidR="00DE61B8" w:rsidRPr="0087457C" w14:paraId="346FA083" w14:textId="77777777" w:rsidTr="00DE61B8">
        <w:trPr>
          <w:trHeight w:val="118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498A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1A0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2mm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A7B4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TC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6A4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D18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314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3,91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74D1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5,69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51B7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5,76</w:t>
            </w:r>
          </w:p>
        </w:tc>
      </w:tr>
      <w:tr w:rsidR="00DE61B8" w:rsidRPr="0087457C" w14:paraId="66A61863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DA2E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00FB3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295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HB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8907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9667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C47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4,40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A56F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6BB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4,45</w:t>
            </w:r>
          </w:p>
        </w:tc>
      </w:tr>
      <w:tr w:rsidR="00DE61B8" w:rsidRPr="0087457C" w14:paraId="1A3353F3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268E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399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6mm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57FA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TC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E5AA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8E69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425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CDA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6526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4,55</w:t>
            </w:r>
          </w:p>
        </w:tc>
      </w:tr>
      <w:tr w:rsidR="00DE61B8" w:rsidRPr="0087457C" w14:paraId="79BDFC8F" w14:textId="77777777" w:rsidTr="00DE61B8">
        <w:trPr>
          <w:trHeight w:val="118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84F8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05F2A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95A9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HB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789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3C66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FA3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4,66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A556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A53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4,70</w:t>
            </w:r>
          </w:p>
        </w:tc>
      </w:tr>
      <w:tr w:rsidR="00DE61B8" w:rsidRPr="0087457C" w14:paraId="2AFAB3C7" w14:textId="77777777" w:rsidTr="00DE61B8">
        <w:trPr>
          <w:trHeight w:val="11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ED44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122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7B2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1D86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9617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C64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389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B5F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1B8" w:rsidRPr="0087457C" w14:paraId="5C657C81" w14:textId="77777777" w:rsidTr="00DE61B8">
        <w:trPr>
          <w:trHeight w:val="11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941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E691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0DD6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975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F0B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9037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669F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B70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E61B8" w:rsidRPr="0087457C" w14:paraId="3CF635A0" w14:textId="77777777" w:rsidTr="00DE61B8">
        <w:trPr>
          <w:trHeight w:val="11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4F7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193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1BEA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G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C94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0.0009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B0D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E2B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EE9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0.1016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A5DF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E61B8" w:rsidRPr="0087457C" w14:paraId="77ECBAA3" w14:textId="77777777" w:rsidTr="00DE61B8">
        <w:trPr>
          <w:trHeight w:val="11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1E41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895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A83F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759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1F1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2A25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B764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0.0718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4B2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E61B8" w:rsidRPr="0087457C" w14:paraId="1C8842E8" w14:textId="77777777" w:rsidTr="00DE61B8">
        <w:trPr>
          <w:trHeight w:val="11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EF6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 xml:space="preserve">p </w:t>
            </w:r>
            <w:r w:rsidRPr="0087457C">
              <w:rPr>
                <w:rFonts w:eastAsia="Times New Roman"/>
                <w:i/>
                <w:iCs/>
                <w:color w:val="000000"/>
              </w:rPr>
              <w:t>VALOR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594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7227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I x G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2F3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0.0003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294B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E874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8B8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58C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E61B8" w:rsidRPr="0087457C" w14:paraId="2F1D2CAC" w14:textId="77777777" w:rsidTr="00DE61B8">
        <w:trPr>
          <w:trHeight w:val="11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8BF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03E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DDE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I x 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AB5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0.0042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AF3A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36D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7A4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CB68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E61B8" w:rsidRPr="0087457C" w14:paraId="3DCEBBF4" w14:textId="77777777" w:rsidTr="00DE61B8">
        <w:trPr>
          <w:trHeight w:val="11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9EC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C98F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377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G x 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77EA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0.5992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16A4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41C1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8172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0.9917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E7AE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E61B8" w:rsidRPr="0087457C" w14:paraId="2BC33606" w14:textId="77777777" w:rsidTr="00DE61B8">
        <w:trPr>
          <w:trHeight w:val="118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D4CE4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BAB14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F1FD0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I x G x T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47103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0.6508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06313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5815C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05567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7457C">
              <w:rPr>
                <w:rFonts w:eastAsia="Times New Roman"/>
                <w:color w:val="000000"/>
              </w:rPr>
              <w:t>0.9200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925FD" w14:textId="77777777" w:rsidR="00D67940" w:rsidRPr="0087457C" w:rsidRDefault="00D67940" w:rsidP="00A4562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7C52C1DC" w14:textId="77777777" w:rsidR="00D67940" w:rsidRDefault="00D67940" w:rsidP="00D67940">
      <w:pPr>
        <w:spacing w:after="0" w:line="36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5DE64BD8" w14:textId="77777777" w:rsidR="00DE61B8" w:rsidRDefault="00DE61B8" w:rsidP="00DE61B8">
      <w:pPr>
        <w:spacing w:after="0" w:line="36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3B95C783" w14:textId="51B312D5" w:rsidR="00C70B30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CONCLUSÃO/CONSIDERAÇÕES FINAIS</w:t>
      </w:r>
    </w:p>
    <w:p w14:paraId="482B5515" w14:textId="21393F44" w:rsidR="00C70B30" w:rsidRDefault="00FE63C6" w:rsidP="00FE63C6">
      <w:pPr>
        <w:spacing w:after="0"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FE63C6">
        <w:rPr>
          <w:rFonts w:ascii="Arial" w:eastAsia="Arial" w:hAnsi="Arial" w:cs="Arial"/>
          <w:sz w:val="24"/>
          <w:szCs w:val="24"/>
        </w:rPr>
        <w:t xml:space="preserve">Conclui-se que o tempo de ensilagem exerce importante influência sobre os parâmetros fermentativos avaliados. O uso do inoculante com L.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buchneri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e L.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hilgardii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aumentou a estabilidade aeróbia, destacando-se como estratégia eficaz para melhorar a qualidade da silagem de milho reidratado.</w:t>
      </w:r>
    </w:p>
    <w:p w14:paraId="6183D94B" w14:textId="77777777" w:rsidR="00C70B30" w:rsidRDefault="00C70B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33EB43" w14:textId="77777777" w:rsidR="00C70B30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7007421E" w14:textId="77777777" w:rsidR="00FE63C6" w:rsidRDefault="00FE63C6" w:rsidP="00FE63C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E63C6">
        <w:rPr>
          <w:rFonts w:ascii="Arial" w:eastAsia="Arial" w:hAnsi="Arial" w:cs="Arial"/>
          <w:sz w:val="24"/>
          <w:szCs w:val="24"/>
        </w:rPr>
        <w:t xml:space="preserve">Allen, M.S.,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Longuski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, R.A., Ying, Y.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Effects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corn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grain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endosperm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type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fineness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grind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site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digestion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ruminal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digestion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kinetics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flow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nitrogen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fractions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to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duodenum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lactating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dairy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cows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Dairy Science, v. 104, n. 7, p. 7641-7652, 2021. Castro, L.P., Pereira, M.N., Dias, J.D.L., Lage, D.V.D., </w:t>
      </w:r>
    </w:p>
    <w:p w14:paraId="16964482" w14:textId="77777777" w:rsidR="00FE63C6" w:rsidRDefault="00FE63C6" w:rsidP="00FE63C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C2FF08D" w14:textId="61806B03" w:rsidR="00C70B30" w:rsidRDefault="00FE63C6" w:rsidP="00FE63C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E63C6">
        <w:rPr>
          <w:rFonts w:ascii="Arial" w:eastAsia="Arial" w:hAnsi="Arial" w:cs="Arial"/>
          <w:sz w:val="24"/>
          <w:szCs w:val="24"/>
        </w:rPr>
        <w:t xml:space="preserve">Barbosa, E.F., Melo, R.P., Ferreira, K., Carvalho, J.T.R., Cardoso, F.F., Pereira, R.A.N.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Lactation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performance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dairy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cows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fed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rehydrated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ensiled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corn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grain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differing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particle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size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proportion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diet.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Dairy Science, v. 102, n. 11, p. 9857 9869, 2019.</w:t>
      </w:r>
    </w:p>
    <w:p w14:paraId="0DFAE423" w14:textId="77777777" w:rsidR="00FE63C6" w:rsidRDefault="00FE63C6" w:rsidP="00FE63C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9634827" w14:textId="6E2CD575" w:rsidR="00FE63C6" w:rsidRDefault="00FE63C6" w:rsidP="00FE63C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E63C6">
        <w:rPr>
          <w:rFonts w:ascii="Arial" w:eastAsia="Arial" w:hAnsi="Arial" w:cs="Arial"/>
          <w:sz w:val="24"/>
          <w:szCs w:val="24"/>
        </w:rPr>
        <w:t xml:space="preserve">Correa, C.E.S.,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Shaver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, R.D., Pereira, M.N.,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Lauer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, J.G., Kohn, K.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Relationship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between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corn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vitreousness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ruminal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in situ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starch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degradability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Dairy Science, v. 85, n. 11, p. 3008- 3012, 2002</w:t>
      </w:r>
      <w:r>
        <w:rPr>
          <w:rFonts w:ascii="Arial" w:eastAsia="Arial" w:hAnsi="Arial" w:cs="Arial"/>
          <w:sz w:val="24"/>
          <w:szCs w:val="24"/>
        </w:rPr>
        <w:t>.</w:t>
      </w:r>
    </w:p>
    <w:p w14:paraId="1227FA4B" w14:textId="77777777" w:rsidR="00FE63C6" w:rsidRDefault="00FE63C6" w:rsidP="00FE63C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A36B2FA" w14:textId="77777777" w:rsidR="00FE63C6" w:rsidRDefault="00FE63C6" w:rsidP="00FE63C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FE63C6">
        <w:rPr>
          <w:rFonts w:ascii="Arial" w:eastAsia="Arial" w:hAnsi="Arial" w:cs="Arial"/>
          <w:sz w:val="24"/>
          <w:szCs w:val="24"/>
        </w:rPr>
        <w:t>Influence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various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proteolytic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sources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during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fermentation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reconstituted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corn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grain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silages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Dairy Science, v. 100, n. 11, p. 9048-9051, 2017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Ranjit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, N. K.; Kung Jr, L. The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effect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Lactobacillus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buchneri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, Lactobacillus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plantarum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or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chemical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preservative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fermentation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aerobic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stability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corn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silage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Dairy Science, v. 83, n. 3, p. 526-535, 2000. San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Emeterio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, F., Reis, R.B., </w:t>
      </w:r>
    </w:p>
    <w:p w14:paraId="46575938" w14:textId="000EC7A5" w:rsidR="00FE63C6" w:rsidRDefault="00FE63C6" w:rsidP="00FE63C6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38149D4E" w14:textId="2F7CEF0C" w:rsidR="00FE63C6" w:rsidRDefault="00FE63C6" w:rsidP="00FE63C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E63C6">
        <w:rPr>
          <w:rFonts w:ascii="Arial" w:eastAsia="Arial" w:hAnsi="Arial" w:cs="Arial"/>
          <w:sz w:val="24"/>
          <w:szCs w:val="24"/>
        </w:rPr>
        <w:t xml:space="preserve">Campos, W.E., Satter, L.D.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Effect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coarse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or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fine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grinding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utilization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dry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or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ensiled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corn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by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lactating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dairy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cow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E63C6">
        <w:rPr>
          <w:rFonts w:ascii="Arial" w:eastAsia="Arial" w:hAnsi="Arial" w:cs="Arial"/>
          <w:sz w:val="24"/>
          <w:szCs w:val="24"/>
        </w:rPr>
        <w:t>of</w:t>
      </w:r>
      <w:proofErr w:type="spellEnd"/>
      <w:r w:rsidRPr="00FE63C6">
        <w:rPr>
          <w:rFonts w:ascii="Arial" w:eastAsia="Arial" w:hAnsi="Arial" w:cs="Arial"/>
          <w:sz w:val="24"/>
          <w:szCs w:val="24"/>
        </w:rPr>
        <w:t xml:space="preserve"> Dairy Science, v. 83, n. 12, p. 2839-2848, 2000</w:t>
      </w:r>
    </w:p>
    <w:p w14:paraId="611126D0" w14:textId="77777777" w:rsidR="00FE63C6" w:rsidRDefault="00FE63C6" w:rsidP="00FE63C6">
      <w:pP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732793C8" w14:textId="77777777" w:rsidR="00FE63C6" w:rsidRDefault="00000000" w:rsidP="00FE63C6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FE63C6">
        <w:rPr>
          <w:rFonts w:ascii="Arial" w:eastAsia="Arial" w:hAnsi="Arial" w:cs="Arial"/>
          <w:b/>
          <w:sz w:val="24"/>
          <w:szCs w:val="24"/>
        </w:rPr>
        <w:t>AGRADECIMENTOS</w:t>
      </w:r>
    </w:p>
    <w:p w14:paraId="2B6EF119" w14:textId="77777777" w:rsidR="00FE63C6" w:rsidRDefault="00FE63C6" w:rsidP="00FE63C6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2F01DD97" w14:textId="77C06851" w:rsidR="00FE63C6" w:rsidRPr="00FE63C6" w:rsidRDefault="00FE63C6" w:rsidP="00FE63C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FE63C6">
        <w:rPr>
          <w:rFonts w:ascii="Arial" w:eastAsia="Arial" w:hAnsi="Arial" w:cs="Arial"/>
          <w:bCs/>
          <w:sz w:val="24"/>
          <w:szCs w:val="24"/>
        </w:rPr>
        <w:t>A UFNT pelo apoio prestado e pela parceria na realização da pesquisa experimento.</w:t>
      </w:r>
    </w:p>
    <w:p w14:paraId="3306A3AD" w14:textId="77777777" w:rsidR="00C70B30" w:rsidRDefault="00C70B30" w:rsidP="00FE63C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C70B30"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eborah" w:date="2025-10-13T15:16:00Z" w:initials="D">
    <w:p w14:paraId="5AE5CE37" w14:textId="77777777" w:rsidR="003C16D9" w:rsidRDefault="003C16D9" w:rsidP="003C16D9">
      <w:pPr>
        <w:pStyle w:val="Textodecomentrio"/>
      </w:pPr>
      <w:r>
        <w:rPr>
          <w:rStyle w:val="Refdecomentrio"/>
        </w:rPr>
        <w:annotationRef/>
      </w:r>
      <w:r>
        <w:t>Itálico</w:t>
      </w:r>
    </w:p>
  </w:comment>
  <w:comment w:id="1" w:author="Deborah" w:date="2025-10-13T15:16:00Z" w:initials="D">
    <w:p w14:paraId="3D24FA09" w14:textId="77777777" w:rsidR="003C16D9" w:rsidRDefault="003C16D9" w:rsidP="003C16D9">
      <w:pPr>
        <w:pStyle w:val="Textodecomentrio"/>
      </w:pPr>
      <w:r>
        <w:rPr>
          <w:rStyle w:val="Refdecomentrio"/>
        </w:rPr>
        <w:annotationRef/>
      </w:r>
      <w:r>
        <w:t>itálico</w:t>
      </w:r>
    </w:p>
  </w:comment>
  <w:comment w:id="2" w:author="Deborah" w:date="2025-10-13T15:24:00Z" w:initials="D">
    <w:p w14:paraId="52195E9E" w14:textId="77777777" w:rsidR="003C16D9" w:rsidRDefault="003C16D9" w:rsidP="003C16D9">
      <w:pPr>
        <w:pStyle w:val="Textodecomentrio"/>
      </w:pPr>
      <w:r>
        <w:rPr>
          <w:rStyle w:val="Refdecomentrio"/>
        </w:rPr>
        <w:annotationRef/>
      </w:r>
      <w:r>
        <w:t>Gastou palavras que não trazem informações importantes. Vai direto: houve redução do pH e aumento da amônia ao longo do tempo de fermentação, por exemplo.</w:t>
      </w:r>
    </w:p>
  </w:comment>
  <w:comment w:id="4" w:author="Deborah" w:date="2025-10-13T15:25:00Z" w:initials="D">
    <w:p w14:paraId="324FC5F8" w14:textId="77777777" w:rsidR="003C16D9" w:rsidRDefault="003C16D9" w:rsidP="003C16D9">
      <w:pPr>
        <w:pStyle w:val="Textodecomentrio"/>
      </w:pPr>
      <w:r>
        <w:rPr>
          <w:rStyle w:val="Refdecomentrio"/>
        </w:rPr>
        <w:annotationRef/>
      </w:r>
      <w:r>
        <w:t>De novo não disse nada... influenciou de que maneira? Aumento o que? Reduziu o que?</w:t>
      </w:r>
    </w:p>
  </w:comment>
  <w:comment w:id="3" w:author="Deborah" w:date="2025-10-13T15:30:00Z" w:initials="D">
    <w:p w14:paraId="396A7B28" w14:textId="77777777" w:rsidR="003C16D9" w:rsidRDefault="003C16D9" w:rsidP="003C16D9">
      <w:pPr>
        <w:pStyle w:val="Textodecomentrio"/>
      </w:pPr>
      <w:r>
        <w:rPr>
          <w:rStyle w:val="Refdecomentrio"/>
        </w:rPr>
        <w:annotationRef/>
      </w:r>
      <w:r>
        <w:t>Coloque alguns valores, números! O pH foi de tanto para tanto, por exemplo...as horas da estabilidade....</w:t>
      </w:r>
    </w:p>
  </w:comment>
  <w:comment w:id="5" w:author="Deborah" w:date="2025-10-13T15:17:00Z" w:initials="D">
    <w:p w14:paraId="5F9713DA" w14:textId="77777777" w:rsidR="003C16D9" w:rsidRDefault="003C16D9" w:rsidP="003C16D9">
      <w:pPr>
        <w:pStyle w:val="Textodecomentrio"/>
      </w:pPr>
      <w:r>
        <w:rPr>
          <w:rStyle w:val="Refdecomentrio"/>
        </w:rPr>
        <w:annotationRef/>
      </w:r>
      <w:r>
        <w:t>Ordem alfabética</w:t>
      </w:r>
    </w:p>
  </w:comment>
  <w:comment w:id="6" w:author="Deborah" w:date="2025-10-13T15:33:00Z" w:initials="D">
    <w:p w14:paraId="6067D5C4" w14:textId="77777777" w:rsidR="003C16D9" w:rsidRDefault="003C16D9" w:rsidP="003C16D9">
      <w:pPr>
        <w:pStyle w:val="Textodecomentrio"/>
      </w:pPr>
      <w:r>
        <w:rPr>
          <w:rStyle w:val="Refdecomentrio"/>
        </w:rPr>
        <w:annotationRef/>
      </w:r>
      <w:r>
        <w:t>Frases não estão conectadas, a primeira é uma coisa e a segunda outra...nenhuma das duas estão erradas, mas são coisas distintas...</w:t>
      </w:r>
    </w:p>
    <w:p w14:paraId="0A80B2EC" w14:textId="77777777" w:rsidR="003C16D9" w:rsidRDefault="003C16D9" w:rsidP="003C16D9">
      <w:pPr>
        <w:pStyle w:val="Textodecomentrio"/>
      </w:pPr>
      <w:proofErr w:type="spellStart"/>
      <w:r>
        <w:t>Ma</w:t>
      </w:r>
      <w:proofErr w:type="spellEnd"/>
      <w:r>
        <w:t xml:space="preserve"> parte da ensilagem </w:t>
      </w:r>
      <w:proofErr w:type="spellStart"/>
      <w:r>
        <w:t>vc</w:t>
      </w:r>
      <w:proofErr w:type="spellEnd"/>
      <w:r>
        <w:t xml:space="preserve"> precisaria falar da proteólise....</w:t>
      </w:r>
    </w:p>
    <w:p w14:paraId="065CBEBC" w14:textId="77777777" w:rsidR="003C16D9" w:rsidRDefault="003C16D9" w:rsidP="003C16D9">
      <w:pPr>
        <w:pStyle w:val="Textodecomentrio"/>
      </w:pPr>
      <w:r>
        <w:t>Depois falaria de tamanho de partícula...</w:t>
      </w:r>
    </w:p>
  </w:comment>
  <w:comment w:id="7" w:author="Deborah" w:date="2025-10-13T15:55:00Z" w:initials="D">
    <w:p w14:paraId="0F1D3FE1" w14:textId="77777777" w:rsidR="00FD09E6" w:rsidRDefault="00FD09E6" w:rsidP="00FD09E6">
      <w:pPr>
        <w:pStyle w:val="Textodecomentrio"/>
      </w:pPr>
      <w:r>
        <w:rPr>
          <w:rStyle w:val="Refdecomentrio"/>
        </w:rPr>
        <w:annotationRef/>
      </w:r>
      <w:r>
        <w:t>Coloque por extenso, bonitinho...</w:t>
      </w:r>
    </w:p>
  </w:comment>
  <w:comment w:id="8" w:author="Deborah" w:date="2025-10-13T15:55:00Z" w:initials="D">
    <w:p w14:paraId="70285135" w14:textId="77777777" w:rsidR="00FD09E6" w:rsidRDefault="00FD09E6" w:rsidP="00FD09E6">
      <w:pPr>
        <w:pStyle w:val="Textodecomentrio"/>
      </w:pPr>
      <w:r>
        <w:rPr>
          <w:rStyle w:val="Refdecomentrio"/>
        </w:rPr>
        <w:annotationRef/>
      </w:r>
      <w:proofErr w:type="gramStart"/>
      <w:r>
        <w:t>As unidades de medida coloque</w:t>
      </w:r>
      <w:proofErr w:type="gramEnd"/>
      <w:r>
        <w:t xml:space="preserve"> entre parênteses</w:t>
      </w:r>
    </w:p>
  </w:comment>
  <w:comment w:id="9" w:author="Deborah" w:date="2025-10-13T15:58:00Z" w:initials="D">
    <w:p w14:paraId="55C0607A" w14:textId="77777777" w:rsidR="00FD09E6" w:rsidRDefault="00FD09E6" w:rsidP="00FD09E6">
      <w:pPr>
        <w:pStyle w:val="Textodecomentrio"/>
      </w:pPr>
      <w:r>
        <w:rPr>
          <w:rStyle w:val="Refdecomentrio"/>
        </w:rPr>
        <w:annotationRef/>
      </w:r>
      <w:r>
        <w:t>Trocar ponto por vírgula em todos</w:t>
      </w:r>
    </w:p>
  </w:comment>
  <w:comment w:id="10" w:author="Deborah" w:date="2025-10-13T16:08:00Z" w:initials="D">
    <w:p w14:paraId="50421CD5" w14:textId="77777777" w:rsidR="00FD09E6" w:rsidRDefault="00FD09E6" w:rsidP="00FD09E6">
      <w:pPr>
        <w:pStyle w:val="Textodecomentrio"/>
      </w:pPr>
      <w:r>
        <w:rPr>
          <w:rStyle w:val="Refdecomentrio"/>
        </w:rPr>
        <w:annotationRef/>
      </w:r>
      <w:r>
        <w:t>Acrescentar o zero antes da vírgula em todos que estão faltando</w:t>
      </w:r>
    </w:p>
  </w:comment>
  <w:comment w:id="11" w:author="Deborah" w:date="2025-10-13T16:13:00Z" w:initials="D">
    <w:p w14:paraId="3FCFDBB9" w14:textId="77777777" w:rsidR="00D67940" w:rsidRDefault="00D67940" w:rsidP="00D67940">
      <w:pPr>
        <w:pStyle w:val="Textodecomentrio"/>
      </w:pPr>
      <w:r>
        <w:rPr>
          <w:rStyle w:val="Refdecomentrio"/>
        </w:rPr>
        <w:annotationRef/>
      </w:r>
      <w:r>
        <w:t xml:space="preserve">Explique como. Vi depois que </w:t>
      </w:r>
      <w:proofErr w:type="spellStart"/>
      <w:r>
        <w:t>vc</w:t>
      </w:r>
      <w:proofErr w:type="spellEnd"/>
      <w:r>
        <w:t xml:space="preserve"> colocou. Tente juntar </w:t>
      </w:r>
      <w:proofErr w:type="spellStart"/>
      <w:r>
        <w:t>pq</w:t>
      </w:r>
      <w:proofErr w:type="spellEnd"/>
      <w:r>
        <w:t xml:space="preserve"> aqui fica faltando e </w:t>
      </w:r>
      <w:proofErr w:type="spellStart"/>
      <w:r>
        <w:t>deppis</w:t>
      </w:r>
      <w:proofErr w:type="spellEnd"/>
      <w:r>
        <w:t xml:space="preserve"> </w:t>
      </w:r>
      <w:proofErr w:type="spellStart"/>
      <w:r>
        <w:t>vc</w:t>
      </w:r>
      <w:proofErr w:type="spellEnd"/>
      <w:r>
        <w:t xml:space="preserve"> fala... as vezes junta a informações de horas e de pH e explica o motivo uma vez só.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E5CE37" w15:done="1"/>
  <w15:commentEx w15:paraId="3D24FA09" w15:done="1"/>
  <w15:commentEx w15:paraId="52195E9E" w15:done="1"/>
  <w15:commentEx w15:paraId="324FC5F8" w15:done="1"/>
  <w15:commentEx w15:paraId="396A7B28" w15:done="1"/>
  <w15:commentEx w15:paraId="5F9713DA" w15:done="1"/>
  <w15:commentEx w15:paraId="065CBEBC" w15:done="1"/>
  <w15:commentEx w15:paraId="0F1D3FE1" w15:done="1"/>
  <w15:commentEx w15:paraId="70285135" w15:done="1"/>
  <w15:commentEx w15:paraId="55C0607A" w15:done="1"/>
  <w15:commentEx w15:paraId="50421CD5" w15:done="1"/>
  <w15:commentEx w15:paraId="3FCFDBB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74EB1F7" w16cex:dateUtc="2025-10-13T18:16:00Z"/>
  <w16cex:commentExtensible w16cex:durableId="64E10B6C" w16cex:dateUtc="2025-10-13T18:16:00Z"/>
  <w16cex:commentExtensible w16cex:durableId="252C6CDC" w16cex:dateUtc="2025-10-13T18:24:00Z"/>
  <w16cex:commentExtensible w16cex:durableId="68D331B7" w16cex:dateUtc="2025-10-13T18:25:00Z"/>
  <w16cex:commentExtensible w16cex:durableId="1C95B205" w16cex:dateUtc="2025-10-13T18:30:00Z"/>
  <w16cex:commentExtensible w16cex:durableId="184985E0" w16cex:dateUtc="2025-10-13T18:17:00Z"/>
  <w16cex:commentExtensible w16cex:durableId="6B165767" w16cex:dateUtc="2025-10-13T18:33:00Z"/>
  <w16cex:commentExtensible w16cex:durableId="346FA2C4" w16cex:dateUtc="2025-10-13T18:55:00Z"/>
  <w16cex:commentExtensible w16cex:durableId="027682CD" w16cex:dateUtc="2025-10-13T18:55:00Z"/>
  <w16cex:commentExtensible w16cex:durableId="60365D7C" w16cex:dateUtc="2025-10-13T18:58:00Z"/>
  <w16cex:commentExtensible w16cex:durableId="6CA45076" w16cex:dateUtc="2025-10-13T19:08:00Z"/>
  <w16cex:commentExtensible w16cex:durableId="7350E56B" w16cex:dateUtc="2025-10-13T1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E5CE37" w16cid:durableId="774EB1F7"/>
  <w16cid:commentId w16cid:paraId="3D24FA09" w16cid:durableId="64E10B6C"/>
  <w16cid:commentId w16cid:paraId="52195E9E" w16cid:durableId="252C6CDC"/>
  <w16cid:commentId w16cid:paraId="324FC5F8" w16cid:durableId="68D331B7"/>
  <w16cid:commentId w16cid:paraId="396A7B28" w16cid:durableId="1C95B205"/>
  <w16cid:commentId w16cid:paraId="5F9713DA" w16cid:durableId="184985E0"/>
  <w16cid:commentId w16cid:paraId="065CBEBC" w16cid:durableId="6B165767"/>
  <w16cid:commentId w16cid:paraId="0F1D3FE1" w16cid:durableId="346FA2C4"/>
  <w16cid:commentId w16cid:paraId="70285135" w16cid:durableId="027682CD"/>
  <w16cid:commentId w16cid:paraId="55C0607A" w16cid:durableId="60365D7C"/>
  <w16cid:commentId w16cid:paraId="50421CD5" w16cid:durableId="6CA45076"/>
  <w16cid:commentId w16cid:paraId="3FCFDBB9" w16cid:durableId="7350E5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5354" w14:textId="77777777" w:rsidR="00013829" w:rsidRDefault="00013829">
      <w:pPr>
        <w:spacing w:after="0" w:line="240" w:lineRule="auto"/>
      </w:pPr>
      <w:r>
        <w:separator/>
      </w:r>
    </w:p>
  </w:endnote>
  <w:endnote w:type="continuationSeparator" w:id="0">
    <w:p w14:paraId="540FBDA0" w14:textId="77777777" w:rsidR="00013829" w:rsidRDefault="0001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4DF9" w14:textId="77777777" w:rsidR="00C70B30" w:rsidRDefault="00C70B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54F3" w14:textId="77777777" w:rsidR="00C70B30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9B78" w14:textId="77777777" w:rsidR="00C70B30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ED32" w14:textId="77777777" w:rsidR="00013829" w:rsidRDefault="00013829">
      <w:pPr>
        <w:rPr>
          <w:sz w:val="12"/>
        </w:rPr>
      </w:pPr>
      <w:r>
        <w:separator/>
      </w:r>
    </w:p>
  </w:footnote>
  <w:footnote w:type="continuationSeparator" w:id="0">
    <w:p w14:paraId="3A2D329D" w14:textId="77777777" w:rsidR="00013829" w:rsidRDefault="0001382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DB0F" w14:textId="77777777" w:rsidR="00C70B30" w:rsidRDefault="00C70B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FD16" w14:textId="77777777" w:rsidR="00C70B30" w:rsidRDefault="00000000">
    <w:r>
      <w:rPr>
        <w:noProof/>
      </w:rPr>
      <w:drawing>
        <wp:anchor distT="0" distB="0" distL="0" distR="0" simplePos="0" relativeHeight="251657216" behindDoc="0" locked="0" layoutInCell="0" allowOverlap="1" wp14:anchorId="02AB5FAC" wp14:editId="038203B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24F175" w14:textId="77777777" w:rsidR="00C70B30" w:rsidRDefault="00C70B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2E5F" w14:textId="77777777" w:rsidR="00C70B30" w:rsidRDefault="00000000">
    <w:r>
      <w:rPr>
        <w:noProof/>
      </w:rPr>
      <w:drawing>
        <wp:anchor distT="0" distB="0" distL="0" distR="0" simplePos="0" relativeHeight="251658240" behindDoc="0" locked="0" layoutInCell="0" allowOverlap="1" wp14:anchorId="2DD4EF67" wp14:editId="5CF1192D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53C010" w14:textId="77777777" w:rsidR="00C70B30" w:rsidRDefault="00C70B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C4A43"/>
    <w:multiLevelType w:val="hybridMultilevel"/>
    <w:tmpl w:val="05586EA2"/>
    <w:lvl w:ilvl="0" w:tplc="2E12C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8507D"/>
    <w:multiLevelType w:val="multilevel"/>
    <w:tmpl w:val="B0AA084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36EE10E7"/>
    <w:multiLevelType w:val="multilevel"/>
    <w:tmpl w:val="5C14C810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3" w15:restartNumberingAfterBreak="0">
    <w:nsid w:val="705F3763"/>
    <w:multiLevelType w:val="multilevel"/>
    <w:tmpl w:val="18109B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0445799">
    <w:abstractNumId w:val="2"/>
  </w:num>
  <w:num w:numId="2" w16cid:durableId="125853237">
    <w:abstractNumId w:val="1"/>
  </w:num>
  <w:num w:numId="3" w16cid:durableId="931856863">
    <w:abstractNumId w:val="3"/>
  </w:num>
  <w:num w:numId="4" w16cid:durableId="12667670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borah">
    <w15:presenceInfo w15:providerId="None" w15:userId="Debora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B30"/>
    <w:rsid w:val="00013829"/>
    <w:rsid w:val="00136F43"/>
    <w:rsid w:val="00206C34"/>
    <w:rsid w:val="003C16D9"/>
    <w:rsid w:val="007A5AB3"/>
    <w:rsid w:val="008A2840"/>
    <w:rsid w:val="00C70B30"/>
    <w:rsid w:val="00D51920"/>
    <w:rsid w:val="00D67940"/>
    <w:rsid w:val="00DE61B8"/>
    <w:rsid w:val="00FD09E6"/>
    <w:rsid w:val="00F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88EF"/>
  <w15:docId w15:val="{ADB9EAA5-E39B-4CAA-B93C-2A28A27D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C16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16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6D9"/>
    <w:rPr>
      <w:sz w:val="20"/>
      <w:szCs w:val="20"/>
    </w:rPr>
  </w:style>
  <w:style w:type="paragraph" w:customStyle="1" w:styleId="Corpo">
    <w:name w:val="Corpo"/>
    <w:rsid w:val="003C16D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3C16D9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36F43"/>
    <w:rPr>
      <w:i/>
      <w:iCs/>
    </w:rPr>
  </w:style>
  <w:style w:type="character" w:styleId="Hyperlink">
    <w:name w:val="Hyperlink"/>
    <w:basedOn w:val="Fontepargpadro"/>
    <w:uiPriority w:val="99"/>
    <w:unhideWhenUsed/>
    <w:rsid w:val="00FE63C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6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omments" Target="commen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1824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Jadson-Nepral</cp:lastModifiedBy>
  <cp:revision>2</cp:revision>
  <dcterms:created xsi:type="dcterms:W3CDTF">2025-10-13T22:40:00Z</dcterms:created>
  <dcterms:modified xsi:type="dcterms:W3CDTF">2025-10-13T22:40:00Z</dcterms:modified>
  <dc:language>pt-BR</dc:language>
</cp:coreProperties>
</file>