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233"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233"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233"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233"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Diagnóstico e Manejo de Alergias Alimentares em Crianças </w:t>
      </w:r>
    </w:p>
    <w:p>
      <w:pPr>
        <w:spacing w:before="0" w:after="0" w:line="240"/>
        <w:ind w:right="0" w:left="233" w:firstLine="0"/>
        <w:jc w:val="center"/>
        <w:rPr>
          <w:rFonts w:ascii="Times New Roman" w:hAnsi="Times New Roman" w:cs="Times New Roman" w:eastAsia="Times New Roman"/>
          <w:b/>
          <w:color w:val="auto"/>
          <w:spacing w:val="0"/>
          <w:position w:val="0"/>
          <w:sz w:val="32"/>
          <w:shd w:fill="auto" w:val="clear"/>
        </w:rPr>
      </w:pPr>
    </w:p>
    <w:p>
      <w:pPr>
        <w:spacing w:before="0" w:after="0" w:line="240"/>
        <w:ind w:right="0" w:left="233" w:firstLine="0"/>
        <w:jc w:val="center"/>
        <w:rPr>
          <w:rFonts w:ascii="Times New Roman" w:hAnsi="Times New Roman" w:cs="Times New Roman" w:eastAsia="Times New Roman"/>
          <w:b/>
          <w:color w:val="auto"/>
          <w:spacing w:val="0"/>
          <w:position w:val="0"/>
          <w:sz w:val="32"/>
          <w:shd w:fill="auto" w:val="clear"/>
        </w:rPr>
      </w:pPr>
    </w:p>
    <w:p>
      <w:pPr>
        <w:spacing w:before="0" w:after="0" w:line="240"/>
        <w:ind w:right="0" w:left="233"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Lilian Façanha da Silva Amorim, Thamirys Lorrayne dos Santos Quintanilha, Ane Vitória Oliveira Costa, Homero Augusto Schemes Junior, Filipe Silva da Costa, Bruna de Almeida Martins, Thayane Beatriz Ignacio Ramos, Dener Kaique Cardoso da Silva, Ana paula Guimarães Sá, Fernanda Carolina Cunha, Felipe Alves Oliveira Marcondes.</w:t>
      </w:r>
    </w:p>
    <w:p>
      <w:pPr>
        <w:spacing w:before="0" w:after="0" w:line="240"/>
        <w:ind w:right="0" w:left="233"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233"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233"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 xml:space="preserve">RESUMO: </w:t>
      </w:r>
      <w:r>
        <w:rPr>
          <w:rFonts w:ascii="Times New Roman" w:hAnsi="Times New Roman" w:cs="Times New Roman" w:eastAsia="Times New Roman"/>
          <w:color w:val="auto"/>
          <w:spacing w:val="0"/>
          <w:position w:val="0"/>
          <w:sz w:val="24"/>
          <w:shd w:fill="auto" w:val="clear"/>
        </w:rPr>
        <w:t xml:space="preserve">A alergia alimentar costuma surgir nos primeiros dois anos de vida. Certos alimentos estão fortemente associados a essa condição, entre eles estão: leite, ovos, trigo, peixes, frutos do mar, amendoim e nozes. Fatores genéticos, ambientais e a exposição precoce a alérgenos podem desempenhar um papel crucial no surgimento da alergia. Este estudo tem como finalidade analisar, com base em pesquisas acadêmicas, os fatores que influenciam a ocorrência e a prevalência da alergia alimentar em crianças na primeira infância, dado que essa condição é comum e apresenta sintomas que afetam significativamente a qualidade de vida e, em casos extremos, podem resultar em morte. A pesquisa indicou que o número de alergias alimentares tem aumentado nos últimos anos, o que parece estar relacionado à predisposição genética, que representa cerca de 60% das manifestações, e a fatores ambientais (40%), como a introdução precoce de alimentos, práticas de higiene excessivas e o incentivo ao parto cesáreo.</w:t>
      </w:r>
    </w:p>
    <w:p>
      <w:pPr>
        <w:spacing w:before="80" w:after="0" w:line="240"/>
        <w:ind w:right="0"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Palavras</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chaves: </w:t>
      </w:r>
      <w:r>
        <w:rPr>
          <w:rFonts w:ascii="Times New Roman" w:hAnsi="Times New Roman" w:cs="Times New Roman" w:eastAsia="Times New Roman"/>
          <w:color w:val="auto"/>
          <w:spacing w:val="0"/>
          <w:position w:val="0"/>
          <w:sz w:val="24"/>
          <w:shd w:fill="auto" w:val="clear"/>
        </w:rPr>
        <w:t xml:space="preserve">Insegurança,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3"/>
          <w:position w:val="0"/>
          <w:sz w:val="24"/>
          <w:shd w:fill="auto" w:val="clear"/>
        </w:rPr>
        <w:t xml:space="preserve"> Pediatria</w:t>
      </w:r>
      <w:r>
        <w:rPr>
          <w:rFonts w:ascii="Times New Roman" w:hAnsi="Times New Roman" w:cs="Times New Roman" w:eastAsia="Times New Roman"/>
          <w:color w:val="auto"/>
          <w:spacing w:val="0"/>
          <w:position w:val="0"/>
          <w:sz w:val="24"/>
          <w:shd w:fill="auto" w:val="clear"/>
        </w:rPr>
        <w:t xml:space="preserve">.</w:t>
      </w:r>
    </w:p>
    <w:p>
      <w:pPr>
        <w:spacing w:before="11"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0" w:left="233"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1"/>
        </w:numPr>
        <w:tabs>
          <w:tab w:val="left" w:pos="416" w:leader="none"/>
        </w:tabs>
        <w:spacing w:before="0" w:after="0" w:line="240"/>
        <w:ind w:right="0" w:left="415" w:hanging="183"/>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INTRODUÇÃO</w:t>
      </w:r>
    </w:p>
    <w:p>
      <w:pPr>
        <w:spacing w:before="141" w:after="0" w:line="360"/>
        <w:ind w:right="223" w:left="295" w:firstLine="64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faz</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necessidades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fundamentais,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juntamente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respirar</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ingestão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água.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exigência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corpo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humano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 compõe um complexo que envolve culturas, religião, sentimentos, éticos, estéticos, etc.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(CARNEIRO, 2017). É algo que expressa nitidamente os traços de seu corpo e mente, tal fato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torna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essencialmente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fundamental</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pleno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desenvolvimento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biopsicossocial</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indivíduo.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infância a alimentação é uma prática importante desde o período gestacional, através do contato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entre mãe e filho pelo líquido gestacional, os hábitos alimentares já começam a ser formados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(DOMÍNGUEZ, 2014) e continua a sofrer influência, ao decorrer do crescimento, pelo modo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vida 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família,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emocional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cultura.</w:t>
      </w:r>
    </w:p>
    <w:p>
      <w:pPr>
        <w:spacing w:before="0" w:after="0" w:line="360"/>
        <w:ind w:right="225" w:left="295" w:firstLine="63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garantia de um bom estado nutricional evita a desnutrição infantil devido ao seu enorme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impacto sobre a morbimortalidade infantil (VOLLMER, 2014). A alimentação é também um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preditor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desenvolvimento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cognitivo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(PERINGNON,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desenvolvimento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doenças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crônicas (BRASIL, 2011) e o risco de infecção (RODRÍGUEZ</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MART</w:t>
      </w:r>
      <w:r>
        <w:rPr>
          <w:rFonts w:ascii="Times New Roman" w:hAnsi="Times New Roman" w:cs="Times New Roman" w:eastAsia="Times New Roman"/>
          <w:color w:val="auto"/>
          <w:spacing w:val="0"/>
          <w:position w:val="0"/>
          <w:sz w:val="24"/>
          <w:shd w:fill="auto" w:val="clear"/>
        </w:rPr>
        <w:t xml:space="preserve">ÍNEZ, 2015). Segundo um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estudo realizado por Andrade (2014), envolvendo 26 pais da cidade de Loures em Portugal, 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principais obstáculos para a devida manutenção de uma alimentação saudável de seus filhos são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influência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outros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membros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família,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viés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socioeconômico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marketing.</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Onde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podemos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ter</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exposição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precoce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alguns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tipos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aparecimento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p>
    <w:p>
      <w:pPr>
        <w:spacing w:before="0" w:after="0" w:line="360"/>
        <w:ind w:right="230" w:left="233" w:firstLine="7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Agência Nacional de Vigilância Sanitária (ANVISA), divulgou uma Consulta Pública n°</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05</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junho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qual</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apresentou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obrigatoriedade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declaração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rótulo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existência</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alergênicos (BRASIL, 2014). Todo este cenário contribuiu fortemente para a publicação 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Resolução da Diretoria Colegiada (RDC) n° 26, 2 de julho de 2015, que estabelece sobre 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requisitos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para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rotulagem</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obrigatória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envolvidos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360"/>
        <w:ind w:right="227" w:left="233" w:firstLine="7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estudo trata-se de uma revisão bibliográfica de caráter qualitativo. Os dados foram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coletados por meio de artigos científicos em bases de dados como Scientific Eletronic Library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Online (Scielo), google acadêmico e Biblioteca Virtual em Saúde (BVS); manuais e sites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associações</w:t>
      </w:r>
      <w:r>
        <w:rPr>
          <w:rFonts w:ascii="Times New Roman" w:hAnsi="Times New Roman" w:cs="Times New Roman" w:eastAsia="Times New Roman"/>
          <w:color w:val="auto"/>
          <w:spacing w:val="3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4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nacionais,</w:t>
      </w:r>
      <w:r>
        <w:rPr>
          <w:rFonts w:ascii="Times New Roman" w:hAnsi="Times New Roman" w:cs="Times New Roman" w:eastAsia="Times New Roman"/>
          <w:color w:val="auto"/>
          <w:spacing w:val="4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Ministerio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conselho</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Nacional</w:t>
      </w:r>
      <w:r>
        <w:rPr>
          <w:rFonts w:ascii="Times New Roman" w:hAnsi="Times New Roman" w:cs="Times New Roman" w:eastAsia="Times New Roman"/>
          <w:color w:val="auto"/>
          <w:spacing w:val="3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sobre</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 alimentares.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Foi</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estabelecido como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requisito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inclusão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trabalhos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período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entre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 intuito de apresentar estudos e evidências mais recentes, eram buscados a partir de descritores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chave como: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 alimentar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infantil,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food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p>
    <w:p>
      <w:pPr>
        <w:spacing w:before="1" w:after="0" w:line="240"/>
        <w:ind w:right="0" w:left="0" w:firstLine="0"/>
        <w:jc w:val="left"/>
        <w:rPr>
          <w:rFonts w:ascii="Times New Roman" w:hAnsi="Times New Roman" w:cs="Times New Roman" w:eastAsia="Times New Roman"/>
          <w:color w:val="auto"/>
          <w:spacing w:val="0"/>
          <w:position w:val="0"/>
          <w:sz w:val="36"/>
          <w:shd w:fill="auto" w:val="clear"/>
        </w:rPr>
      </w:pPr>
    </w:p>
    <w:p>
      <w:pPr>
        <w:numPr>
          <w:ilvl w:val="0"/>
          <w:numId w:val="17"/>
        </w:numPr>
        <w:tabs>
          <w:tab w:val="left" w:pos="416" w:leader="none"/>
        </w:tabs>
        <w:spacing w:before="0" w:after="0" w:line="240"/>
        <w:ind w:right="0" w:left="415" w:hanging="1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REFERENCIAL</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TEÓRICO</w:t>
      </w:r>
    </w:p>
    <w:p>
      <w:pPr>
        <w:numPr>
          <w:ilvl w:val="0"/>
          <w:numId w:val="17"/>
        </w:numPr>
        <w:tabs>
          <w:tab w:val="left" w:pos="775" w:leader="none"/>
        </w:tabs>
        <w:spacing w:before="0" w:after="0" w:line="274"/>
        <w:ind w:right="0" w:left="774" w:hanging="54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Epidemiologia</w:t>
      </w:r>
    </w:p>
    <w:p>
      <w:pPr>
        <w:spacing w:before="136" w:after="0" w:line="360"/>
        <w:ind w:right="230"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 última década podemos perceber o aumento significativo de crianças alérgicas e cada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vez</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maior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pesquisas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estudos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voltados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área.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Segundo Sabra,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Bandeira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Santos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últimas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décadas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alérgicas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resultam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maior</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índice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dermatite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atópica,</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asma e anafilaxia, tendo um aumento de três a quatros vezes em relação às décadas anteriores.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Podemos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associar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aumento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diversos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fatores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entre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suscetibilidade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genética,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introdução alimentar cada vez mais cedo, os ambientes cada vez mais estéreo, higiene excessiva, 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estímulo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cesariano.</w:t>
      </w:r>
    </w:p>
    <w:p>
      <w:pPr>
        <w:spacing w:before="3" w:after="0" w:line="360"/>
        <w:ind w:right="231"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Segundo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Consenso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Brasileiro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sobre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alergia</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alimentar</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2018,</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dados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sobre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prevalência</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 todo o mundo são conflitantes e podem variar de acordo com a idade e as características 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população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avaliada,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seus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costumes,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hábitos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cultura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mecanismo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imunológico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envolvido,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método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diagnóstico,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tipos de alimentos entre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outros.</w:t>
      </w:r>
    </w:p>
    <w:p>
      <w:pPr>
        <w:spacing w:before="10" w:after="0" w:line="240"/>
        <w:ind w:right="0" w:left="0" w:firstLine="0"/>
        <w:jc w:val="left"/>
        <w:rPr>
          <w:rFonts w:ascii="Times New Roman" w:hAnsi="Times New Roman" w:cs="Times New Roman" w:eastAsia="Times New Roman"/>
          <w:color w:val="auto"/>
          <w:spacing w:val="0"/>
          <w:position w:val="0"/>
          <w:sz w:val="35"/>
          <w:shd w:fill="auto" w:val="clear"/>
        </w:rPr>
      </w:pPr>
    </w:p>
    <w:p>
      <w:pPr>
        <w:spacing w:before="0" w:after="0" w:line="240"/>
        <w:ind w:right="285" w:left="285"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Tabela</w:t>
      </w:r>
      <w:r>
        <w:rPr>
          <w:rFonts w:ascii="Times New Roman" w:hAnsi="Times New Roman" w:cs="Times New Roman" w:eastAsia="Times New Roman"/>
          <w:b/>
          <w:color w:val="auto"/>
          <w:spacing w:val="-5"/>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Manifestações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alergia</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alimentar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segundo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mecanismo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imunológico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envolvido.</w:t>
      </w:r>
    </w:p>
    <w:tbl>
      <w:tblPr>
        <w:tblInd w:w="125" w:type="dxa"/>
      </w:tblPr>
      <w:tblGrid>
        <w:gridCol w:w="2307"/>
        <w:gridCol w:w="2615"/>
        <w:gridCol w:w="2125"/>
        <w:gridCol w:w="2694"/>
      </w:tblGrid>
      <w:tr>
        <w:trPr>
          <w:trHeight w:val="661" w:hRule="auto"/>
          <w:jc w:val="left"/>
        </w:trPr>
        <w:tc>
          <w:tcPr>
            <w:tcW w:w="2307" w:type="dxa"/>
            <w:tcBorders>
              <w:top w:val="single" w:color="000000" w:sz="8"/>
              <w:left w:val="single" w:color="000000" w:sz="0"/>
              <w:bottom w:val="single" w:color="a4a4a4" w:sz="8"/>
              <w:right w:val="single" w:color="000000" w:sz="0"/>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15" w:type="dxa"/>
            <w:tcBorders>
              <w:top w:val="single" w:color="000000" w:sz="8"/>
              <w:left w:val="single" w:color="000000" w:sz="0"/>
              <w:bottom w:val="single" w:color="a4a4a4" w:sz="8"/>
              <w:right w:val="single" w:color="000000" w:sz="0"/>
            </w:tcBorders>
            <w:shd w:color="000000" w:fill="ffffff" w:val="clear"/>
            <w:tcMar>
              <w:left w:w="0" w:type="dxa"/>
              <w:right w:w="0" w:type="dxa"/>
            </w:tcMar>
            <w:vAlign w:val="top"/>
          </w:tcPr>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261" w:firstLine="0"/>
              <w:jc w:val="left"/>
              <w:rPr>
                <w:color w:val="auto"/>
                <w:position w:val="0"/>
                <w:shd w:fill="auto" w:val="clear"/>
              </w:rPr>
            </w:pPr>
            <w:r>
              <w:rPr>
                <w:rFonts w:ascii="Times New Roman" w:hAnsi="Times New Roman" w:cs="Times New Roman" w:eastAsia="Times New Roman"/>
                <w:b/>
                <w:color w:val="auto"/>
                <w:spacing w:val="0"/>
                <w:position w:val="0"/>
                <w:sz w:val="20"/>
                <w:shd w:fill="auto" w:val="clear"/>
              </w:rPr>
              <w:t xml:space="preserve">Mediada por</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IgE</w:t>
            </w:r>
          </w:p>
        </w:tc>
        <w:tc>
          <w:tcPr>
            <w:tcW w:w="2125" w:type="dxa"/>
            <w:tcBorders>
              <w:top w:val="single" w:color="000000" w:sz="8"/>
              <w:left w:val="single" w:color="000000" w:sz="0"/>
              <w:bottom w:val="single" w:color="a4a4a4" w:sz="8"/>
              <w:right w:val="single" w:color="000000" w:sz="0"/>
            </w:tcBorders>
            <w:shd w:color="000000" w:fill="ffffff" w:val="clear"/>
            <w:tcMar>
              <w:left w:w="0" w:type="dxa"/>
              <w:right w:w="0" w:type="dxa"/>
            </w:tcMar>
            <w:vAlign w:val="top"/>
          </w:tcPr>
          <w:p>
            <w:pPr>
              <w:spacing w:before="101" w:after="0" w:line="240"/>
              <w:ind w:right="200" w:left="196" w:firstLine="0"/>
              <w:jc w:val="left"/>
              <w:rPr>
                <w:color w:val="auto"/>
                <w:position w:val="0"/>
                <w:shd w:fill="auto" w:val="clear"/>
              </w:rPr>
            </w:pPr>
            <w:r>
              <w:rPr>
                <w:rFonts w:ascii="Times New Roman" w:hAnsi="Times New Roman" w:cs="Times New Roman" w:eastAsia="Times New Roman"/>
                <w:b/>
                <w:color w:val="auto"/>
                <w:spacing w:val="0"/>
                <w:position w:val="0"/>
                <w:sz w:val="20"/>
                <w:shd w:fill="auto" w:val="clear"/>
              </w:rPr>
              <w:t xml:space="preserve">Mediada</w:t>
            </w:r>
            <w:r>
              <w:rPr>
                <w:rFonts w:ascii="Times New Roman" w:hAnsi="Times New Roman" w:cs="Times New Roman" w:eastAsia="Times New Roman"/>
                <w:b/>
                <w:color w:val="auto"/>
                <w:spacing w:val="36"/>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por</w:t>
            </w:r>
            <w:r>
              <w:rPr>
                <w:rFonts w:ascii="Times New Roman" w:hAnsi="Times New Roman" w:cs="Times New Roman" w:eastAsia="Times New Roman"/>
                <w:b/>
                <w:color w:val="auto"/>
                <w:spacing w:val="34"/>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IgE</w:t>
            </w:r>
            <w:r>
              <w:rPr>
                <w:rFonts w:ascii="Times New Roman" w:hAnsi="Times New Roman" w:cs="Times New Roman" w:eastAsia="Times New Roman"/>
                <w:b/>
                <w:color w:val="auto"/>
                <w:spacing w:val="33"/>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e</w:t>
            </w:r>
            <w:r>
              <w:rPr>
                <w:rFonts w:ascii="Times New Roman" w:hAnsi="Times New Roman" w:cs="Times New Roman" w:eastAsia="Times New Roman"/>
                <w:b/>
                <w:color w:val="auto"/>
                <w:spacing w:val="-47"/>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célula</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(misto)</w:t>
            </w:r>
          </w:p>
        </w:tc>
        <w:tc>
          <w:tcPr>
            <w:tcW w:w="2694" w:type="dxa"/>
            <w:tcBorders>
              <w:top w:val="single" w:color="000000" w:sz="8"/>
              <w:left w:val="single" w:color="000000" w:sz="0"/>
              <w:bottom w:val="single" w:color="a4a4a4" w:sz="8"/>
              <w:right w:val="single" w:color="000000" w:sz="0"/>
            </w:tcBorders>
            <w:shd w:color="000000" w:fill="ffffff" w:val="clear"/>
            <w:tcMar>
              <w:left w:w="0" w:type="dxa"/>
              <w:right w:w="0" w:type="dxa"/>
            </w:tcMar>
            <w:vAlign w:val="top"/>
          </w:tcPr>
          <w:p>
            <w:pPr>
              <w:spacing w:before="9"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199" w:firstLine="0"/>
              <w:jc w:val="left"/>
              <w:rPr>
                <w:color w:val="auto"/>
                <w:position w:val="0"/>
                <w:shd w:fill="auto" w:val="clear"/>
              </w:rPr>
            </w:pPr>
            <w:r>
              <w:rPr>
                <w:rFonts w:ascii="Times New Roman" w:hAnsi="Times New Roman" w:cs="Times New Roman" w:eastAsia="Times New Roman"/>
                <w:b/>
                <w:color w:val="auto"/>
                <w:spacing w:val="0"/>
                <w:position w:val="0"/>
                <w:sz w:val="20"/>
                <w:shd w:fill="auto" w:val="clear"/>
              </w:rPr>
              <w:t xml:space="preserve">Não</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mediada</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por</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IgE</w:t>
            </w:r>
          </w:p>
        </w:tc>
      </w:tr>
      <w:tr>
        <w:trPr>
          <w:trHeight w:val="868" w:hRule="auto"/>
          <w:jc w:val="left"/>
        </w:trPr>
        <w:tc>
          <w:tcPr>
            <w:tcW w:w="2307" w:type="dxa"/>
            <w:tcBorders>
              <w:top w:val="single" w:color="a4a4a4" w:sz="8"/>
              <w:left w:val="single" w:color="000000" w:sz="0"/>
              <w:bottom w:val="single" w:color="000000" w:sz="0"/>
              <w:right w:val="single" w:color="000000" w:sz="0"/>
            </w:tcBorders>
            <w:shd w:color="auto" w:fill="e8e8e8" w:val="clear"/>
            <w:tcMar>
              <w:left w:w="0" w:type="dxa"/>
              <w:right w:w="0" w:type="dxa"/>
            </w:tcMar>
            <w:vAlign w:val="top"/>
          </w:tcPr>
          <w:p>
            <w:pPr>
              <w:spacing w:before="8"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0" w:left="196"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PELE</w:t>
            </w:r>
          </w:p>
        </w:tc>
        <w:tc>
          <w:tcPr>
            <w:tcW w:w="2615" w:type="dxa"/>
            <w:tcBorders>
              <w:top w:val="single" w:color="a4a4a4" w:sz="8"/>
              <w:left w:val="single" w:color="000000" w:sz="0"/>
              <w:bottom w:val="single" w:color="000000" w:sz="0"/>
              <w:right w:val="single" w:color="000000" w:sz="0"/>
            </w:tcBorders>
            <w:shd w:color="auto" w:fill="e8e8e8" w:val="clear"/>
            <w:tcMar>
              <w:left w:w="0" w:type="dxa"/>
              <w:right w:w="0" w:type="dxa"/>
            </w:tcMar>
            <w:vAlign w:val="top"/>
          </w:tcPr>
          <w:p>
            <w:pPr>
              <w:tabs>
                <w:tab w:val="left" w:pos="1481" w:leader="none"/>
              </w:tabs>
              <w:spacing w:before="83" w:after="0" w:line="240"/>
              <w:ind w:right="196" w:left="261"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Urticária,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angioedema,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rash</w:t>
              <w:tab/>
            </w:r>
            <w:r>
              <w:rPr>
                <w:rFonts w:ascii="Times New Roman" w:hAnsi="Times New Roman" w:cs="Times New Roman" w:eastAsia="Times New Roman"/>
                <w:color w:val="auto"/>
                <w:spacing w:val="-1"/>
                <w:position w:val="0"/>
                <w:sz w:val="20"/>
                <w:shd w:fill="auto" w:val="clear"/>
              </w:rPr>
              <w:t xml:space="preserve">eritematoso</w:t>
            </w:r>
            <w:r>
              <w:rPr>
                <w:rFonts w:ascii="Times New Roman" w:hAnsi="Times New Roman" w:cs="Times New Roman" w:eastAsia="Times New Roman"/>
                <w:color w:val="auto"/>
                <w:spacing w:val="-4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morbiliforme,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rubor</w:t>
            </w:r>
          </w:p>
        </w:tc>
        <w:tc>
          <w:tcPr>
            <w:tcW w:w="2125" w:type="dxa"/>
            <w:tcBorders>
              <w:top w:val="single" w:color="a4a4a4" w:sz="8"/>
              <w:left w:val="single" w:color="000000" w:sz="0"/>
              <w:bottom w:val="single" w:color="000000" w:sz="0"/>
              <w:right w:val="single" w:color="000000" w:sz="0"/>
            </w:tcBorders>
            <w:shd w:color="auto" w:fill="e8e8e8" w:val="clear"/>
            <w:tcMar>
              <w:left w:w="0" w:type="dxa"/>
              <w:right w:w="0" w:type="dxa"/>
            </w:tcMar>
            <w:vAlign w:val="top"/>
          </w:tcPr>
          <w:p>
            <w:pPr>
              <w:spacing w:before="8"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0" w:left="196"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Dermatite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atópica</w:t>
            </w:r>
          </w:p>
        </w:tc>
        <w:tc>
          <w:tcPr>
            <w:tcW w:w="2694" w:type="dxa"/>
            <w:tcBorders>
              <w:top w:val="single" w:color="a4a4a4" w:sz="8"/>
              <w:left w:val="single" w:color="000000" w:sz="0"/>
              <w:bottom w:val="single" w:color="000000" w:sz="0"/>
              <w:right w:val="single" w:color="000000" w:sz="0"/>
            </w:tcBorders>
            <w:shd w:color="auto" w:fill="e8e8e8" w:val="clear"/>
            <w:tcMar>
              <w:left w:w="0" w:type="dxa"/>
              <w:right w:w="0" w:type="dxa"/>
            </w:tcMar>
            <w:vAlign w:val="top"/>
          </w:tcPr>
          <w:p>
            <w:pPr>
              <w:spacing w:before="5"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0" w:after="0" w:line="240"/>
              <w:ind w:right="602" w:left="199" w:firstLine="0"/>
              <w:jc w:val="left"/>
              <w:rPr>
                <w:color w:val="auto"/>
                <w:position w:val="0"/>
                <w:shd w:fill="auto" w:val="clear"/>
              </w:rPr>
            </w:pPr>
            <w:r>
              <w:rPr>
                <w:rFonts w:ascii="Times New Roman" w:hAnsi="Times New Roman" w:cs="Times New Roman" w:eastAsia="Times New Roman"/>
                <w:color w:val="auto"/>
                <w:spacing w:val="-1"/>
                <w:position w:val="0"/>
                <w:sz w:val="20"/>
                <w:shd w:fill="auto" w:val="clear"/>
              </w:rPr>
              <w:t xml:space="preserve">Dermatite </w:t>
            </w:r>
            <w:r>
              <w:rPr>
                <w:rFonts w:ascii="Times New Roman" w:hAnsi="Times New Roman" w:cs="Times New Roman" w:eastAsia="Times New Roman"/>
                <w:color w:val="auto"/>
                <w:spacing w:val="0"/>
                <w:position w:val="0"/>
                <w:sz w:val="20"/>
                <w:shd w:fill="auto" w:val="clear"/>
              </w:rPr>
              <w:t xml:space="preserve">herpetiforme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Dermatite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contato</w:t>
            </w:r>
          </w:p>
        </w:tc>
      </w:tr>
      <w:tr>
        <w:trPr>
          <w:trHeight w:val="888" w:hRule="auto"/>
          <w:jc w:val="left"/>
        </w:trPr>
        <w:tc>
          <w:tcPr>
            <w:tcW w:w="230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196"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RESPIRATÓRIO</w:t>
            </w:r>
          </w:p>
        </w:tc>
        <w:tc>
          <w:tcPr>
            <w:tcW w:w="26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306" w:left="261"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Rinoconjuntivite alérgica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Broncoespasmo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agudo</w:t>
            </w:r>
          </w:p>
        </w:tc>
        <w:tc>
          <w:tcPr>
            <w:tcW w:w="21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196"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Asma</w:t>
            </w:r>
          </w:p>
        </w:tc>
        <w:tc>
          <w:tcPr>
            <w:tcW w:w="26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02" w:after="0" w:line="240"/>
              <w:ind w:right="197" w:left="19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Hemossiderose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induzida</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por</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alimento</w:t>
            </w:r>
          </w:p>
          <w:p>
            <w:pPr>
              <w:spacing w:before="0" w:after="0" w:line="240"/>
              <w:ind w:right="0" w:left="199"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(Síndrome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Heiner)</w:t>
            </w:r>
          </w:p>
        </w:tc>
      </w:tr>
      <w:tr>
        <w:trPr>
          <w:trHeight w:val="2414" w:hRule="auto"/>
          <w:jc w:val="left"/>
        </w:trPr>
        <w:tc>
          <w:tcPr>
            <w:tcW w:w="2307"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9"/>
                <w:shd w:fill="auto" w:val="clear"/>
              </w:rPr>
            </w:pPr>
          </w:p>
          <w:p>
            <w:pPr>
              <w:spacing w:before="1" w:after="0" w:line="240"/>
              <w:ind w:right="0" w:left="196"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GASTRINTESTINAL</w:t>
            </w:r>
          </w:p>
        </w:tc>
        <w:tc>
          <w:tcPr>
            <w:tcW w:w="2615"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19"/>
                <w:shd w:fill="auto" w:val="clear"/>
              </w:rPr>
            </w:pPr>
          </w:p>
          <w:p>
            <w:pPr>
              <w:spacing w:before="0" w:after="0" w:line="240"/>
              <w:ind w:right="295" w:left="261"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Síndrome de alergia oral</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Espasmo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intestinal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agudo</w:t>
            </w:r>
          </w:p>
        </w:tc>
        <w:tc>
          <w:tcPr>
            <w:tcW w:w="2125"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28" w:after="0" w:line="240"/>
              <w:ind w:right="292" w:left="196"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Esofagite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eosinofifilca(EoE)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Gastrite eosinofilica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Gastroenterite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eosinofilica</w:t>
            </w:r>
          </w:p>
        </w:tc>
        <w:tc>
          <w:tcPr>
            <w:tcW w:w="2694"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tabs>
                <w:tab w:val="left" w:pos="1211" w:leader="none"/>
                <w:tab w:val="left" w:pos="1628" w:leader="none"/>
                <w:tab w:val="left" w:pos="1839" w:leader="none"/>
              </w:tabs>
              <w:spacing w:before="173" w:after="0" w:line="240"/>
              <w:ind w:right="201" w:left="19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Sindrome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enterecolite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induzida</w:t>
              <w:tab/>
              <w:t xml:space="preserve">por</w:t>
              <w:tab/>
              <w:tab/>
            </w:r>
            <w:r>
              <w:rPr>
                <w:rFonts w:ascii="Times New Roman" w:hAnsi="Times New Roman" w:cs="Times New Roman" w:eastAsia="Times New Roman"/>
                <w:color w:val="auto"/>
                <w:spacing w:val="-1"/>
                <w:position w:val="0"/>
                <w:sz w:val="20"/>
                <w:shd w:fill="auto" w:val="clear"/>
              </w:rPr>
              <w:t xml:space="preserve">proteína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alimentar</w:t>
            </w:r>
            <w:r>
              <w:rPr>
                <w:rFonts w:ascii="Times New Roman" w:hAnsi="Times New Roman" w:cs="Times New Roman" w:eastAsia="Times New Roman"/>
                <w:color w:val="auto"/>
                <w:spacing w:val="5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(FPIES)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Sindrome</w:t>
              <w:tab/>
              <w:t xml:space="preserve">da</w:t>
              <w:tab/>
            </w:r>
            <w:r>
              <w:rPr>
                <w:rFonts w:ascii="Times New Roman" w:hAnsi="Times New Roman" w:cs="Times New Roman" w:eastAsia="Times New Roman"/>
                <w:color w:val="auto"/>
                <w:spacing w:val="-1"/>
                <w:position w:val="0"/>
                <w:sz w:val="20"/>
                <w:shd w:fill="auto" w:val="clear"/>
              </w:rPr>
              <w:t xml:space="preserve">protocolite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induzida</w:t>
              <w:tab/>
              <w:t xml:space="preserve">por</w:t>
              <w:tab/>
              <w:tab/>
            </w:r>
            <w:r>
              <w:rPr>
                <w:rFonts w:ascii="Times New Roman" w:hAnsi="Times New Roman" w:cs="Times New Roman" w:eastAsia="Times New Roman"/>
                <w:color w:val="auto"/>
                <w:spacing w:val="-1"/>
                <w:position w:val="0"/>
                <w:sz w:val="20"/>
                <w:shd w:fill="auto" w:val="clear"/>
              </w:rPr>
              <w:t xml:space="preserve">proteína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alimentar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(FPIPS)</w:t>
            </w:r>
          </w:p>
          <w:p>
            <w:pPr>
              <w:spacing w:before="0" w:after="0" w:line="240"/>
              <w:ind w:right="201" w:left="199" w:firstLine="0"/>
              <w:jc w:val="both"/>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Sindrome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enterepatia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induzida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proteína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alimentar</w:t>
            </w:r>
          </w:p>
        </w:tc>
      </w:tr>
      <w:tr>
        <w:trPr>
          <w:trHeight w:val="709" w:hRule="auto"/>
          <w:jc w:val="left"/>
        </w:trPr>
        <w:tc>
          <w:tcPr>
            <w:tcW w:w="2307" w:type="dxa"/>
            <w:tcBorders>
              <w:top w:val="single" w:color="000000" w:sz="0"/>
              <w:left w:val="single" w:color="000000" w:sz="0"/>
              <w:bottom w:val="single" w:color="612322" w:sz="12"/>
              <w:right w:val="single" w:color="000000" w:sz="0"/>
            </w:tcBorders>
            <w:shd w:color="000000" w:fill="ffffff" w:val="clear"/>
            <w:tcMar>
              <w:left w:w="0" w:type="dxa"/>
              <w:right w:w="0" w:type="dxa"/>
            </w:tcMar>
            <w:vAlign w:val="top"/>
          </w:tcPr>
          <w:p>
            <w:pPr>
              <w:spacing w:before="96" w:after="0" w:line="240"/>
              <w:ind w:right="0" w:left="196"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CARDIOVASCULAR</w:t>
            </w:r>
          </w:p>
        </w:tc>
        <w:tc>
          <w:tcPr>
            <w:tcW w:w="2615" w:type="dxa"/>
            <w:tcBorders>
              <w:top w:val="single" w:color="000000" w:sz="0"/>
              <w:left w:val="single" w:color="000000" w:sz="0"/>
              <w:bottom w:val="single" w:color="612322" w:sz="12"/>
              <w:right w:val="single" w:color="000000" w:sz="0"/>
            </w:tcBorders>
            <w:shd w:color="000000" w:fill="ffffff" w:val="clear"/>
            <w:tcMar>
              <w:left w:w="0" w:type="dxa"/>
              <w:right w:w="0" w:type="dxa"/>
            </w:tcMar>
            <w:vAlign w:val="top"/>
          </w:tcPr>
          <w:p>
            <w:pPr>
              <w:spacing w:before="96" w:after="0" w:line="240"/>
              <w:ind w:right="0" w:left="261"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Tontura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desmaio</w:t>
            </w:r>
          </w:p>
        </w:tc>
        <w:tc>
          <w:tcPr>
            <w:tcW w:w="2125" w:type="dxa"/>
            <w:tcBorders>
              <w:top w:val="single" w:color="000000" w:sz="0"/>
              <w:left w:val="single" w:color="000000" w:sz="0"/>
              <w:bottom w:val="single" w:color="612322" w:sz="12"/>
              <w:right w:val="single" w:color="000000" w:sz="0"/>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612322" w:sz="12"/>
              <w:right w:val="single" w:color="000000" w:sz="0"/>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7"/>
          <w:shd w:fill="auto" w:val="clear"/>
        </w:rPr>
      </w:pPr>
    </w:p>
    <w:tbl>
      <w:tblPr>
        <w:tblInd w:w="116" w:type="dxa"/>
      </w:tblPr>
      <w:tblGrid>
        <w:gridCol w:w="2038"/>
        <w:gridCol w:w="7709"/>
      </w:tblGrid>
      <w:tr>
        <w:trPr>
          <w:trHeight w:val="1123" w:hRule="auto"/>
          <w:jc w:val="left"/>
        </w:trPr>
        <w:tc>
          <w:tcPr>
            <w:tcW w:w="2038"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94" w:after="0" w:line="240"/>
              <w:ind w:right="0" w:left="205"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MISCELÂNEA</w:t>
            </w:r>
          </w:p>
        </w:tc>
        <w:tc>
          <w:tcPr>
            <w:tcW w:w="7709" w:type="dxa"/>
            <w:tcBorders>
              <w:top w:val="single" w:color="000000" w:sz="0"/>
              <w:left w:val="single" w:color="000000" w:sz="0"/>
              <w:bottom w:val="single" w:color="000000" w:sz="0"/>
              <w:right w:val="single" w:color="000000" w:sz="0"/>
            </w:tcBorders>
            <w:shd w:color="auto" w:fill="e8e8e8" w:val="clear"/>
            <w:tcMar>
              <w:left w:w="0" w:type="dxa"/>
              <w:right w:w="0" w:type="dxa"/>
            </w:tcMar>
            <w:vAlign w:val="top"/>
          </w:tcPr>
          <w:p>
            <w:pPr>
              <w:tabs>
                <w:tab w:val="left" w:pos="1445" w:leader="none"/>
                <w:tab w:val="left" w:pos="1834" w:leader="none"/>
              </w:tabs>
              <w:spacing w:before="101" w:after="0" w:line="240"/>
              <w:ind w:right="5012" w:left="53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Cólicas</w:t>
              <w:tab/>
              <w:t xml:space="preserve">e</w:t>
              <w:tab/>
              <w:t xml:space="preserve">contrações</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uterinas</w:t>
            </w:r>
          </w:p>
          <w:p>
            <w:pPr>
              <w:tabs>
                <w:tab w:val="left" w:pos="1700" w:leader="none"/>
                <w:tab w:val="left" w:pos="2137" w:leader="none"/>
              </w:tabs>
              <w:spacing w:before="1" w:after="0" w:line="240"/>
              <w:ind w:right="5014" w:left="539"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Sentimento</w:t>
              <w:tab/>
              <w:t xml:space="preserve">de</w:t>
              <w:tab/>
            </w:r>
            <w:r>
              <w:rPr>
                <w:rFonts w:ascii="Times New Roman" w:hAnsi="Times New Roman" w:cs="Times New Roman" w:eastAsia="Times New Roman"/>
                <w:color w:val="auto"/>
                <w:spacing w:val="-1"/>
                <w:position w:val="0"/>
                <w:sz w:val="20"/>
                <w:shd w:fill="auto" w:val="clear"/>
              </w:rPr>
              <w:t xml:space="preserve">“morte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iminente”</w:t>
            </w:r>
          </w:p>
        </w:tc>
      </w:tr>
      <w:tr>
        <w:trPr>
          <w:trHeight w:val="888" w:hRule="auto"/>
          <w:jc w:val="left"/>
        </w:trPr>
        <w:tc>
          <w:tcPr>
            <w:tcW w:w="2038" w:type="dxa"/>
            <w:tcBorders>
              <w:top w:val="single" w:color="000000" w:sz="0"/>
              <w:left w:val="single" w:color="000000" w:sz="0"/>
              <w:bottom w:val="single" w:color="a4a4a4" w:sz="8"/>
              <w:right w:val="single" w:color="000000" w:sz="0"/>
            </w:tcBorders>
            <w:shd w:color="000000" w:fill="ffffff" w:val="clear"/>
            <w:tcMar>
              <w:left w:w="0" w:type="dxa"/>
              <w:right w:w="0" w:type="dxa"/>
            </w:tcMar>
            <w:vAlign w:val="top"/>
          </w:tcPr>
          <w:p>
            <w:pPr>
              <w:spacing w:before="5"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205"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SISTÊMICAS</w:t>
            </w:r>
          </w:p>
        </w:tc>
        <w:tc>
          <w:tcPr>
            <w:tcW w:w="7709" w:type="dxa"/>
            <w:tcBorders>
              <w:top w:val="single" w:color="000000" w:sz="0"/>
              <w:left w:val="single" w:color="000000" w:sz="0"/>
              <w:bottom w:val="single" w:color="a4a4a4" w:sz="8"/>
              <w:right w:val="single" w:color="000000" w:sz="0"/>
            </w:tcBorders>
            <w:shd w:color="000000" w:fill="ffffff" w:val="clear"/>
            <w:tcMar>
              <w:left w:w="0" w:type="dxa"/>
              <w:right w:w="0" w:type="dxa"/>
            </w:tcMar>
            <w:vAlign w:val="top"/>
          </w:tcPr>
          <w:p>
            <w:pPr>
              <w:spacing w:before="97" w:after="0" w:line="240"/>
              <w:ind w:right="0" w:left="53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Anafilaxia</w:t>
            </w:r>
          </w:p>
          <w:p>
            <w:pPr>
              <w:spacing w:before="0" w:after="0" w:line="240"/>
              <w:ind w:right="5012" w:left="539" w:firstLine="0"/>
              <w:jc w:val="left"/>
              <w:rPr>
                <w:color w:val="auto"/>
                <w:position w:val="0"/>
                <w:shd w:fill="auto" w:val="clear"/>
              </w:rPr>
            </w:pPr>
            <w:r>
              <w:rPr>
                <w:rFonts w:ascii="Times New Roman" w:hAnsi="Times New Roman" w:cs="Times New Roman" w:eastAsia="Times New Roman"/>
                <w:color w:val="auto"/>
                <w:spacing w:val="0"/>
                <w:position w:val="0"/>
                <w:sz w:val="20"/>
                <w:shd w:fill="auto" w:val="clear"/>
              </w:rPr>
              <w:t xml:space="preserve">Anafilaxia</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exercício</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depende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alimento</w:t>
            </w:r>
          </w:p>
        </w:tc>
      </w:tr>
    </w:tbl>
    <w:p>
      <w:pPr>
        <w:spacing w:before="1" w:after="0" w:line="240"/>
        <w:ind w:right="285" w:left="29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Consenso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Brasileiro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sobre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Alergias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Alimentares,2018</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83"/>
        </w:numPr>
        <w:tabs>
          <w:tab w:val="left" w:pos="775" w:leader="none"/>
        </w:tabs>
        <w:spacing w:before="161" w:after="0" w:line="240"/>
        <w:ind w:right="0" w:left="774" w:hanging="54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Imunologia</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do</w:t>
      </w:r>
      <w:r>
        <w:rPr>
          <w:rFonts w:ascii="Times New Roman" w:hAnsi="Times New Roman" w:cs="Times New Roman" w:eastAsia="Times New Roman"/>
          <w:b/>
          <w:color w:val="auto"/>
          <w:spacing w:val="-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desenvolvimento</w:t>
      </w:r>
    </w:p>
    <w:p>
      <w:pPr>
        <w:spacing w:before="142" w:after="0" w:line="360"/>
        <w:ind w:right="226"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sistema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imunológico é desenvolvido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forma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contínua iniciando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 no período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embrionário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estende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até</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adolescência.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Pastotino,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Jacob</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Dorna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informa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período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neonatal é caracterizado por uma alta ocorrência de processos infecciosos pela imaturidade 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sistema imunológico e que as funções imunológicas estão mais maduras somente na adolescência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onde elas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estarão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semelhantes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adulto.</w:t>
      </w:r>
    </w:p>
    <w:p>
      <w:pPr>
        <w:spacing w:before="9" w:after="0" w:line="240"/>
        <w:ind w:right="0" w:left="0" w:firstLine="0"/>
        <w:jc w:val="left"/>
        <w:rPr>
          <w:rFonts w:ascii="Times New Roman" w:hAnsi="Times New Roman" w:cs="Times New Roman" w:eastAsia="Times New Roman"/>
          <w:color w:val="auto"/>
          <w:spacing w:val="0"/>
          <w:position w:val="0"/>
          <w:sz w:val="35"/>
          <w:shd w:fill="auto" w:val="clear"/>
        </w:rPr>
      </w:pPr>
    </w:p>
    <w:p>
      <w:pPr>
        <w:spacing w:before="0" w:after="0" w:line="240"/>
        <w:ind w:right="285" w:left="287"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Mecanismo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proteção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fetal</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indução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abortamento</w:t>
      </w:r>
    </w:p>
    <w:p>
      <w:pPr>
        <w:spacing w:before="8" w:after="0" w:line="240"/>
        <w:ind w:right="0" w:left="0" w:firstLine="0"/>
        <w:jc w:val="left"/>
        <w:rPr>
          <w:rFonts w:ascii="Times New Roman" w:hAnsi="Times New Roman" w:cs="Times New Roman" w:eastAsia="Times New Roman"/>
          <w:color w:val="auto"/>
          <w:spacing w:val="0"/>
          <w:position w:val="0"/>
          <w:sz w:val="13"/>
          <w:shd w:fill="auto" w:val="clear"/>
        </w:rPr>
      </w:pPr>
      <w:r>
        <w:object w:dxaOrig="5422" w:dyaOrig="3615">
          <v:rect xmlns:o="urn:schemas-microsoft-com:office:office" xmlns:v="urn:schemas-microsoft-com:vml" id="rectole0000000000" style="width:271.100000pt;height:180.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47" w:after="0" w:line="240"/>
        <w:ind w:right="257" w:left="598"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Manual da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Alergia Alimentar, Sabra (2015)</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66" w:after="0" w:line="360"/>
        <w:ind w:right="236"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Segundo Sabra,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Bandeira e Santos (2015) o ser humano nasce Th2 (responsável pela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imunidade da célula) e permanece assim até que o sistema Th1 (responsável pela imunidade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humoral) seja estimulado e desenvolvido. Isso ocorre durante o primeiro ano de vida extrauterino.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Durante o primeiro ano de vida o lactente precisa ser protegido de estímulos imunológicos, 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sentido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 alérgicas do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tipo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Th2.</w:t>
      </w:r>
    </w:p>
    <w:p>
      <w:pPr>
        <w:spacing w:before="1" w:after="0" w:line="360"/>
        <w:ind w:right="227"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Sabra, Bandeira e Santos (2015) relata que a soma desses fatores leva a resposta natural 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RN a apresentar reação do tipo Th2, pois com o parto cesáreo retarda a descida do leite materno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levando o RN o contato com fórmulas infantis antes mesmo que o leite materno possa ativar uma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resposta alérgica no tecido linfoide associado a mucosa intestinal do recém-nascido que nasce Th2</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comportando-se como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alérgico.</w:t>
      </w:r>
    </w:p>
    <w:p>
      <w:pPr>
        <w:spacing w:before="4" w:after="0" w:line="360"/>
        <w:ind w:right="229" w:left="233" w:firstLine="7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Sabe-se que a expressão do fenótipo alérgico depende pelo menos de três grandes fatores: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predisposição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genética;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interação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ambiental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associada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capacidade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biológica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facilitar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desenvolver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influência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ciclo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entero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mamário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Sabra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p>
    <w:p>
      <w:pPr>
        <w:spacing w:before="0" w:after="0" w:line="360"/>
        <w:ind w:right="230" w:left="233" w:firstLine="7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Alergia alimentar é caracterizada por uma reação adversa a ingestão de alimentos, ou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aditivos alimentares mediados por mecanismos imunológicos. E aqui no Brasil temos os alimentos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 comuns em reação alérgica: leite, ovo. Trigo, soja, frutos do mar, peixes, amendoim 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castanhas,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ordem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ocorrências.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(POMIECINSKI</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2017).</w:t>
      </w:r>
    </w:p>
    <w:p>
      <w:pPr>
        <w:spacing w:before="11" w:after="0" w:line="240"/>
        <w:ind w:right="0" w:left="0" w:firstLine="0"/>
        <w:jc w:val="left"/>
        <w:rPr>
          <w:rFonts w:ascii="Times New Roman" w:hAnsi="Times New Roman" w:cs="Times New Roman" w:eastAsia="Times New Roman"/>
          <w:color w:val="auto"/>
          <w:spacing w:val="0"/>
          <w:position w:val="0"/>
          <w:sz w:val="35"/>
          <w:shd w:fill="auto" w:val="clear"/>
        </w:rPr>
      </w:pPr>
    </w:p>
    <w:p>
      <w:pPr>
        <w:numPr>
          <w:ilvl w:val="0"/>
          <w:numId w:val="95"/>
        </w:numPr>
        <w:tabs>
          <w:tab w:val="left" w:pos="959" w:leader="none"/>
        </w:tabs>
        <w:spacing w:before="0" w:after="0" w:line="240"/>
        <w:ind w:right="0" w:left="958" w:hanging="66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Alergênicos</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alimentares</w:t>
      </w:r>
    </w:p>
    <w:p>
      <w:pPr>
        <w:spacing w:before="142" w:after="0" w:line="360"/>
        <w:ind w:right="228"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os antígenos proteicos passam pelo trato gastrintestinal (TGI) e chegam ao meio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interno,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cruzando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intactos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sistemas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defesa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imunológicos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imunológico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mecanismos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então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expressados.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alérgenos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maioria,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identificados por glicoproteínas hidrossolúveis resistentes a alterações de temperatura e à ação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ácidos e proteases. Tais características protegem os alérgenos da desnaturação e deterioração 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TGI</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possibilitam</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absorção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forma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inteira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(COSTA,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figura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dispõe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algumas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proteínas envolvidas nas alergias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p>
    <w:p>
      <w:pPr>
        <w:spacing w:before="0" w:after="0" w:line="360"/>
        <w:ind w:right="231"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Reações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tóxicas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aquelas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têm</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relação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sensibilidade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individual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acontecem</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quando um indivíduo ingere um alimento que possa causar reações adversas, como as toxinas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bacterianas presentes em alimentos. Neste caso podem-se prever quais reações possivelmente se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manifestaram. Já as reações não tóxicas são aquelas que derivam da suscetibilidade individual,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possuem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inesperadas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classificadas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imunomediadas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(intolerância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imunomediadas (alergia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(COSTA,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360"/>
        <w:ind w:right="229"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cada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tipo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existe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mecanismo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específico: mediados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IgE; não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mediados por IgE; e mistos. Na reação mediada por IgE as expressões clínicas acontecem pouco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tempo após a ingestão, as quais são frutos da liberação de histamina, prostaglandinas, leucotrienos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 citocinas pelos mastócitos e basófilos. Já na reação não mediada por IgE, as manifestações 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chamadas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subagudas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crônicas,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linfócitos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tidos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seus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mediadores.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mistas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acontecem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partir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ambas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 (COSTA,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360"/>
        <w:ind w:right="229"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 grave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 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motivo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atendimento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emergencial devido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anafilaxia (SAMPSON, 2016). Os principais alimentos que podem causar reações são: leite, ovos,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amendoim, nozes, trigo, crustáceos, peixes e frutas (SARINHO, 2017). No Brasil, um estudo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indicou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segunda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causa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anafilaxia.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fatores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condicionantes foram o leite de vaca e as claras de ovos em bebês e pré-escolares e crustáceos 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crianças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 velhas,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adolescentes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adultos (SARINHO,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83" w:after="16" w:line="240"/>
        <w:ind w:right="285" w:left="287"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Alimentos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suas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proteínas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alergênicas</w:t>
      </w:r>
    </w:p>
    <w:p>
      <w:pPr>
        <w:spacing w:before="0" w:after="0" w:line="240"/>
        <w:ind w:right="0" w:left="495" w:firstLine="0"/>
        <w:jc w:val="left"/>
        <w:rPr>
          <w:rFonts w:ascii="Times New Roman" w:hAnsi="Times New Roman" w:cs="Times New Roman" w:eastAsia="Times New Roman"/>
          <w:color w:val="auto"/>
          <w:spacing w:val="0"/>
          <w:position w:val="0"/>
          <w:sz w:val="20"/>
          <w:shd w:fill="auto" w:val="clear"/>
        </w:rPr>
      </w:pPr>
      <w:r>
        <w:object w:dxaOrig="8613" w:dyaOrig="7994">
          <v:rect xmlns:o="urn:schemas-microsoft-com:office:office" xmlns:v="urn:schemas-microsoft-com:vml" id="rectole0000000001" style="width:430.650000pt;height:399.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58" w:after="0" w:line="240"/>
        <w:ind w:right="285" w:left="286"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Solé</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 2018.</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04"/>
        </w:numPr>
        <w:tabs>
          <w:tab w:val="left" w:pos="584" w:leader="none"/>
        </w:tabs>
        <w:spacing w:before="162" w:after="0" w:line="240"/>
        <w:ind w:right="0" w:left="583" w:hanging="3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ALERGIAS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ALIMENTARES: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UMA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ABORDAGEM</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SOBRE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ALIMENTOS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ALERGÊNICOS</w:t>
      </w:r>
    </w:p>
    <w:p>
      <w:pPr>
        <w:numPr>
          <w:ilvl w:val="0"/>
          <w:numId w:val="104"/>
        </w:numPr>
        <w:tabs>
          <w:tab w:val="left" w:pos="776" w:leader="none"/>
        </w:tabs>
        <w:spacing w:before="141" w:after="0" w:line="240"/>
        <w:ind w:right="0" w:left="775" w:hanging="543"/>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Alergia alimentar ao</w:t>
      </w:r>
      <w:r>
        <w:rPr>
          <w:rFonts w:ascii="Times New Roman" w:hAnsi="Times New Roman" w:cs="Times New Roman" w:eastAsia="Times New Roman"/>
          <w:b/>
          <w:color w:val="auto"/>
          <w:spacing w:val="-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ovo</w:t>
      </w:r>
    </w:p>
    <w:p>
      <w:pPr>
        <w:spacing w:before="138" w:after="0" w:line="360"/>
        <w:ind w:right="223"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clara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constituinte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muitas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proteínas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alergênicas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ovomucóide,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ovalbumina,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ovotransferrina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lisozimas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(UBERTI</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 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ovalbumina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faz</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total</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54% das proteínas da clara e é representada principalmente por lisina e triptofano (BOTELHO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 al, 2009). A gema é rica em lipídios dispostos essencialmente sob a forma de lipoproteínas, com</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alta taxa de digestão apresentada por seres humanos. O alimento também é rico em vitaminas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lipossolúveis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hidrossolúveis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B2</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B12,</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fonte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alguns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minerais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cálcio,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fósforo,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sódio, ferro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potássio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(MEDEIROS;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ALVES,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2" w:after="0" w:line="360"/>
        <w:ind w:right="225"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sinais e sintomas de pessoas alérgicas que tenham entrado em contato com as proteínas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 são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iguais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principais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cutâneas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urticária,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prurido,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rubor</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 edema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glote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língua,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respiratórias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falta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gastrintestinais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vômitos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desconfortos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(dores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gases)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diarreia,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já</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graves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anafilaxia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(PÁDUA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p>
    <w:p>
      <w:pPr>
        <w:spacing w:before="0" w:after="0" w:line="360"/>
        <w:ind w:right="223"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diagnóstico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precoce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importante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bom</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manejo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vez</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que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busca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bem-estar</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paciente.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Tendo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isso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em</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vista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essencial</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coletar</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dados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sobre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histórico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 a fim de estabelecer uma relação entre o tempo de ingestão do alimento potencial 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aparecimento de sinais e sintomas (COSTA, 2014). Dentre os testes </w:t>
      </w:r>
      <w:r>
        <w:rPr>
          <w:rFonts w:ascii="Times New Roman" w:hAnsi="Times New Roman" w:cs="Times New Roman" w:eastAsia="Times New Roman"/>
          <w:i/>
          <w:color w:val="auto"/>
          <w:spacing w:val="0"/>
          <w:position w:val="0"/>
          <w:sz w:val="24"/>
          <w:shd w:fill="auto" w:val="clear"/>
        </w:rPr>
        <w:t xml:space="preserve">in vivo </w:t>
      </w:r>
      <w:r>
        <w:rPr>
          <w:rFonts w:ascii="Times New Roman" w:hAnsi="Times New Roman" w:cs="Times New Roman" w:eastAsia="Times New Roman"/>
          <w:color w:val="auto"/>
          <w:spacing w:val="0"/>
          <w:position w:val="0"/>
          <w:sz w:val="24"/>
          <w:shd w:fill="auto" w:val="clear"/>
        </w:rPr>
        <w:t xml:space="preserve">o mais comum é 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cutâneo por puntura (figura 3), o qual se baseia em execução de um pequeno furo na pele 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antebraço e em seguida aplicação de uma gota do alérgeno a fim de induzir a reação. Também 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usual o teste intradérmico (figura 4), que consiste na aplicabilidade de fitas adesivas trazendo 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substâncias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alergênicas por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48</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horas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(CAUBET;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WANG,</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p>
    <w:p>
      <w:pPr>
        <w:spacing w:before="8" w:after="0" w:line="240"/>
        <w:ind w:right="0" w:left="0" w:firstLine="0"/>
        <w:jc w:val="left"/>
        <w:rPr>
          <w:rFonts w:ascii="Times New Roman" w:hAnsi="Times New Roman" w:cs="Times New Roman" w:eastAsia="Times New Roman"/>
          <w:color w:val="auto"/>
          <w:spacing w:val="0"/>
          <w:position w:val="0"/>
          <w:sz w:val="35"/>
          <w:shd w:fill="auto" w:val="clear"/>
        </w:rPr>
      </w:pPr>
    </w:p>
    <w:p>
      <w:pPr>
        <w:spacing w:before="0" w:after="0" w:line="240"/>
        <w:ind w:right="285" w:left="285"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Teste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cutâneo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puntura</w:t>
      </w:r>
    </w:p>
    <w:p>
      <w:pPr>
        <w:spacing w:before="0" w:after="0" w:line="240"/>
        <w:ind w:right="0" w:left="3063" w:firstLine="0"/>
        <w:jc w:val="left"/>
        <w:rPr>
          <w:rFonts w:ascii="Times New Roman" w:hAnsi="Times New Roman" w:cs="Times New Roman" w:eastAsia="Times New Roman"/>
          <w:color w:val="auto"/>
          <w:spacing w:val="0"/>
          <w:position w:val="0"/>
          <w:sz w:val="20"/>
          <w:shd w:fill="auto" w:val="clear"/>
        </w:rPr>
      </w:pPr>
      <w:r>
        <w:object w:dxaOrig="3646" w:dyaOrig="2419">
          <v:rect xmlns:o="urn:schemas-microsoft-com:office:office" xmlns:v="urn:schemas-microsoft-com:vml" id="rectole0000000002" style="width:182.300000pt;height:120.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30" w:after="0" w:line="240"/>
        <w:ind w:right="285" w:left="289"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Luciana</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Albuquerque.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Alergia</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imunologia</w:t>
      </w:r>
    </w:p>
    <w:p>
      <w:pPr>
        <w:spacing w:before="1" w:after="0" w:line="240"/>
        <w:ind w:right="0" w:left="0" w:firstLine="0"/>
        <w:jc w:val="left"/>
        <w:rPr>
          <w:rFonts w:ascii="Times New Roman" w:hAnsi="Times New Roman" w:cs="Times New Roman" w:eastAsia="Times New Roman"/>
          <w:color w:val="auto"/>
          <w:spacing w:val="0"/>
          <w:position w:val="0"/>
          <w:sz w:val="30"/>
          <w:shd w:fill="auto" w:val="clear"/>
        </w:rPr>
      </w:pPr>
    </w:p>
    <w:p>
      <w:pPr>
        <w:spacing w:before="0" w:after="0" w:line="240"/>
        <w:ind w:right="285" w:left="291"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Figura 4:</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Teste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cutâneo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intradérmico</w:t>
      </w:r>
    </w:p>
    <w:p>
      <w:pPr>
        <w:spacing w:before="0" w:after="0" w:line="240"/>
        <w:ind w:right="0" w:left="2943" w:firstLine="0"/>
        <w:jc w:val="left"/>
        <w:rPr>
          <w:rFonts w:ascii="Times New Roman" w:hAnsi="Times New Roman" w:cs="Times New Roman" w:eastAsia="Times New Roman"/>
          <w:color w:val="auto"/>
          <w:spacing w:val="0"/>
          <w:position w:val="0"/>
          <w:sz w:val="20"/>
          <w:shd w:fill="auto" w:val="clear"/>
        </w:rPr>
      </w:pPr>
      <w:r>
        <w:object w:dxaOrig="3933" w:dyaOrig="2464">
          <v:rect xmlns:o="urn:schemas-microsoft-com:office:office" xmlns:v="urn:schemas-microsoft-com:vml" id="rectole0000000003" style="width:196.650000pt;height:123.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285" w:left="286"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paginemediche.it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44" w:after="0" w:line="360"/>
        <w:ind w:right="230"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à</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proteína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muito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comum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infância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desenvolvida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primeiros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anos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vida,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prevalência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1,3%</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1,6%.</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cozido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tolerância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diferente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levemente</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aquecido (por exemplo: ovos mexidos), pois apresentam, em média, resolução da alergia aos 5-6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6-10</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idade respectivamente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(SAVAGE;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JOHNS,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numPr>
          <w:ilvl w:val="0"/>
          <w:numId w:val="120"/>
        </w:numPr>
        <w:tabs>
          <w:tab w:val="left" w:pos="775" w:leader="none"/>
        </w:tabs>
        <w:spacing w:before="84" w:after="0" w:line="240"/>
        <w:ind w:right="0" w:left="774" w:hanging="54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Alergia 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proteína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do</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leite</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vaca</w:t>
      </w:r>
    </w:p>
    <w:p>
      <w:pPr>
        <w:spacing w:before="142" w:after="0" w:line="360"/>
        <w:ind w:right="237"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leite, sem outra classificação, é definido por o produto advindo da ordenha completa,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contínua, em condições de higiene de vacas sadias, bem alimentadas e descansadas. O leite 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demais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animais deve se nomear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segundo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 espécie de que se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origina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p>
    <w:p>
      <w:pPr>
        <w:spacing w:before="0" w:after="0" w:line="360"/>
        <w:ind w:right="225"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Quimicamente,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 é uma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emulsão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glóbulos de gordura consolidado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elementos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albuminoides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soro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composta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lactose,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proteínas,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sais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orgânicos,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minerais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demais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substâncias em quantidades mínimas como lecitina, aminoácidos, ureia, ácido cítrico, lático 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acético,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vitaminas,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enzimas (ARAÚJO 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 2011).</w:t>
      </w:r>
    </w:p>
    <w:p>
      <w:pPr>
        <w:spacing w:before="0" w:after="0" w:line="360"/>
        <w:ind w:right="231"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água é tida como a maior fração presente no leite. Os componentes restantes integram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parte denominada sólidos totais ou extrato sexo do leite. Essa parte divide-se em lipídios e sólidos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totais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desengordurados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abrange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todos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outros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sólidos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Instituem-se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ainda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vitaminas,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enzimas,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materiais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nitrogenados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 proteicos,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gases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elementos-traços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(ARAÚJO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 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p>
    <w:p>
      <w:pPr>
        <w:spacing w:before="0" w:after="0" w:line="360"/>
        <w:ind w:right="226"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manifestações clínicas da Alergia à Proteína do Leite de Vaca (APLV), são variadas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afetando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sistema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digestório,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respiratório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pele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confundidas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outras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hipersensibilidades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(AGUIAR</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2013).</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Segundo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estudo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realizado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Gaspar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 (2019), os principais sintomas apresentados foram mucocutâneos e respiratórios, em seguida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gastrintestinais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cardiovasculares.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figura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apresenta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sintomas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constantemente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encontrados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 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percentuais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gerais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acometimento 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tratos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respiratório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 digestório e da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pele.</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83" w:after="0" w:line="240"/>
        <w:ind w:right="236" w:left="233" w:firstLine="0"/>
        <w:jc w:val="both"/>
        <w:rPr>
          <w:rFonts w:ascii="Times New Roman" w:hAnsi="Times New Roman" w:cs="Times New Roman" w:eastAsia="Times New Roman"/>
          <w:color w:val="auto"/>
          <w:spacing w:val="0"/>
          <w:position w:val="0"/>
          <w:sz w:val="20"/>
          <w:shd w:fill="auto" w:val="clear"/>
        </w:rPr>
      </w:pPr>
      <w:r>
        <w:object w:dxaOrig="8624" w:dyaOrig="5157">
          <v:rect xmlns:o="urn:schemas-microsoft-com:office:office" xmlns:v="urn:schemas-microsoft-com:vml" id="rectole0000000004" style="width:431.200000pt;height:257.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b/>
          <w:color w:val="auto"/>
          <w:spacing w:val="0"/>
          <w:position w:val="0"/>
          <w:sz w:val="20"/>
          <w:shd w:fill="auto" w:val="clear"/>
        </w:rPr>
        <w:t xml:space="preserve">Figura 5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Principais sinais e sintomas nos sistemas acometidos em crianças atendidas no Programa de Avaliação da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Indicação e Uso de Fórmulas Infantis Especiais para Alergia à Proteína do Leite de Vaca, do Hospital de Pediatria da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Universidade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Federal</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Rio</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Grande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do</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Norte, 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janeiro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2007</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dezembro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2009.</w:t>
      </w:r>
    </w:p>
    <w:p>
      <w:pPr>
        <w:spacing w:before="23" w:after="0" w:line="240"/>
        <w:ind w:right="285" w:left="286"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AGUIAR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2013.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62" w:after="0" w:line="360"/>
        <w:ind w:right="226"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Uma vez que o diagnóstico da alergia alimentar é objetivado é essencial avaliar a história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clínica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adversas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além</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disso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investigação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laboratorial</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poderá</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realizada</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ou</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não,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geralmente,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buscando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suporte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exames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complementares</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fim</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confirmar</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e/ou</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elucidar</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 diagnóstico. A abordagem laboratorial difere pelo tipo de mecanismo imunológico envolvido na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origem da manifestação clínica (hipersensibilidade IgE mediada e a hipersensibilidade celular)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(SOLÉ</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2018).</w:t>
      </w:r>
    </w:p>
    <w:p>
      <w:pPr>
        <w:spacing w:before="0" w:after="0" w:line="360"/>
        <w:ind w:right="228"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indicação da IgE específica sustenta somente na identificação das alergias alimentares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mediadas por IgE e nas reações mistas. A pesquisa de IgE específica ao alimento suspeito pode ser</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executada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tanto</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in</w:t>
      </w:r>
      <w:r>
        <w:rPr>
          <w:rFonts w:ascii="Times New Roman" w:hAnsi="Times New Roman" w:cs="Times New Roman" w:eastAsia="Times New Roman"/>
          <w:i/>
          <w:color w:val="auto"/>
          <w:spacing w:val="-9"/>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vivo,</w:t>
      </w:r>
      <w:r>
        <w:rPr>
          <w:rFonts w:ascii="Times New Roman" w:hAnsi="Times New Roman" w:cs="Times New Roman" w:eastAsia="Times New Roman"/>
          <w:i/>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através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testes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cutâneos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hipersensibilidade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imediata,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in</w:t>
      </w:r>
      <w:r>
        <w:rPr>
          <w:rFonts w:ascii="Times New Roman" w:hAnsi="Times New Roman" w:cs="Times New Roman" w:eastAsia="Times New Roman"/>
          <w:i/>
          <w:color w:val="auto"/>
          <w:spacing w:val="-9"/>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vitro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dosagem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IgE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específica 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sangue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(SOLÉ</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 2018).</w:t>
      </w:r>
    </w:p>
    <w:p>
      <w:pPr>
        <w:spacing w:before="0" w:after="0" w:line="360"/>
        <w:ind w:right="228"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Quando a criança chegar a idade da alimentação complementar deve-se seguir o mesmo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cuidado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serem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ofertados,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evitando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aparecimento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sintomas,</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mantendo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mesmos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princípios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preconizados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crianças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saudáveis,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excluindo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dieta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somente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 alergênico,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não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sendo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necessário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evitar</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proteínas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potencialmente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alergênicas,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exemplo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peixe,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soja,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trigo.</w:t>
      </w:r>
    </w:p>
    <w:p>
      <w:pPr>
        <w:spacing w:before="0" w:after="0" w:line="360"/>
        <w:ind w:right="231"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Outra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opção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terapia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alguns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casos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 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Imunoterapia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(ITO)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sublingual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(ITSL).</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Apesar das limitações que acompanham o tratamento da alergia alimentar, como a alta taxa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 adversas, o longo período de tratamento, e evidências da perda rápida da proteção com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interrupção da terapia ativa, é uma área de investigação ativa. Esse manejo pode ser considerado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 crianças a partir dos 4-5 anos de idade e que apresentem sintomas de AA mediada por IgE ao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leite, ovo de galinha ou amendoim associada a evidência da sensibilização ao alérgeno específico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(SOLÉ</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2018)</w:t>
      </w:r>
    </w:p>
    <w:p>
      <w:pPr>
        <w:spacing w:before="9" w:after="0" w:line="240"/>
        <w:ind w:right="0" w:left="0" w:firstLine="0"/>
        <w:jc w:val="left"/>
        <w:rPr>
          <w:rFonts w:ascii="Times New Roman" w:hAnsi="Times New Roman" w:cs="Times New Roman" w:eastAsia="Times New Roman"/>
          <w:color w:val="auto"/>
          <w:spacing w:val="0"/>
          <w:position w:val="0"/>
          <w:sz w:val="35"/>
          <w:shd w:fill="auto" w:val="clear"/>
        </w:rPr>
      </w:pPr>
    </w:p>
    <w:p>
      <w:pPr>
        <w:spacing w:before="0" w:after="0" w:line="240"/>
        <w:ind w:right="285" w:left="286" w:firstLine="0"/>
        <w:jc w:val="center"/>
        <w:rPr>
          <w:rFonts w:ascii="Times New Roman" w:hAnsi="Times New Roman" w:cs="Times New Roman" w:eastAsia="Times New Roman"/>
          <w:color w:val="auto"/>
          <w:spacing w:val="0"/>
          <w:position w:val="0"/>
          <w:sz w:val="20"/>
          <w:shd w:fill="auto" w:val="clear"/>
        </w:rPr>
      </w:pPr>
      <w:r>
        <w:object w:dxaOrig="7252" w:dyaOrig="7098">
          <v:rect xmlns:o="urn:schemas-microsoft-com:office:office" xmlns:v="urn:schemas-microsoft-com:vml" id="rectole0000000005" style="width:362.600000pt;height:354.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b/>
          <w:color w:val="auto"/>
          <w:spacing w:val="0"/>
          <w:position w:val="0"/>
          <w:sz w:val="20"/>
          <w:shd w:fill="auto" w:val="clear"/>
        </w:rPr>
        <w:t xml:space="preserve">Figura</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Fluxograma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tratamento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para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quadro</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APLV IgE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mediada.</w:t>
      </w:r>
    </w:p>
    <w:p>
      <w:pPr>
        <w:spacing w:before="71" w:after="0" w:line="240"/>
        <w:ind w:right="285" w:left="289"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Fonte:</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Guia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prático</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APLV</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mediada por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61" w:after="0" w:line="360"/>
        <w:ind w:right="229"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Estudos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duplo-cegos,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controlados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placebo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tiveram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efeito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positivo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ITO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ovo.</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índice de dessensibilização alcança 80-90% até mesmo entre crianças com alergia grave ao ovo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(STADEN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 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2007; GARCIA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Vale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ressaltar</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algumas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crianças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passam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tolerar </w:t>
      </w:r>
      <w:r>
        <w:rPr>
          <w:rFonts w:ascii="Times New Roman" w:hAnsi="Times New Roman" w:cs="Times New Roman" w:eastAsia="Times New Roman"/>
          <w:color w:val="auto"/>
          <w:spacing w:val="-1"/>
          <w:position w:val="0"/>
          <w:sz w:val="24"/>
          <w:shd w:fill="auto" w:val="clear"/>
        </w:rPr>
        <w:t xml:space="preserve">naturalmente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alérgenos,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logo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esses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indivíduos,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aguardar</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possível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superação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antes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dar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início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opção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sensata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(PAJNO 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2018).</w:t>
      </w:r>
    </w:p>
    <w:p>
      <w:pPr>
        <w:spacing w:before="0" w:after="0" w:line="360"/>
        <w:ind w:right="229"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administração de pequenas doses do alimento é gradativamente aumentada até alcançar 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dose alvo capaz de não causar reação, ou interromper-se na dose anterior à de manifestação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sintomas.</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Após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identificar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máxima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indivíduo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prossegue-se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administrações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diárias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Muitos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pacientes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podem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apresentar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elevação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início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indução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sintomas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dessensibilização pela ITO. A terapia pode ser continuada em alguns pacientes, inclusive quando 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ingestão regular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interrompida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(CUELLO-GARCIA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p>
    <w:p>
      <w:pPr>
        <w:spacing w:before="0" w:after="0" w:line="360"/>
        <w:ind w:right="227" w:left="233"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São necessários mais estudos para determinar o período de duração ótimo ou eficácia 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longo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prazo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destes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tratamentos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imunoterápicos.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Existe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risco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destes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pacientes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tratados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terem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reações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 lapsos de breve exposição ao alimento. Talvez estas terapias precisem ser mantidas por tempo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indeterminado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manter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estado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proteção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(WOOD,</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p>
    <w:p>
      <w:pPr>
        <w:spacing w:before="4" w:after="0" w:line="240"/>
        <w:ind w:right="0" w:left="0" w:firstLine="0"/>
        <w:jc w:val="left"/>
        <w:rPr>
          <w:rFonts w:ascii="Times New Roman" w:hAnsi="Times New Roman" w:cs="Times New Roman" w:eastAsia="Times New Roman"/>
          <w:color w:val="auto"/>
          <w:spacing w:val="0"/>
          <w:position w:val="0"/>
          <w:sz w:val="36"/>
          <w:shd w:fill="auto" w:val="clear"/>
        </w:rPr>
      </w:pPr>
    </w:p>
    <w:p>
      <w:pPr>
        <w:numPr>
          <w:ilvl w:val="0"/>
          <w:numId w:val="141"/>
        </w:numPr>
        <w:tabs>
          <w:tab w:val="left" w:pos="416" w:leader="none"/>
        </w:tabs>
        <w:spacing w:before="1" w:after="0" w:line="240"/>
        <w:ind w:right="0" w:left="415" w:hanging="183"/>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CONSIDERAÇÕES</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FINAIS</w:t>
      </w:r>
    </w:p>
    <w:p>
      <w:pPr>
        <w:spacing w:before="137" w:after="0" w:line="360"/>
        <w:ind w:right="229"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acordo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revisão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realizada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pôde-se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concluir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índice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tem</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aumentado durante os últimos anos e isto parece ser decorrente da predisposição genética (fator de</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maior influência na manifestação das alergias alimentares), introdução alimentar precoce, higiene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exagerada 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estímulo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parto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cesariano.</w:t>
      </w:r>
    </w:p>
    <w:p>
      <w:pPr>
        <w:spacing w:before="0" w:after="0" w:line="360"/>
        <w:ind w:right="228"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papel</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nutricionista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é</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extremamente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importante,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suas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condutas</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direcionam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totalmente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curso da doença, uma vez que o manejo da alimentação é o maior preditivo do tratamento 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sintomas e da promoção da qualidade de vida. No Brasil ainda não há dados quantitativos sobre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exata prevalência da alergia alimentar na idade adulta, considerando que a maior parte das alergias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têm resoluções antes do envelhecimento, logo se faz necessário a realização de pesquisas com 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população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brasileira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fim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quantificar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estes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dados.</w:t>
      </w:r>
    </w:p>
    <w:p>
      <w:pPr>
        <w:spacing w:before="0" w:after="0" w:line="360"/>
        <w:ind w:right="223" w:left="233"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Além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disso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existe 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necessidade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vigente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propor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métodos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intensifiquem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busca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conhecimento do tema abordado na tentativa de fazer com que cada vez se discuta a cerca das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 alimentares no tocante à redução dos casos diagnosticados gerando busca e enfrentamento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desse problema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80" w:after="0" w:line="240"/>
        <w:ind w:right="285" w:left="285"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REFERÊNCIAS</w:t>
      </w:r>
    </w:p>
    <w:p>
      <w:pPr>
        <w:spacing w:before="11" w:after="0" w:line="240"/>
        <w:ind w:right="0" w:left="0" w:firstLine="0"/>
        <w:jc w:val="left"/>
        <w:rPr>
          <w:rFonts w:ascii="Times New Roman" w:hAnsi="Times New Roman" w:cs="Times New Roman" w:eastAsia="Times New Roman"/>
          <w:b/>
          <w:color w:val="auto"/>
          <w:spacing w:val="0"/>
          <w:position w:val="0"/>
          <w:sz w:val="23"/>
          <w:shd w:fill="auto" w:val="clear"/>
        </w:rPr>
      </w:pPr>
    </w:p>
    <w:p>
      <w:pPr>
        <w:spacing w:before="0" w:after="0" w:line="240"/>
        <w:ind w:right="230"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AGUIAR, Ana Laissa O. et al . </w:t>
      </w:r>
      <w:r>
        <w:rPr>
          <w:rFonts w:ascii="Times New Roman" w:hAnsi="Times New Roman" w:cs="Times New Roman" w:eastAsia="Times New Roman"/>
          <w:b/>
          <w:color w:val="auto"/>
          <w:spacing w:val="0"/>
          <w:position w:val="0"/>
          <w:sz w:val="24"/>
          <w:shd w:fill="auto" w:val="clear"/>
        </w:rPr>
        <w:t xml:space="preserve">Avaliação clínica e evolutiva de crianças em programa de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atendimento ao uso de fórmulas para alergia à proteína do leite de vaca. </w:t>
      </w:r>
      <w:r>
        <w:rPr>
          <w:rFonts w:ascii="Times New Roman" w:hAnsi="Times New Roman" w:cs="Times New Roman" w:eastAsia="Times New Roman"/>
          <w:color w:val="auto"/>
          <w:spacing w:val="0"/>
          <w:position w:val="0"/>
          <w:sz w:val="24"/>
          <w:shd w:fill="auto" w:val="clear"/>
        </w:rPr>
        <w:t xml:space="preserve">Rev. paul. pediatr.,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São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Paulo</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31,</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3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152-158,</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June</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2013</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em&lt;</w:t>
      </w:r>
      <w:hyperlink xmlns:r="http://schemas.openxmlformats.org/officeDocument/2006/relationships" r:id="docRId12">
        <w:r>
          <w:rPr>
            <w:rFonts w:ascii="Times New Roman" w:hAnsi="Times New Roman" w:cs="Times New Roman" w:eastAsia="Times New Roman"/>
            <w:color w:val="0000FF"/>
            <w:spacing w:val="0"/>
            <w:position w:val="0"/>
            <w:sz w:val="24"/>
            <w:u w:val="single"/>
            <w:shd w:fill="auto" w:val="clear"/>
          </w:rPr>
          <w:t xml:space="preserve">http://www.scielo.br/scielo.php?script=sci_arttext</w:t>
        </w:r>
        <w:r>
          <w:rPr>
            <w:rFonts w:ascii="Times New Roman" w:hAnsi="Times New Roman" w:cs="Times New Roman" w:eastAsia="Times New Roman"/>
            <w:color w:val="0000FF"/>
            <w:spacing w:val="0"/>
            <w:position w:val="0"/>
            <w:sz w:val="24"/>
            <w:shd w:fill="auto" w:val="clear"/>
          </w:rPr>
          <w:t xml:space="preserve"> HYPERLINK "http://www.scielo.br/scielo.php?script=sci_arttext&amp;pid=S0103-"</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color w:val="0000FF"/>
            <w:spacing w:val="0"/>
            <w:position w:val="0"/>
            <w:sz w:val="24"/>
            <w:shd w:fill="auto" w:val="clear"/>
          </w:rPr>
          <w:t xml:space="preserve"> HYPERLINK "http://www.scielo.br/scielo.php?script=sci_arttext&amp;pid=S0103-"</w:t>
        </w:r>
        <w:r>
          <w:rPr>
            <w:rFonts w:ascii="Times New Roman" w:hAnsi="Times New Roman" w:cs="Times New Roman" w:eastAsia="Times New Roman"/>
            <w:color w:val="0000FF"/>
            <w:spacing w:val="0"/>
            <w:position w:val="0"/>
            <w:sz w:val="24"/>
            <w:u w:val="single"/>
            <w:shd w:fill="auto" w:val="clear"/>
          </w:rPr>
          <w:t xml:space="preserve">pid=S0103-</w:t>
        </w:r>
      </w:hyperlink>
      <w:r>
        <w:rPr>
          <w:rFonts w:ascii="Times New Roman" w:hAnsi="Times New Roman" w:cs="Times New Roman" w:eastAsia="Times New Roman"/>
          <w:color w:val="auto"/>
          <w:spacing w:val="0"/>
          <w:position w:val="0"/>
          <w:sz w:val="24"/>
          <w:shd w:fill="auto" w:val="clear"/>
        </w:rPr>
        <w:t xml:space="preserve">05822013000200004&amp;lng=en&amp;nrm=iso&gt;. 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5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2"/>
        <w:ind w:right="90"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ANDRADE,</w:t>
      </w:r>
      <w:r>
        <w:rPr>
          <w:rFonts w:ascii="Times New Roman" w:hAnsi="Times New Roman" w:cs="Times New Roman" w:eastAsia="Times New Roman"/>
          <w:color w:val="auto"/>
          <w:spacing w:val="4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Maria</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Graça</w:t>
      </w:r>
      <w:r>
        <w:rPr>
          <w:rFonts w:ascii="Times New Roman" w:hAnsi="Times New Roman" w:cs="Times New Roman" w:eastAsia="Times New Roman"/>
          <w:color w:val="auto"/>
          <w:spacing w:val="4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Massano</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4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4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MAVIGNÉ,</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Amorim.</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Determinantes</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sociais</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psicológicos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comportamento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infantil.</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6"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BERZUINO, Miriã Benatti et al. Alergia alimentar e o cenário regulatório no Brasil. </w:t>
      </w:r>
      <w:r>
        <w:rPr>
          <w:rFonts w:ascii="Times New Roman" w:hAnsi="Times New Roman" w:cs="Times New Roman" w:eastAsia="Times New Roman"/>
          <w:b/>
          <w:color w:val="auto"/>
          <w:spacing w:val="0"/>
          <w:position w:val="0"/>
          <w:sz w:val="24"/>
          <w:shd w:fill="auto" w:val="clear"/>
        </w:rPr>
        <w:t xml:space="preserve">Revista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Eletrônica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Farmácia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14,</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2017.</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https:/</w:t>
      </w:r>
      <w:hyperlink xmlns:r="http://schemas.openxmlformats.org/officeDocument/2006/relationships" r:id="docRId13">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revistas.ufg.br/REF/article/view/43433/pdf</w:t>
        </w:r>
      </w:hyperlink>
      <w:r>
        <w:rPr>
          <w:rFonts w:ascii="Times New Roman" w:hAnsi="Times New Roman" w:cs="Times New Roman" w:eastAsia="Times New Roman"/>
          <w:color w:val="auto"/>
          <w:spacing w:val="0"/>
          <w:position w:val="0"/>
          <w:sz w:val="24"/>
          <w:shd w:fill="auto" w:val="clear"/>
        </w:rPr>
        <w:t xml:space="preserve">&gt;</w:t>
      </w: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5"/>
        <w:ind w:right="0"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BOTELHO,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 B.</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ARAÚJO,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 M. 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ZONDONADI, 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RAMOS, K.</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Transformação dos</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alimentos:</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leite</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laticínios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ARAÚJO,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MONTEBELO,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BOTELHO,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BORGO,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Alquimia 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Brasília: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Editora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Senac,</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2009;</w:t>
      </w:r>
    </w:p>
    <w:p>
      <w:pPr>
        <w:spacing w:before="7"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1" w:after="0" w:line="240"/>
        <w:ind w:right="221"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Ministério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Agricultura,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Pecuária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Abastecimento. </w:t>
      </w:r>
      <w:r>
        <w:rPr>
          <w:rFonts w:ascii="Times New Roman" w:hAnsi="Times New Roman" w:cs="Times New Roman" w:eastAsia="Times New Roman"/>
          <w:b/>
          <w:color w:val="auto"/>
          <w:spacing w:val="0"/>
          <w:position w:val="0"/>
          <w:sz w:val="24"/>
          <w:shd w:fill="auto" w:val="clear"/>
        </w:rPr>
        <w:t xml:space="preserve">Instrução</w:t>
      </w:r>
      <w:r>
        <w:rPr>
          <w:rFonts w:ascii="Times New Roman" w:hAnsi="Times New Roman" w:cs="Times New Roman" w:eastAsia="Times New Roman"/>
          <w:b/>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Normativa</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62,</w:t>
      </w:r>
      <w:r>
        <w:rPr>
          <w:rFonts w:ascii="Times New Roman" w:hAnsi="Times New Roman" w:cs="Times New Roman" w:eastAsia="Times New Roman"/>
          <w:b/>
          <w:color w:val="auto"/>
          <w:spacing w:val="-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29</w:t>
      </w:r>
      <w:r>
        <w:rPr>
          <w:rFonts w:ascii="Times New Roman" w:hAnsi="Times New Roman" w:cs="Times New Roman" w:eastAsia="Times New Roman"/>
          <w:b/>
          <w:color w:val="auto"/>
          <w:spacing w:val="-5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dezembro de 2011. Regulamento técnico de produção, identidade e qualidade do leite tipo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A,</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regulamento</w:t>
      </w:r>
      <w:r>
        <w:rPr>
          <w:rFonts w:ascii="Times New Roman" w:hAnsi="Times New Roman" w:cs="Times New Roman" w:eastAsia="Times New Roman"/>
          <w:b/>
          <w:color w:val="auto"/>
          <w:spacing w:val="-17"/>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técnico</w:t>
      </w:r>
      <w:r>
        <w:rPr>
          <w:rFonts w:ascii="Times New Roman" w:hAnsi="Times New Roman" w:cs="Times New Roman" w:eastAsia="Times New Roman"/>
          <w:b/>
          <w:color w:val="auto"/>
          <w:spacing w:val="-1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identidade</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w:t>
      </w:r>
      <w:r>
        <w:rPr>
          <w:rFonts w:ascii="Times New Roman" w:hAnsi="Times New Roman" w:cs="Times New Roman" w:eastAsia="Times New Roman"/>
          <w:b/>
          <w:color w:val="auto"/>
          <w:spacing w:val="-1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qualidade</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leite</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cru</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refrigerado,</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regulamento</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técnico</w:t>
      </w:r>
      <w:r>
        <w:rPr>
          <w:rFonts w:ascii="Times New Roman" w:hAnsi="Times New Roman" w:cs="Times New Roman" w:eastAsia="Times New Roman"/>
          <w:b/>
          <w:color w:val="auto"/>
          <w:spacing w:val="-5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 identidade e qualidade de leite pasteurizado e o regulamento técnico da coleta de leite cru</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refrigerado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 seu</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transporte a</w:t>
      </w:r>
      <w:r>
        <w:rPr>
          <w:rFonts w:ascii="Times New Roman" w:hAnsi="Times New Roman" w:cs="Times New Roman" w:eastAsia="Times New Roman"/>
          <w:b/>
          <w:color w:val="auto"/>
          <w:spacing w:val="-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granel</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Diário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Oficial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 União,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30</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dez.</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Seção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32"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Ministério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Agência</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Nacional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Vigilância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Sanitária.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Consulta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Pública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n°.29,</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05</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junho</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Declaração</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obrigatória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rotulagem</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embalados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fontes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reconhecidas</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w:t>
      </w:r>
      <w:r>
        <w:rPr>
          <w:rFonts w:ascii="Times New Roman" w:hAnsi="Times New Roman" w:cs="Times New Roman" w:eastAsia="Times New Roman"/>
          <w:color w:val="auto"/>
          <w:spacing w:val="5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causarem</w:t>
      </w:r>
      <w:r>
        <w:rPr>
          <w:rFonts w:ascii="Times New Roman" w:hAnsi="Times New Roman" w:cs="Times New Roman" w:eastAsia="Times New Roman"/>
          <w:color w:val="auto"/>
          <w:spacing w:val="5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w:t>
      </w:r>
      <w:r>
        <w:rPr>
          <w:rFonts w:ascii="Times New Roman" w:hAnsi="Times New Roman" w:cs="Times New Roman" w:eastAsia="Times New Roman"/>
          <w:color w:val="auto"/>
          <w:spacing w:val="5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intolerâncias</w:t>
      </w:r>
      <w:r>
        <w:rPr>
          <w:rFonts w:ascii="Times New Roman" w:hAnsi="Times New Roman" w:cs="Times New Roman" w:eastAsia="Times New Roman"/>
          <w:color w:val="auto"/>
          <w:spacing w:val="5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pessoas</w:t>
      </w:r>
      <w:r>
        <w:rPr>
          <w:rFonts w:ascii="Times New Roman" w:hAnsi="Times New Roman" w:cs="Times New Roman" w:eastAsia="Times New Roman"/>
          <w:color w:val="auto"/>
          <w:spacing w:val="4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sensíveis.</w:t>
      </w:r>
      <w:r>
        <w:rPr>
          <w:rFonts w:ascii="Times New Roman" w:hAnsi="Times New Roman" w:cs="Times New Roman" w:eastAsia="Times New Roman"/>
          <w:color w:val="auto"/>
          <w:spacing w:val="5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Diário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Oficial da União 2014.</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 29 ago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&lt;//portal.anvisa.gov.br&gt;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Ministério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Agência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Nacional</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Vigilância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Sanitária.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Resolução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Diretoria</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Colegiada</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nº.26,</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02</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julho</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Requisitos</w:t>
      </w:r>
      <w:r>
        <w:rPr>
          <w:rFonts w:ascii="Times New Roman" w:hAnsi="Times New Roman" w:cs="Times New Roman" w:eastAsia="Times New Roman"/>
          <w:color w:val="auto"/>
          <w:spacing w:val="2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para</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Rotulagem</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Obrigatória</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w:t>
      </w:r>
      <w:r>
        <w:rPr>
          <w:rFonts w:ascii="Times New Roman" w:hAnsi="Times New Roman" w:cs="Times New Roman" w:eastAsia="Times New Roman"/>
          <w:color w:val="auto"/>
          <w:spacing w:val="2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Principais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que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Causam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Alimentares.</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Diário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Oficial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União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p>
    <w:p>
      <w:pPr>
        <w:spacing w:before="3"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6"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CAUBET, J. C.; WANG, J. </w:t>
      </w:r>
      <w:r>
        <w:rPr>
          <w:rFonts w:ascii="Times New Roman" w:hAnsi="Times New Roman" w:cs="Times New Roman" w:eastAsia="Times New Roman"/>
          <w:b/>
          <w:color w:val="auto"/>
          <w:spacing w:val="0"/>
          <w:position w:val="0"/>
          <w:sz w:val="24"/>
          <w:shd w:fill="auto" w:val="clear"/>
        </w:rPr>
        <w:t xml:space="preserve">Current Understanding of Egg Allergy</w:t>
      </w:r>
      <w:r>
        <w:rPr>
          <w:rFonts w:ascii="Times New Roman" w:hAnsi="Times New Roman" w:cs="Times New Roman" w:eastAsia="Times New Roman"/>
          <w:color w:val="auto"/>
          <w:spacing w:val="0"/>
          <w:position w:val="0"/>
          <w:sz w:val="24"/>
          <w:shd w:fill="auto" w:val="clear"/>
        </w:rPr>
        <w:t xml:space="preserve">. Pediatr Clin N Am v.58, 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427</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443,</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&lt;</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https:/</w:t>
      </w: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ncbi.nlm.nih.gov/pubmed/21453811</w:t>
        </w:r>
      </w:hyperlink>
      <w:r>
        <w:rPr>
          <w:rFonts w:ascii="Times New Roman" w:hAnsi="Times New Roman" w:cs="Times New Roman" w:eastAsia="Times New Roman"/>
          <w:color w:val="auto"/>
          <w:spacing w:val="0"/>
          <w:position w:val="0"/>
          <w:sz w:val="24"/>
          <w:shd w:fill="auto" w:val="clear"/>
        </w:rPr>
        <w:t xml:space="preserve">&gt;.</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26</w:t>
      </w:r>
    </w:p>
    <w:p>
      <w:pPr>
        <w:spacing w:before="4" w:after="0" w:line="240"/>
        <w:ind w:right="0"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11"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229"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CUELLO-GARCIA CA, Fiocchi A, Pawankar R, Yepes-Nuñez JJ, Morgano GP, Zhang Y, et al.</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World</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Allergy Organization-McMaster</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University Guidelines for Allergic Disease Prevention</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(GLAD-P):</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Prebiotics.</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WAO</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J.</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2016;9:10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227"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DHANAPALA,</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SILVA,</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DORAN,</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SUPHIOGLU,</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Cracking</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the</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egg:</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An</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insight</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into</w:t>
      </w:r>
      <w:r>
        <w:rPr>
          <w:rFonts w:ascii="Times New Roman" w:hAnsi="Times New Roman" w:cs="Times New Roman" w:eastAsia="Times New Roman"/>
          <w:b/>
          <w:color w:val="auto"/>
          <w:spacing w:val="-5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egg</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hypersensitivity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Molecular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Immunology,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66,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375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383,</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emhttps:/</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ncbi.nlm.nih.gov/pubmed/25965316.</w:t>
        </w:r>
        <w:r>
          <w:rPr>
            <w:rFonts w:ascii="Times New Roman" w:hAnsi="Times New Roman" w:cs="Times New Roman" w:eastAsia="Times New Roman"/>
            <w:color w:val="0000FF"/>
            <w:spacing w:val="3"/>
            <w:position w:val="0"/>
            <w:sz w:val="24"/>
            <w:shd w:fill="auto" w:val="clear"/>
          </w:rPr>
          <w:t xml:space="preserve"> HYPERLINK "http://www.ncbi.nlm.nih.gov/pubmed/25965316"</w:t>
        </w:r>
        <w:r>
          <w:rPr>
            <w:rFonts w:ascii="Times New Roman" w:hAnsi="Times New Roman" w:cs="Times New Roman" w:eastAsia="Times New Roman"/>
            <w:color w:val="0000FF"/>
            <w:spacing w:val="3"/>
            <w:position w:val="0"/>
            <w:sz w:val="24"/>
            <w:u w:val="single"/>
            <w:shd w:fill="auto" w:val="clear"/>
          </w:rPr>
          <w:t xml:space="preserve"> </w:t>
        </w:r>
      </w:hyperlink>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80" w:after="0" w:line="242"/>
        <w:ind w:right="236"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DOMÍNGUEZ, Paloma Rohlfs. Development and acquisition of flavor and food preferences in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children: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 update until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2010.</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Journal</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of</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Food</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Research</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223"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GARCIA RODRIGUEZ, R. et al. Oral rush desensitization to egg: efficacy and safety. </w:t>
      </w:r>
      <w:r>
        <w:rPr>
          <w:rFonts w:ascii="Times New Roman" w:hAnsi="Times New Roman" w:cs="Times New Roman" w:eastAsia="Times New Roman"/>
          <w:b/>
          <w:color w:val="212121"/>
          <w:spacing w:val="0"/>
          <w:position w:val="0"/>
          <w:sz w:val="24"/>
          <w:shd w:fill="auto" w:val="clear"/>
        </w:rPr>
        <w:t xml:space="preserve">Clinical &amp;</w:t>
      </w:r>
      <w:r>
        <w:rPr>
          <w:rFonts w:ascii="Times New Roman" w:hAnsi="Times New Roman" w:cs="Times New Roman" w:eastAsia="Times New Roman"/>
          <w:b/>
          <w:color w:val="212121"/>
          <w:spacing w:val="1"/>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Experimental</w:t>
      </w:r>
      <w:r>
        <w:rPr>
          <w:rFonts w:ascii="Times New Roman" w:hAnsi="Times New Roman" w:cs="Times New Roman" w:eastAsia="Times New Roman"/>
          <w:b/>
          <w:color w:val="212121"/>
          <w:spacing w:val="1"/>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Allergy</w:t>
      </w:r>
      <w:r>
        <w:rPr>
          <w:rFonts w:ascii="Times New Roman" w:hAnsi="Times New Roman" w:cs="Times New Roman" w:eastAsia="Times New Roman"/>
          <w:color w:val="212121"/>
          <w:spacing w:val="0"/>
          <w:position w:val="0"/>
          <w:sz w:val="24"/>
          <w:shd w:fill="auto" w:val="clear"/>
        </w:rPr>
        <w:t xml:space="preserve">,</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41,</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n.</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9,</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1289-1296,</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2011;</w:t>
      </w: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tabs>
          <w:tab w:val="left" w:pos="2014" w:leader="none"/>
          <w:tab w:val="left" w:pos="3036" w:leader="none"/>
        </w:tabs>
        <w:spacing w:before="0" w:after="0" w:line="240"/>
        <w:ind w:right="227"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GASPAR, Ângela et al . </w:t>
      </w:r>
      <w:r>
        <w:rPr>
          <w:rFonts w:ascii="Times New Roman" w:hAnsi="Times New Roman" w:cs="Times New Roman" w:eastAsia="Times New Roman"/>
          <w:b/>
          <w:color w:val="auto"/>
          <w:spacing w:val="0"/>
          <w:position w:val="0"/>
          <w:sz w:val="24"/>
          <w:shd w:fill="auto" w:val="clear"/>
        </w:rPr>
        <w:t xml:space="preserve">Registo anual de anafilaxia em idade pediátrica num centro de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Imunoalergologia</w:t>
      </w:r>
      <w:r>
        <w:rPr>
          <w:rFonts w:ascii="Times New Roman" w:hAnsi="Times New Roman" w:cs="Times New Roman" w:eastAsia="Times New Roman"/>
          <w:color w:val="auto"/>
          <w:spacing w:val="0"/>
          <w:position w:val="0"/>
          <w:sz w:val="24"/>
          <w:shd w:fill="auto" w:val="clear"/>
        </w:rPr>
        <w:t xml:space="preserve">. Rev Port Imunoalergologia,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Lisboa ,</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 22, n. 1, p. 43-54,</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2014 .</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tab/>
        <w:t xml:space="preserve">em</w:t>
        <w:tab/>
        <w:t xml:space="preserve">&lt;</w:t>
      </w:r>
      <w:hyperlink xmlns:r="http://schemas.openxmlformats.org/officeDocument/2006/relationships" r:id="docRId19">
        <w:r>
          <w:rPr>
            <w:rFonts w:ascii="Times New Roman" w:hAnsi="Times New Roman" w:cs="Times New Roman" w:eastAsia="Times New Roman"/>
            <w:color w:val="0000FF"/>
            <w:spacing w:val="0"/>
            <w:position w:val="0"/>
            <w:sz w:val="24"/>
            <w:u w:val="single"/>
            <w:shd w:fill="auto" w:val="clear"/>
          </w:rPr>
          <w:t xml:space="preserve">http://www.scielo.mec.pt/scielo.php?script=sci_arttext</w:t>
        </w:r>
        <w:r>
          <w:rPr>
            <w:rFonts w:ascii="Times New Roman" w:hAnsi="Times New Roman" w:cs="Times New Roman" w:eastAsia="Times New Roman"/>
            <w:color w:val="0000FF"/>
            <w:spacing w:val="0"/>
            <w:position w:val="0"/>
            <w:sz w:val="24"/>
            <w:shd w:fill="auto" w:val="clear"/>
          </w:rPr>
          <w:t xml:space="preserve"> HYPERLINK "http://www.scielo.mec.pt/scielo.php?script=sci_arttext&amp;pid=S0871-"</w:t>
        </w:r>
        <w:r>
          <w:rPr>
            <w:rFonts w:ascii="Times New Roman" w:hAnsi="Times New Roman" w:cs="Times New Roman" w:eastAsia="Times New Roman"/>
            <w:color w:val="0000FF"/>
            <w:spacing w:val="0"/>
            <w:position w:val="0"/>
            <w:sz w:val="24"/>
            <w:u w:val="single"/>
            <w:shd w:fill="auto" w:val="clear"/>
          </w:rPr>
          <w:t xml:space="preserve">&amp;</w:t>
        </w:r>
        <w:r>
          <w:rPr>
            <w:rFonts w:ascii="Times New Roman" w:hAnsi="Times New Roman" w:cs="Times New Roman" w:eastAsia="Times New Roman"/>
            <w:color w:val="0000FF"/>
            <w:spacing w:val="0"/>
            <w:position w:val="0"/>
            <w:sz w:val="24"/>
            <w:shd w:fill="auto" w:val="clear"/>
          </w:rPr>
          <w:t xml:space="preserve"> HYPERLINK "http://www.scielo.mec.pt/scielo.php?script=sci_arttext&amp;pid=S0871-"</w:t>
        </w:r>
        <w:r>
          <w:rPr>
            <w:rFonts w:ascii="Times New Roman" w:hAnsi="Times New Roman" w:cs="Times New Roman" w:eastAsia="Times New Roman"/>
            <w:color w:val="0000FF"/>
            <w:spacing w:val="0"/>
            <w:position w:val="0"/>
            <w:sz w:val="24"/>
            <w:u w:val="single"/>
            <w:shd w:fill="auto" w:val="clear"/>
          </w:rPr>
          <w:t xml:space="preserve">pid=S0871-</w:t>
        </w:r>
      </w:hyperlink>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97212014000100005&amp;lng=pt&amp;nrm=iso&gt;.</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226"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GUPTA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Cox</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Nowak-W</w:t>
      </w:r>
      <w:r>
        <w:rPr>
          <w:rFonts w:ascii="Times New Roman" w:hAnsi="Times New Roman" w:cs="Times New Roman" w:eastAsia="Times New Roman"/>
          <w:color w:val="auto"/>
          <w:spacing w:val="0"/>
          <w:position w:val="0"/>
          <w:sz w:val="24"/>
          <w:shd w:fill="auto" w:val="clear"/>
        </w:rPr>
        <w:t xml:space="preserve">ęgrzyn</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Wang</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Diagnosis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Food</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Immunol</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Clin</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North Am. 2018. Dispon</w:t>
      </w:r>
      <w:r>
        <w:rPr>
          <w:rFonts w:ascii="Times New Roman" w:hAnsi="Times New Roman" w:cs="Times New Roman" w:eastAsia="Times New Roman"/>
          <w:color w:val="auto"/>
          <w:spacing w:val="0"/>
          <w:position w:val="0"/>
          <w:sz w:val="24"/>
          <w:shd w:fill="auto" w:val="clear"/>
        </w:rPr>
        <w:t xml:space="preserve">ível em &lt;https:/</w:t>
      </w:r>
      <w:hyperlink xmlns:r="http://schemas.openxmlformats.org/officeDocument/2006/relationships" r:id="docRId20">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21">
        <w:r>
          <w:rPr>
            <w:rFonts w:ascii="Times New Roman" w:hAnsi="Times New Roman" w:cs="Times New Roman" w:eastAsia="Times New Roman"/>
            <w:color w:val="0000FF"/>
            <w:spacing w:val="0"/>
            <w:position w:val="0"/>
            <w:sz w:val="24"/>
            <w:u w:val="single"/>
            <w:shd w:fill="auto" w:val="clear"/>
          </w:rPr>
          <w:t xml:space="preserve">ncbi.nlm.nih.gov/pubmed/29132673</w:t>
        </w:r>
      </w:hyperlink>
      <w:r>
        <w:rPr>
          <w:rFonts w:ascii="Times New Roman" w:hAnsi="Times New Roman" w:cs="Times New Roman" w:eastAsia="Times New Roman"/>
          <w:color w:val="auto"/>
          <w:spacing w:val="0"/>
          <w:position w:val="0"/>
          <w:sz w:val="24"/>
          <w:shd w:fill="auto" w:val="clear"/>
        </w:rPr>
        <w:t xml:space="preserve">&gt;. Acesso em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 2019;</w:t>
      </w:r>
    </w:p>
    <w:p>
      <w:pPr>
        <w:spacing w:before="0" w:after="0" w:line="242"/>
        <w:ind w:right="231"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1"/>
          <w:position w:val="0"/>
          <w:sz w:val="24"/>
          <w:shd w:fill="auto" w:val="clear"/>
        </w:rPr>
        <w:t xml:space="preserve">Manual</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de</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orientação</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nutricional</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na</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alergia</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alimentar</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Anne</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Porto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Dalla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Costa,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Heloísa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Chaves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Carvalho,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Zilda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Elizabeth</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Albuquerque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Santos.</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Rio</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Janeiro: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Rubio,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1" w:after="0" w:line="240"/>
        <w:ind w:right="232"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MEDEIROS, F. M.; ALVES, M. G. M. </w:t>
      </w:r>
      <w:r>
        <w:rPr>
          <w:rFonts w:ascii="Times New Roman" w:hAnsi="Times New Roman" w:cs="Times New Roman" w:eastAsia="Times New Roman"/>
          <w:b/>
          <w:color w:val="auto"/>
          <w:spacing w:val="0"/>
          <w:position w:val="0"/>
          <w:sz w:val="24"/>
          <w:shd w:fill="auto" w:val="clear"/>
        </w:rPr>
        <w:t xml:space="preserve">Qualidade de ovos comerciais</w:t>
      </w:r>
      <w:r>
        <w:rPr>
          <w:rFonts w:ascii="Times New Roman" w:hAnsi="Times New Roman" w:cs="Times New Roman" w:eastAsia="Times New Roman"/>
          <w:color w:val="auto"/>
          <w:spacing w:val="0"/>
          <w:position w:val="0"/>
          <w:sz w:val="24"/>
          <w:shd w:fill="auto" w:val="clear"/>
        </w:rPr>
        <w:t xml:space="preserve">. Nutritime [online]. v. 11,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04,</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3515-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3524,</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234"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Ministério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Secretaria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Vigilância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Departamento</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Análise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Situação</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Plano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ações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estratégicas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para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enfrentamento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das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doenças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crônicas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não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transmissíveis</w:t>
      </w:r>
      <w:r>
        <w:rPr>
          <w:rFonts w:ascii="Times New Roman" w:hAnsi="Times New Roman" w:cs="Times New Roman" w:eastAsia="Times New Roman"/>
          <w:b/>
          <w:color w:val="auto"/>
          <w:spacing w:val="-15"/>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(DCNT)</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no</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Brasil</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2011-2022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Brasília:</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Ministério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2011.</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(Série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Textos</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Básicos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Saúde)</w:t>
      </w:r>
    </w:p>
    <w:p>
      <w:pPr>
        <w:spacing w:before="2"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5"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NOWAK-W</w:t>
      </w:r>
      <w:r>
        <w:rPr>
          <w:rFonts w:ascii="Times New Roman" w:hAnsi="Times New Roman" w:cs="Times New Roman" w:eastAsia="Times New Roman"/>
          <w:color w:val="auto"/>
          <w:spacing w:val="0"/>
          <w:position w:val="0"/>
          <w:sz w:val="24"/>
          <w:shd w:fill="auto" w:val="clear"/>
        </w:rPr>
        <w:t xml:space="preserve">ĘGRZYN A, Assa’ad AH, Bahna SL, Bock SA, Sicherer SH, Teuber SS. </w:t>
      </w:r>
      <w:r>
        <w:rPr>
          <w:rFonts w:ascii="Times New Roman" w:hAnsi="Times New Roman" w:cs="Times New Roman" w:eastAsia="Times New Roman"/>
          <w:b/>
          <w:color w:val="auto"/>
          <w:spacing w:val="0"/>
          <w:position w:val="0"/>
          <w:sz w:val="24"/>
          <w:shd w:fill="auto" w:val="clear"/>
        </w:rPr>
        <w:t xml:space="preserve">Adverse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Reactions</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to</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food</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Committee</w:t>
      </w:r>
      <w:r>
        <w:rPr>
          <w:rFonts w:ascii="Times New Roman" w:hAnsi="Times New Roman" w:cs="Times New Roman" w:eastAsia="Times New Roman"/>
          <w:b/>
          <w:color w:val="auto"/>
          <w:spacing w:val="-1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of</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American</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Academy</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of</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Allergy,</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Asthma</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&amp;</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Immunology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Work</w:t>
      </w:r>
      <w:r>
        <w:rPr>
          <w:rFonts w:ascii="Times New Roman" w:hAnsi="Times New Roman" w:cs="Times New Roman" w:eastAsia="Times New Roman"/>
          <w:color w:val="auto"/>
          <w:spacing w:val="-5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group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report: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food</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challenge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testing.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Clin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w:t>
      </w:r>
      <w:r>
        <w:rPr>
          <w:rFonts w:ascii="Times New Roman" w:hAnsi="Times New Roman" w:cs="Times New Roman" w:eastAsia="Times New Roman"/>
          <w:color w:val="auto"/>
          <w:spacing w:val="0"/>
          <w:position w:val="0"/>
          <w:sz w:val="24"/>
          <w:shd w:fill="auto" w:val="clear"/>
        </w:rPr>
        <w:t xml:space="preserve">ível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em&lt;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https:/</w:t>
      </w: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23">
        <w:r>
          <w:rPr>
            <w:rFonts w:ascii="Times New Roman" w:hAnsi="Times New Roman" w:cs="Times New Roman" w:eastAsia="Times New Roman"/>
            <w:color w:val="0000FF"/>
            <w:spacing w:val="0"/>
            <w:position w:val="0"/>
            <w:sz w:val="24"/>
            <w:u w:val="single"/>
            <w:shd w:fill="auto" w:val="clear"/>
          </w:rPr>
          <w:t xml:space="preserve">ncbi.nlm.nih.gov/pubmed/19500710</w:t>
        </w:r>
      </w:hyperlink>
      <w:r>
        <w:rPr>
          <w:rFonts w:ascii="Times New Roman" w:hAnsi="Times New Roman" w:cs="Times New Roman" w:eastAsia="Times New Roman"/>
          <w:color w:val="auto"/>
          <w:spacing w:val="0"/>
          <w:position w:val="0"/>
          <w:sz w:val="24"/>
          <w:shd w:fill="auto" w:val="clear"/>
        </w:rPr>
        <w:t xml:space="preserve">&gt;.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226"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PÁDUA, I.; MOREIRA, A.; MOREIRA, P.; BARROS, R.; </w:t>
      </w:r>
      <w:r>
        <w:rPr>
          <w:rFonts w:ascii="Times New Roman" w:hAnsi="Times New Roman" w:cs="Times New Roman" w:eastAsia="Times New Roman"/>
          <w:b/>
          <w:color w:val="auto"/>
          <w:spacing w:val="0"/>
          <w:position w:val="0"/>
          <w:sz w:val="24"/>
          <w:shd w:fill="auto" w:val="clear"/>
        </w:rPr>
        <w:t xml:space="preserve">Food allergy: practical approach on</w:t>
      </w:r>
      <w:r>
        <w:rPr>
          <w:rFonts w:ascii="Times New Roman" w:hAnsi="Times New Roman" w:cs="Times New Roman" w:eastAsia="Times New Roman"/>
          <w:b/>
          <w:color w:val="auto"/>
          <w:spacing w:val="-5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education and accidental exposure prevention. </w:t>
      </w:r>
      <w:r>
        <w:rPr>
          <w:rFonts w:ascii="Times New Roman" w:hAnsi="Times New Roman" w:cs="Times New Roman" w:eastAsia="Times New Roman"/>
          <w:color w:val="auto"/>
          <w:spacing w:val="0"/>
          <w:position w:val="0"/>
          <w:sz w:val="24"/>
          <w:shd w:fill="auto" w:val="clear"/>
        </w:rPr>
        <w:t xml:space="preserve">Eur Ann Allergy Clin immunol. v. 48, n. 5, 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174-181,</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2016;</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&lt;</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https:/</w:t>
      </w: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ncbi.nlm.nih.gov/pubmed/27608473</w:t>
        </w:r>
      </w:hyperlink>
      <w:r>
        <w:rPr>
          <w:rFonts w:ascii="Times New Roman" w:hAnsi="Times New Roman" w:cs="Times New Roman" w:eastAsia="Times New Roman"/>
          <w:color w:val="auto"/>
          <w:spacing w:val="0"/>
          <w:position w:val="0"/>
          <w:sz w:val="24"/>
          <w:shd w:fill="auto" w:val="clear"/>
        </w:rPr>
        <w:t xml:space="preserve">&gt;.</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26</w:t>
      </w:r>
    </w:p>
    <w:p>
      <w:pPr>
        <w:spacing w:before="3" w:after="0" w:line="240"/>
        <w:ind w:right="0"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11"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222"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PAJNO, Giovanni B. et al. EAACI Guidelines on allergen immunotherapy: IgE</w:t>
      </w:r>
      <w:r>
        <w:rPr>
          <w:rFonts w:ascii="Times New Roman" w:hAnsi="Times New Roman" w:cs="Times New Roman" w:eastAsia="Times New Roman"/>
          <w:color w:val="212121"/>
          <w:spacing w:val="0"/>
          <w:position w:val="0"/>
          <w:sz w:val="24"/>
          <w:shd w:fill="auto" w:val="clear"/>
        </w:rPr>
        <w:t xml:space="preserve">‐</w:t>
      </w:r>
      <w:r>
        <w:rPr>
          <w:rFonts w:ascii="Times New Roman" w:hAnsi="Times New Roman" w:cs="Times New Roman" w:eastAsia="Times New Roman"/>
          <w:color w:val="212121"/>
          <w:spacing w:val="0"/>
          <w:position w:val="0"/>
          <w:sz w:val="24"/>
          <w:shd w:fill="auto" w:val="clear"/>
        </w:rPr>
        <w:t xml:space="preserve">mediated food</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allergy.</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Allergy</w:t>
      </w:r>
      <w:r>
        <w:rPr>
          <w:rFonts w:ascii="Times New Roman" w:hAnsi="Times New Roman" w:cs="Times New Roman" w:eastAsia="Times New Roman"/>
          <w:color w:val="212121"/>
          <w:spacing w:val="0"/>
          <w:position w:val="0"/>
          <w:sz w:val="24"/>
          <w:shd w:fill="auto" w:val="clear"/>
        </w:rPr>
        <w:t xml:space="preserve">,</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73,</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n.</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4,</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w:t>
      </w:r>
      <w:r>
        <w:rPr>
          <w:rFonts w:ascii="Times New Roman" w:hAnsi="Times New Roman" w:cs="Times New Roman" w:eastAsia="Times New Roman"/>
          <w:color w:val="212121"/>
          <w:spacing w:val="3"/>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799-815,</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2018.</w:t>
      </w:r>
    </w:p>
    <w:p>
      <w:pPr>
        <w:spacing w:before="10"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227"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PASTOTINO,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Antonio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Carlos;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JACOB,</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Cristina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Miuki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Abe;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DORNA,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Mayra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Barros.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Conhecendo o sistema imunológico da criança. In: RULLO, Veras Esteves Vagnozzi; ROXO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JUNIOR,</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Pérsio;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VILELA,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Marluce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Santos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Atualização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em</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Alergia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Imunologia Pediátrica: </w:t>
      </w:r>
      <w:r>
        <w:rPr>
          <w:rFonts w:ascii="Times New Roman" w:hAnsi="Times New Roman" w:cs="Times New Roman" w:eastAsia="Times New Roman"/>
          <w:color w:val="auto"/>
          <w:spacing w:val="0"/>
          <w:position w:val="0"/>
          <w:sz w:val="24"/>
          <w:shd w:fill="auto" w:val="clear"/>
        </w:rPr>
        <w:t xml:space="preserve">Sociedade de Pediatria de São Paulo. São Paulo: Atheneu, 2016. Cap. 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24-34.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7"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PERIGNON M, Fiorentino M, Kuong K, Burja K, Parker M, Sisokhom S, et al. </w:t>
      </w:r>
      <w:r>
        <w:rPr>
          <w:rFonts w:ascii="Times New Roman" w:hAnsi="Times New Roman" w:cs="Times New Roman" w:eastAsia="Times New Roman"/>
          <w:b/>
          <w:color w:val="auto"/>
          <w:spacing w:val="0"/>
          <w:position w:val="0"/>
          <w:sz w:val="24"/>
          <w:shd w:fill="auto" w:val="clear"/>
        </w:rPr>
        <w:t xml:space="preserve">Stunting, poor</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iron status and parasite infection are significant risk factors for lower cognitive performance</w:t>
      </w:r>
      <w:r>
        <w:rPr>
          <w:rFonts w:ascii="Times New Roman" w:hAnsi="Times New Roman" w:cs="Times New Roman" w:eastAsia="Times New Roman"/>
          <w:b/>
          <w:color w:val="auto"/>
          <w:spacing w:val="-5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Cambodian</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school-aged</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children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PLoS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One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80" w:after="0" w:line="240"/>
        <w:ind w:right="225"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RODRIGUEZ-MARTINEZ</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Rodriguez</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Respiratory</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syncytial</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virus,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adenoviruses,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and</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mixed</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acute</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lower</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respiratory</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infections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children</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developing</w:t>
      </w:r>
      <w:r>
        <w:rPr>
          <w:rFonts w:ascii="Times New Roman" w:hAnsi="Times New Roman" w:cs="Times New Roman" w:eastAsia="Times New Roman"/>
          <w:b/>
          <w:color w:val="auto"/>
          <w:spacing w:val="-5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country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 Med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Virol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87(5):</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774-81.</w:t>
      </w: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2"/>
        <w:ind w:right="0" w:left="233"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SABRA,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Aderbal;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BANDEIRA,</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Luis</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Manoel</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Werber</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Souza;</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SANTOS,</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Gustavo</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Rodrigues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dos.</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Imunologia</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Desenvolvimento.</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SABRA,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Aderbal</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et</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(Org.).</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Manual</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da</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Alergia</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Alimentar.</w:t>
      </w:r>
    </w:p>
    <w:p>
      <w:pPr>
        <w:spacing w:before="0" w:after="0" w:line="271"/>
        <w:ind w:right="0"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Rio de Janeiro: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Rubio,</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1-20.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2"/>
        <w:ind w:right="90"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SAMPSON, Hugh A. </w:t>
      </w:r>
      <w:r>
        <w:rPr>
          <w:rFonts w:ascii="Times New Roman" w:hAnsi="Times New Roman" w:cs="Times New Roman" w:eastAsia="Times New Roman"/>
          <w:b/>
          <w:color w:val="212121"/>
          <w:spacing w:val="0"/>
          <w:position w:val="0"/>
          <w:sz w:val="24"/>
          <w:shd w:fill="auto" w:val="clear"/>
        </w:rPr>
        <w:t xml:space="preserve">Food allergy: past, present and future. </w:t>
      </w:r>
      <w:r>
        <w:rPr>
          <w:rFonts w:ascii="Times New Roman" w:hAnsi="Times New Roman" w:cs="Times New Roman" w:eastAsia="Times New Roman"/>
          <w:color w:val="212121"/>
          <w:spacing w:val="0"/>
          <w:position w:val="0"/>
          <w:sz w:val="24"/>
          <w:shd w:fill="auto" w:val="clear"/>
        </w:rPr>
        <w:t xml:space="preserve">Allergology International</w:t>
      </w:r>
      <w:r>
        <w:rPr>
          <w:rFonts w:ascii="Times New Roman" w:hAnsi="Times New Roman" w:cs="Times New Roman" w:eastAsia="Times New Roman"/>
          <w:b/>
          <w:color w:val="212121"/>
          <w:spacing w:val="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 65, n.</w:t>
      </w:r>
      <w:r>
        <w:rPr>
          <w:rFonts w:ascii="Times New Roman" w:hAnsi="Times New Roman" w:cs="Times New Roman" w:eastAsia="Times New Roman"/>
          <w:color w:val="212121"/>
          <w:spacing w:val="-57"/>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4,</w:t>
      </w:r>
      <w:r>
        <w:rPr>
          <w:rFonts w:ascii="Times New Roman" w:hAnsi="Times New Roman" w:cs="Times New Roman" w:eastAsia="Times New Roman"/>
          <w:color w:val="212121"/>
          <w:spacing w:val="3"/>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363-369,</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2016;</w:t>
      </w:r>
    </w:p>
    <w:p>
      <w:pPr>
        <w:spacing w:before="9"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0"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SARINHO</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ES,</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Lins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MG.</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Severe</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forms</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of</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food</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Pediatr</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(Rio</w:t>
      </w:r>
      <w:r>
        <w:rPr>
          <w:rFonts w:ascii="Times New Roman" w:hAnsi="Times New Roman" w:cs="Times New Roman" w:eastAsia="Times New Roman"/>
          <w:color w:val="auto"/>
          <w:spacing w:val="-1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2017;93:53---9.</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Disponivel</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1"/>
          <w:position w:val="0"/>
          <w:sz w:val="24"/>
          <w:shd w:fill="auto" w:val="clear"/>
        </w:rPr>
        <w:t xml:space="preserve"> </w:t>
      </w: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https://reader.elsevier.com/reader/sd/pii/S2255553617301465?token=A862AE23D994F8B1A956</w:t>
        </w:r>
      </w:hyperlink>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A2E061831952FC05B155845A4BFE973CC5ACEEF64345CAC50AD3CAEE9DC253293694A7</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C65D6C</w:t>
      </w: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1"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SAVAGE,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JOHNS,</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Food</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Allergy:</w:t>
      </w:r>
      <w:r>
        <w:rPr>
          <w:rFonts w:ascii="Times New Roman" w:hAnsi="Times New Roman" w:cs="Times New Roman" w:eastAsia="Times New Roman"/>
          <w:b/>
          <w:color w:val="auto"/>
          <w:spacing w:val="-1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Epidemiology</w:t>
      </w:r>
      <w:r>
        <w:rPr>
          <w:rFonts w:ascii="Times New Roman" w:hAnsi="Times New Roman" w:cs="Times New Roman" w:eastAsia="Times New Roman"/>
          <w:b/>
          <w:color w:val="auto"/>
          <w:spacing w:val="-1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and</w:t>
      </w:r>
      <w:r>
        <w:rPr>
          <w:rFonts w:ascii="Times New Roman" w:hAnsi="Times New Roman" w:cs="Times New Roman" w:eastAsia="Times New Roman"/>
          <w:b/>
          <w:color w:val="auto"/>
          <w:spacing w:val="-1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Natural</w:t>
      </w:r>
      <w:r>
        <w:rPr>
          <w:rFonts w:ascii="Times New Roman" w:hAnsi="Times New Roman" w:cs="Times New Roman" w:eastAsia="Times New Roman"/>
          <w:b/>
          <w:color w:val="auto"/>
          <w:spacing w:val="-14"/>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History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Immunol</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Clin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Am.</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n.1,</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p.45-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59,</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2015;</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Disponível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em&lt;</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https:/</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28">
        <w:r>
          <w:rPr>
            <w:rFonts w:ascii="Times New Roman" w:hAnsi="Times New Roman" w:cs="Times New Roman" w:eastAsia="Times New Roman"/>
            <w:color w:val="0000FF"/>
            <w:spacing w:val="0"/>
            <w:position w:val="0"/>
            <w:sz w:val="24"/>
            <w:u w:val="single"/>
            <w:shd w:fill="auto" w:val="clear"/>
          </w:rPr>
          <w:t xml:space="preserve">ncbi.nlm.nih.gov/pubmed/25459576</w:t>
        </w:r>
      </w:hyperlink>
      <w:r>
        <w:rPr>
          <w:rFonts w:ascii="Times New Roman" w:hAnsi="Times New Roman" w:cs="Times New Roman" w:eastAsia="Times New Roman"/>
          <w:color w:val="auto"/>
          <w:spacing w:val="0"/>
          <w:position w:val="0"/>
          <w:sz w:val="24"/>
          <w:shd w:fill="auto" w:val="clear"/>
        </w:rPr>
        <w:t xml:space="preserve">&gt;.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Acesso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229"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SOLÉ, Dirceu et al. </w:t>
      </w:r>
      <w:r>
        <w:rPr>
          <w:rFonts w:ascii="Times New Roman" w:hAnsi="Times New Roman" w:cs="Times New Roman" w:eastAsia="Times New Roman"/>
          <w:b/>
          <w:color w:val="auto"/>
          <w:spacing w:val="0"/>
          <w:position w:val="0"/>
          <w:sz w:val="24"/>
          <w:shd w:fill="auto" w:val="clear"/>
        </w:rPr>
        <w:t xml:space="preserve">Consenso Brasileiro sobre Alergia Alimentar: 2018-Parte 2-Diagnóstico,</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tratamento e prevençao</w:t>
      </w:r>
      <w:r>
        <w:rPr>
          <w:rFonts w:ascii="Times New Roman" w:hAnsi="Times New Roman" w:cs="Times New Roman" w:eastAsia="Times New Roman"/>
          <w:color w:val="auto"/>
          <w:spacing w:val="0"/>
          <w:position w:val="0"/>
          <w:sz w:val="24"/>
          <w:shd w:fill="auto" w:val="clear"/>
        </w:rPr>
        <w:t xml:space="preserve">. Documento conjunto elaborado pela Sociedade Brasileira de Pediatria 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Associaçao</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Brasileira</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Alergia</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Imunologia.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Brazilian</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Journal</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Allergy</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and</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Immunology,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w:t>
      </w:r>
      <w:r>
        <w:rPr>
          <w:rFonts w:ascii="Times New Roman" w:hAnsi="Times New Roman" w:cs="Times New Roman" w:eastAsia="Times New Roman"/>
          <w:color w:val="auto"/>
          <w:spacing w:val="-5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39-82,</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2018.</w:t>
      </w:r>
    </w:p>
    <w:p>
      <w:pPr>
        <w:spacing w:before="5"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0"/>
        <w:ind w:right="233"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SOLÉ, Dirceu et al. Guia prático de diagnóstico e tratamento da Alergia às Proteínas do Leite de</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Vaca mediada pela</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imunoglobulina</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E.</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Rev.</w:t>
      </w:r>
      <w:r>
        <w:rPr>
          <w:rFonts w:ascii="Times New Roman" w:hAnsi="Times New Roman" w:cs="Times New Roman" w:eastAsia="Times New Roman"/>
          <w:b/>
          <w:color w:val="212121"/>
          <w:spacing w:val="-1"/>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bras.</w:t>
      </w:r>
      <w:r>
        <w:rPr>
          <w:rFonts w:ascii="Times New Roman" w:hAnsi="Times New Roman" w:cs="Times New Roman" w:eastAsia="Times New Roman"/>
          <w:b/>
          <w:color w:val="212121"/>
          <w:spacing w:val="-2"/>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alerg.</w:t>
      </w:r>
      <w:r>
        <w:rPr>
          <w:rFonts w:ascii="Times New Roman" w:hAnsi="Times New Roman" w:cs="Times New Roman" w:eastAsia="Times New Roman"/>
          <w:b/>
          <w:color w:val="212121"/>
          <w:spacing w:val="3"/>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imunopatol.</w:t>
      </w:r>
      <w:r>
        <w:rPr>
          <w:rFonts w:ascii="Times New Roman" w:hAnsi="Times New Roman" w:cs="Times New Roman" w:eastAsia="Times New Roman"/>
          <w:b/>
          <w:color w:val="212121"/>
          <w:spacing w:val="0"/>
          <w:position w:val="0"/>
          <w:sz w:val="24"/>
          <w:shd w:fill="auto" w:val="clear"/>
        </w:rPr>
        <w:t xml:space="preserve">–</w:t>
      </w:r>
      <w:r>
        <w:rPr>
          <w:rFonts w:ascii="Times New Roman" w:hAnsi="Times New Roman" w:cs="Times New Roman" w:eastAsia="Times New Roman"/>
          <w:b/>
          <w:color w:val="212121"/>
          <w:spacing w:val="0"/>
          <w:position w:val="0"/>
          <w:sz w:val="24"/>
          <w:shd w:fill="auto" w:val="clear"/>
        </w:rPr>
        <w:t xml:space="preserve">Vol</w:t>
      </w:r>
      <w:r>
        <w:rPr>
          <w:rFonts w:ascii="Times New Roman" w:hAnsi="Times New Roman" w:cs="Times New Roman" w:eastAsia="Times New Roman"/>
          <w:color w:val="212121"/>
          <w:spacing w:val="0"/>
          <w:position w:val="0"/>
          <w:sz w:val="24"/>
          <w:shd w:fill="auto" w:val="clear"/>
        </w:rPr>
        <w:t xml:space="preserve">,</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35,</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n.</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6,</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2012.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 w:after="0" w:line="242"/>
        <w:ind w:right="232"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12121"/>
          <w:spacing w:val="0"/>
          <w:position w:val="0"/>
          <w:sz w:val="24"/>
          <w:shd w:fill="auto" w:val="clear"/>
        </w:rPr>
        <w:t xml:space="preserve">STADEN,</w:t>
      </w:r>
      <w:r>
        <w:rPr>
          <w:rFonts w:ascii="Times New Roman" w:hAnsi="Times New Roman" w:cs="Times New Roman" w:eastAsia="Times New Roman"/>
          <w:color w:val="212121"/>
          <w:spacing w:val="-1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U.</w:t>
      </w:r>
      <w:r>
        <w:rPr>
          <w:rFonts w:ascii="Times New Roman" w:hAnsi="Times New Roman" w:cs="Times New Roman" w:eastAsia="Times New Roman"/>
          <w:color w:val="212121"/>
          <w:spacing w:val="-13"/>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et</w:t>
      </w:r>
      <w:r>
        <w:rPr>
          <w:rFonts w:ascii="Times New Roman" w:hAnsi="Times New Roman" w:cs="Times New Roman" w:eastAsia="Times New Roman"/>
          <w:color w:val="212121"/>
          <w:spacing w:val="-9"/>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al.</w:t>
      </w:r>
      <w:r>
        <w:rPr>
          <w:rFonts w:ascii="Times New Roman" w:hAnsi="Times New Roman" w:cs="Times New Roman" w:eastAsia="Times New Roman"/>
          <w:color w:val="212121"/>
          <w:spacing w:val="-1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Specific</w:t>
      </w:r>
      <w:r>
        <w:rPr>
          <w:rFonts w:ascii="Times New Roman" w:hAnsi="Times New Roman" w:cs="Times New Roman" w:eastAsia="Times New Roman"/>
          <w:color w:val="212121"/>
          <w:spacing w:val="-1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oral</w:t>
      </w:r>
      <w:r>
        <w:rPr>
          <w:rFonts w:ascii="Times New Roman" w:hAnsi="Times New Roman" w:cs="Times New Roman" w:eastAsia="Times New Roman"/>
          <w:color w:val="212121"/>
          <w:spacing w:val="-1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tolerance</w:t>
      </w:r>
      <w:r>
        <w:rPr>
          <w:rFonts w:ascii="Times New Roman" w:hAnsi="Times New Roman" w:cs="Times New Roman" w:eastAsia="Times New Roman"/>
          <w:color w:val="212121"/>
          <w:spacing w:val="-1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induction</w:t>
      </w:r>
      <w:r>
        <w:rPr>
          <w:rFonts w:ascii="Times New Roman" w:hAnsi="Times New Roman" w:cs="Times New Roman" w:eastAsia="Times New Roman"/>
          <w:color w:val="212121"/>
          <w:spacing w:val="-1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in</w:t>
      </w:r>
      <w:r>
        <w:rPr>
          <w:rFonts w:ascii="Times New Roman" w:hAnsi="Times New Roman" w:cs="Times New Roman" w:eastAsia="Times New Roman"/>
          <w:color w:val="212121"/>
          <w:spacing w:val="-1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food</w:t>
      </w:r>
      <w:r>
        <w:rPr>
          <w:rFonts w:ascii="Times New Roman" w:hAnsi="Times New Roman" w:cs="Times New Roman" w:eastAsia="Times New Roman"/>
          <w:color w:val="212121"/>
          <w:spacing w:val="-1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allergy</w:t>
      </w:r>
      <w:r>
        <w:rPr>
          <w:rFonts w:ascii="Times New Roman" w:hAnsi="Times New Roman" w:cs="Times New Roman" w:eastAsia="Times New Roman"/>
          <w:color w:val="212121"/>
          <w:spacing w:val="-1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in</w:t>
      </w:r>
      <w:r>
        <w:rPr>
          <w:rFonts w:ascii="Times New Roman" w:hAnsi="Times New Roman" w:cs="Times New Roman" w:eastAsia="Times New Roman"/>
          <w:color w:val="212121"/>
          <w:spacing w:val="-1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children:</w:t>
      </w:r>
      <w:r>
        <w:rPr>
          <w:rFonts w:ascii="Times New Roman" w:hAnsi="Times New Roman" w:cs="Times New Roman" w:eastAsia="Times New Roman"/>
          <w:color w:val="212121"/>
          <w:spacing w:val="-1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efficacy</w:t>
      </w:r>
      <w:r>
        <w:rPr>
          <w:rFonts w:ascii="Times New Roman" w:hAnsi="Times New Roman" w:cs="Times New Roman" w:eastAsia="Times New Roman"/>
          <w:color w:val="212121"/>
          <w:spacing w:val="-10"/>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and</w:t>
      </w:r>
      <w:r>
        <w:rPr>
          <w:rFonts w:ascii="Times New Roman" w:hAnsi="Times New Roman" w:cs="Times New Roman" w:eastAsia="Times New Roman"/>
          <w:color w:val="212121"/>
          <w:spacing w:val="-1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clinical</w:t>
      </w:r>
      <w:r>
        <w:rPr>
          <w:rFonts w:ascii="Times New Roman" w:hAnsi="Times New Roman" w:cs="Times New Roman" w:eastAsia="Times New Roman"/>
          <w:color w:val="212121"/>
          <w:spacing w:val="-58"/>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patterns</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of</w:t>
      </w:r>
      <w:r>
        <w:rPr>
          <w:rFonts w:ascii="Times New Roman" w:hAnsi="Times New Roman" w:cs="Times New Roman" w:eastAsia="Times New Roman"/>
          <w:color w:val="212121"/>
          <w:spacing w:val="3"/>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reaction.</w:t>
      </w:r>
      <w:r>
        <w:rPr>
          <w:rFonts w:ascii="Times New Roman" w:hAnsi="Times New Roman" w:cs="Times New Roman" w:eastAsia="Times New Roman"/>
          <w:color w:val="212121"/>
          <w:spacing w:val="7"/>
          <w:position w:val="0"/>
          <w:sz w:val="24"/>
          <w:shd w:fill="auto" w:val="clear"/>
        </w:rPr>
        <w:t xml:space="preserve"> </w:t>
      </w:r>
      <w:r>
        <w:rPr>
          <w:rFonts w:ascii="Times New Roman" w:hAnsi="Times New Roman" w:cs="Times New Roman" w:eastAsia="Times New Roman"/>
          <w:b/>
          <w:color w:val="212121"/>
          <w:spacing w:val="0"/>
          <w:position w:val="0"/>
          <w:sz w:val="24"/>
          <w:shd w:fill="auto" w:val="clear"/>
        </w:rPr>
        <w:t xml:space="preserve">Allergy</w:t>
      </w:r>
      <w:r>
        <w:rPr>
          <w:rFonts w:ascii="Times New Roman" w:hAnsi="Times New Roman" w:cs="Times New Roman" w:eastAsia="Times New Roman"/>
          <w:color w:val="212121"/>
          <w:spacing w:val="0"/>
          <w:position w:val="0"/>
          <w:sz w:val="24"/>
          <w:shd w:fill="auto" w:val="clear"/>
        </w:rPr>
        <w:t xml:space="preserve">,</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v.</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62,</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n.</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11,</w:t>
      </w:r>
      <w:r>
        <w:rPr>
          <w:rFonts w:ascii="Times New Roman" w:hAnsi="Times New Roman" w:cs="Times New Roman" w:eastAsia="Times New Roman"/>
          <w:color w:val="212121"/>
          <w:spacing w:val="-1"/>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p.</w:t>
      </w:r>
      <w:r>
        <w:rPr>
          <w:rFonts w:ascii="Times New Roman" w:hAnsi="Times New Roman" w:cs="Times New Roman" w:eastAsia="Times New Roman"/>
          <w:color w:val="212121"/>
          <w:spacing w:val="-2"/>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1261-1269,</w:t>
      </w:r>
      <w:r>
        <w:rPr>
          <w:rFonts w:ascii="Times New Roman" w:hAnsi="Times New Roman" w:cs="Times New Roman" w:eastAsia="Times New Roman"/>
          <w:color w:val="212121"/>
          <w:spacing w:val="4"/>
          <w:position w:val="0"/>
          <w:sz w:val="24"/>
          <w:shd w:fill="auto" w:val="clear"/>
        </w:rPr>
        <w:t xml:space="preserve"> </w:t>
      </w:r>
      <w:r>
        <w:rPr>
          <w:rFonts w:ascii="Times New Roman" w:hAnsi="Times New Roman" w:cs="Times New Roman" w:eastAsia="Times New Roman"/>
          <w:color w:val="212121"/>
          <w:spacing w:val="0"/>
          <w:position w:val="0"/>
          <w:sz w:val="24"/>
          <w:shd w:fill="auto" w:val="clear"/>
        </w:rPr>
        <w:t xml:space="preserve">2007.</w:t>
      </w:r>
    </w:p>
    <w:p>
      <w:pPr>
        <w:spacing w:before="0" w:after="0" w:line="271"/>
        <w:ind w:right="0" w:left="233"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UBERTI,</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w:t>
      </w:r>
      <w:r>
        <w:rPr>
          <w:rFonts w:ascii="Times New Roman" w:hAnsi="Times New Roman" w:cs="Times New Roman" w:eastAsia="Times New Roman"/>
          <w:color w:val="auto"/>
          <w:spacing w:val="7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DANZI,</w:t>
      </w:r>
      <w:r>
        <w:rPr>
          <w:rFonts w:ascii="Times New Roman" w:hAnsi="Times New Roman" w:cs="Times New Roman" w:eastAsia="Times New Roman"/>
          <w:color w:val="auto"/>
          <w:spacing w:val="7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7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STOCKLEY,</w:t>
      </w:r>
      <w:r>
        <w:rPr>
          <w:rFonts w:ascii="Times New Roman" w:hAnsi="Times New Roman" w:cs="Times New Roman" w:eastAsia="Times New Roman"/>
          <w:color w:val="auto"/>
          <w:spacing w:val="7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7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PEÑAS,</w:t>
      </w:r>
      <w:r>
        <w:rPr>
          <w:rFonts w:ascii="Times New Roman" w:hAnsi="Times New Roman" w:cs="Times New Roman" w:eastAsia="Times New Roman"/>
          <w:color w:val="auto"/>
          <w:spacing w:val="7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w:t>
      </w:r>
      <w:r>
        <w:rPr>
          <w:rFonts w:ascii="Times New Roman" w:hAnsi="Times New Roman" w:cs="Times New Roman" w:eastAsia="Times New Roman"/>
          <w:color w:val="auto"/>
          <w:spacing w:val="7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BALLABIO,</w:t>
      </w:r>
      <w:r>
        <w:rPr>
          <w:rFonts w:ascii="Times New Roman" w:hAnsi="Times New Roman" w:cs="Times New Roman" w:eastAsia="Times New Roman"/>
          <w:color w:val="auto"/>
          <w:spacing w:val="7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7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LORENZO,</w:t>
      </w:r>
      <w:r>
        <w:rPr>
          <w:rFonts w:ascii="Times New Roman" w:hAnsi="Times New Roman" w:cs="Times New Roman" w:eastAsia="Times New Roman"/>
          <w:color w:val="auto"/>
          <w:spacing w:val="7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p>
    <w:p>
      <w:pPr>
        <w:spacing w:before="2" w:after="0" w:line="240"/>
        <w:ind w:right="222" w:left="2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TARANTINO,</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RESTANI,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Immunochemical</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investigation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of</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allergenic</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residues</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experimental and commercially-available wines fined with egg white proteins. Food Chemistry.</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v.159, 2014. Disponível em &lt; https:/</w:t>
      </w:r>
      <w:hyperlink xmlns:r="http://schemas.openxmlformats.org/officeDocument/2006/relationships" r:id="docRId29">
        <w:r>
          <w:rPr>
            <w:rFonts w:ascii="Times New Roman" w:hAnsi="Times New Roman" w:cs="Times New Roman" w:eastAsia="Times New Roman"/>
            <w:color w:val="0000FF"/>
            <w:spacing w:val="0"/>
            <w:position w:val="0"/>
            <w:sz w:val="24"/>
            <w:u w:val="single"/>
            <w:shd w:fill="auto" w:val="clear"/>
          </w:rPr>
          <w:t xml:space="preserve">/www</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30">
        <w:r>
          <w:rPr>
            <w:rFonts w:ascii="Times New Roman" w:hAnsi="Times New Roman" w:cs="Times New Roman" w:eastAsia="Times New Roman"/>
            <w:color w:val="0000FF"/>
            <w:spacing w:val="0"/>
            <w:position w:val="0"/>
            <w:sz w:val="24"/>
            <w:u w:val="single"/>
            <w:shd w:fill="auto" w:val="clear"/>
          </w:rPr>
          <w:t xml:space="preserve">ncbi.nlm.nih.gov/pubmed/24767065</w:t>
        </w:r>
      </w:hyperlink>
      <w:r>
        <w:rPr>
          <w:rFonts w:ascii="Times New Roman" w:hAnsi="Times New Roman" w:cs="Times New Roman" w:eastAsia="Times New Roman"/>
          <w:color w:val="auto"/>
          <w:spacing w:val="0"/>
          <w:position w:val="0"/>
          <w:sz w:val="24"/>
          <w:shd w:fill="auto" w:val="clear"/>
        </w:rPr>
        <w:t xml:space="preserve">&gt;. Acesso em 26</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out.</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2019.</w:t>
      </w:r>
    </w:p>
    <w:p>
      <w:pPr>
        <w:spacing w:before="9"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11">
    <w:abstractNumId w:val="36"/>
  </w:num>
  <w:num w:numId="17">
    <w:abstractNumId w:val="30"/>
  </w:num>
  <w:num w:numId="83">
    <w:abstractNumId w:val="24"/>
  </w:num>
  <w:num w:numId="95">
    <w:abstractNumId w:val="18"/>
  </w:num>
  <w:num w:numId="104">
    <w:abstractNumId w:val="12"/>
  </w:num>
  <w:num w:numId="120">
    <w:abstractNumId w:val="6"/>
  </w:num>
  <w:num w:numId="14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Mode="External" Target="http://www.revistas.ufg.br/REF/article/view/43433/pdf" Id="docRId14" Type="http://schemas.openxmlformats.org/officeDocument/2006/relationships/hyperlink" /><Relationship TargetMode="External" Target="http://www.ncbi.nlm.nih.gov/pubmed/19500710" Id="docRId23" Type="http://schemas.openxmlformats.org/officeDocument/2006/relationships/hyperlink" /><Relationship Target="embeddings/oleObject3.bin" Id="docRId6" Type="http://schemas.openxmlformats.org/officeDocument/2006/relationships/oleObject" /><Relationship Target="media/image0.wmf" Id="docRId1" Type="http://schemas.openxmlformats.org/officeDocument/2006/relationships/image" /><Relationship TargetMode="External" Target="http://www.ncbi.nlm.nih.gov/pubmed/21453811" Id="docRId15" Type="http://schemas.openxmlformats.org/officeDocument/2006/relationships/hyperlink" /><Relationship TargetMode="External" Target="http://www.ncbi.nlm.nih.gov/pubmed/19500710" Id="docRId22" Type="http://schemas.openxmlformats.org/officeDocument/2006/relationships/hyperlink" /><Relationship Target="media/image4.wmf" Id="docRId9" Type="http://schemas.openxmlformats.org/officeDocument/2006/relationships/image" /><Relationship Target="embeddings/oleObject0.bin" Id="docRId0" Type="http://schemas.openxmlformats.org/officeDocument/2006/relationships/oleObject" /><Relationship TargetMode="External" Target="http://www.scielo.br/scielo.php?script=sci_arttext&amp;pid=S0103-" Id="docRId12" Type="http://schemas.openxmlformats.org/officeDocument/2006/relationships/hyperlink" /><Relationship TargetMode="External" Target="http://www.ncbi.nlm.nih.gov/pubmed/29132673" Id="docRId21" Type="http://schemas.openxmlformats.org/officeDocument/2006/relationships/hyperlink" /><Relationship TargetMode="External" Target="http://www.ncbi.nlm.nih.gov/pubmed/24767065" Id="docRId29" Type="http://schemas.openxmlformats.org/officeDocument/2006/relationships/hyperlink" /><Relationship Target="embeddings/oleObject4.bin" Id="docRId8" Type="http://schemas.openxmlformats.org/officeDocument/2006/relationships/oleObject" /><Relationship TargetMode="External" Target="http://www.revistas.ufg.br/REF/article/view/43433/pdf" Id="docRId13" Type="http://schemas.openxmlformats.org/officeDocument/2006/relationships/hyperlink" /><Relationship TargetMode="External" Target="http://www.ncbi.nlm.nih.gov/pubmed/29132673" Id="docRId20" Type="http://schemas.openxmlformats.org/officeDocument/2006/relationships/hyperlink" /><Relationship TargetMode="External" Target="http://www.ncbi.nlm.nih.gov/pubmed/25459576" Id="docRId28"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www.ncbi.nlm.nih.gov/pubmed/25965316" Id="docRId18" Type="http://schemas.openxmlformats.org/officeDocument/2006/relationships/hyperlink" /><Relationship Target="embeddings/oleObject1.bin" Id="docRId2" Type="http://schemas.openxmlformats.org/officeDocument/2006/relationships/oleObject" /><Relationship TargetMode="External" Target="http://www.ncbi.nlm.nih.gov/pubmed/25459576" Id="docRId27" Type="http://schemas.openxmlformats.org/officeDocument/2006/relationships/hyperlink" /><Relationship TargetMode="External" Target="http://www.ncbi.nlm.nih.gov/pubmed/24767065" Id="docRId30" Type="http://schemas.openxmlformats.org/officeDocument/2006/relationships/hyperlink" /><Relationship Target="media/image5.wmf" Id="docRId11" Type="http://schemas.openxmlformats.org/officeDocument/2006/relationships/image" /><Relationship TargetMode="External" Target="http://www.scielo.mec.pt/scielo.php?script=sci_arttext&amp;pid=S0871-" Id="docRId19" Type="http://schemas.openxmlformats.org/officeDocument/2006/relationships/hyperlink" /><Relationship TargetMode="External" Target="https://reader.elsevier.com/reader/sd/pii/S2255553617301465?token=A862AE23D994F8B1A956" Id="docRId26" Type="http://schemas.openxmlformats.org/officeDocument/2006/relationships/hyperlink" /><Relationship Target="numbering.xml" Id="docRId31" Type="http://schemas.openxmlformats.org/officeDocument/2006/relationships/numbering" /><Relationship Target="media/image2.wmf" Id="docRId5" Type="http://schemas.openxmlformats.org/officeDocument/2006/relationships/image" /><Relationship TargetMode="External" Target="http://www.ncbi.nlm.nih.gov/pubmed/21453811" Id="docRId16" Type="http://schemas.openxmlformats.org/officeDocument/2006/relationships/hyperlink" /><Relationship TargetMode="External" Target="http://www.ncbi.nlm.nih.gov/pubmed/27608473" Id="docRId25" Type="http://schemas.openxmlformats.org/officeDocument/2006/relationships/hyperlink" /><Relationship Target="styles.xml" Id="docRId32" Type="http://schemas.openxmlformats.org/officeDocument/2006/relationships/styles" /><Relationship Target="embeddings/oleObject2.bin" Id="docRId4" Type="http://schemas.openxmlformats.org/officeDocument/2006/relationships/oleObject" /><Relationship TargetMode="External" Target="http://www.ncbi.nlm.nih.gov/pubmed/25965316" Id="docRId17" Type="http://schemas.openxmlformats.org/officeDocument/2006/relationships/hyperlink" /><Relationship TargetMode="External" Target="http://www.ncbi.nlm.nih.gov/pubmed/27608473" Id="docRId24" Type="http://schemas.openxmlformats.org/officeDocument/2006/relationships/hyperlink" /></Relationships>
</file>