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969DED1" w14:textId="77777777" w:rsidR="00F10AEE" w:rsidRPr="00B163A2" w:rsidRDefault="00000000" w:rsidP="00A366E4">
      <w:pPr>
        <w:spacing w:line="360" w:lineRule="auto"/>
        <w:jc w:val="center"/>
        <w:rPr>
          <w:rFonts w:ascii="Arial" w:eastAsiaTheme="minorEastAsia" w:hAnsi="Arial" w:cs="Arial"/>
          <w:b/>
          <w:bCs/>
          <w:color w:val="002F3C"/>
          <w:kern w:val="2"/>
          <w:lang w:eastAsia="zh-CN"/>
          <w14:ligatures w14:val="standardContextual"/>
        </w:rPr>
      </w:pPr>
      <w:bookmarkStart w:id="0" w:name="_heading=h.6uvpcygyqnv0" w:colFirst="0" w:colLast="0"/>
      <w:bookmarkEnd w:id="0"/>
      <w:r w:rsidRPr="00B163A2">
        <w:rPr>
          <w:rFonts w:ascii="Arial" w:eastAsiaTheme="minorEastAsia" w:hAnsi="Arial" w:cs="Arial"/>
          <w:b/>
          <w:bCs/>
          <w:color w:val="002F3C"/>
          <w:kern w:val="2"/>
          <w:lang w:eastAsia="zh-CN"/>
          <w14:ligatures w14:val="standardContextual"/>
        </w:rPr>
        <w:t>INTERNACIONALIZAÇÃO DO MUSEU ARQUEOLÓGICO ILHA</w:t>
      </w:r>
    </w:p>
    <w:p w14:paraId="0D95B5D2" w14:textId="77777777" w:rsidR="00F10AEE" w:rsidRPr="00B163A2" w:rsidRDefault="00000000" w:rsidP="00A366E4">
      <w:pPr>
        <w:spacing w:line="360" w:lineRule="auto"/>
        <w:jc w:val="center"/>
        <w:rPr>
          <w:rFonts w:ascii="Arial" w:eastAsiaTheme="minorEastAsia" w:hAnsi="Arial" w:cs="Arial"/>
          <w:b/>
          <w:bCs/>
          <w:color w:val="002F3C"/>
          <w:kern w:val="2"/>
          <w:lang w:eastAsia="zh-CN"/>
          <w14:ligatures w14:val="standardContextual"/>
        </w:rPr>
      </w:pPr>
      <w:r w:rsidRPr="00B163A2">
        <w:rPr>
          <w:rFonts w:ascii="Arial" w:eastAsiaTheme="minorEastAsia" w:hAnsi="Arial" w:cs="Arial"/>
          <w:b/>
          <w:bCs/>
          <w:color w:val="002F3C"/>
          <w:kern w:val="2"/>
          <w:lang w:eastAsia="zh-CN"/>
          <w14:ligatures w14:val="standardContextual"/>
        </w:rPr>
        <w:t>DE VERA CRUZ: ESTRATÉGIAS BILÍNGUES NA PROMOÇÃO</w:t>
      </w:r>
    </w:p>
    <w:p w14:paraId="436CEE1D" w14:textId="77777777" w:rsidR="00F10AEE" w:rsidRPr="00B163A2" w:rsidRDefault="00000000">
      <w:pPr>
        <w:spacing w:line="360" w:lineRule="auto"/>
        <w:jc w:val="center"/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</w:pPr>
      <w:r w:rsidRPr="00B163A2">
        <w:rPr>
          <w:rFonts w:ascii="Arial" w:eastAsiaTheme="minorEastAsia" w:hAnsi="Arial" w:cs="Arial"/>
          <w:b/>
          <w:bCs/>
          <w:color w:val="002F3C"/>
          <w:kern w:val="2"/>
          <w:lang w:eastAsia="zh-CN"/>
          <w14:ligatures w14:val="standardContextual"/>
        </w:rPr>
        <w:t>DE COMUNIDADE E TURISMO SUSTENTÁVEIS</w:t>
      </w:r>
    </w:p>
    <w:p w14:paraId="44F7AA8C" w14:textId="52F906B7" w:rsidR="00F10AEE" w:rsidRPr="00B163A2" w:rsidRDefault="00000000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</w:pPr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 xml:space="preserve">                                                       </w:t>
      </w:r>
      <w:proofErr w:type="spellStart"/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>Caren</w:t>
      </w:r>
      <w:proofErr w:type="spellEnd"/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 xml:space="preserve"> Cristina Bentes Batista – UEA – ccbb.lin22@uea.edu.br</w:t>
      </w:r>
    </w:p>
    <w:p w14:paraId="6C5698CB" w14:textId="36836A94" w:rsidR="00F10AEE" w:rsidRPr="00B163A2" w:rsidRDefault="00000000">
      <w:pPr>
        <w:spacing w:after="0" w:line="240" w:lineRule="auto"/>
        <w:jc w:val="center"/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</w:pPr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 xml:space="preserve">                                                       Mirna Kelly da Costa </w:t>
      </w:r>
      <w:proofErr w:type="spellStart"/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>Dinelly</w:t>
      </w:r>
      <w:proofErr w:type="spellEnd"/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 xml:space="preserve"> – UEA – mkdcd.lin22@uea.edu.br</w:t>
      </w:r>
    </w:p>
    <w:p w14:paraId="51309F14" w14:textId="4D0ABA09" w:rsidR="00F10AEE" w:rsidRPr="00B163A2" w:rsidRDefault="00000000">
      <w:pPr>
        <w:spacing w:after="0" w:line="240" w:lineRule="auto"/>
        <w:jc w:val="right"/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</w:pPr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 xml:space="preserve">Samantha de Cássia Dias Carvalho – </w:t>
      </w:r>
      <w:r w:rsidR="00E659DE"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>UEA</w:t>
      </w:r>
      <w:r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 xml:space="preserve"> – </w:t>
      </w:r>
      <w:r w:rsidR="00E659DE" w:rsidRPr="00B163A2">
        <w:rPr>
          <w:rFonts w:ascii="Arial" w:eastAsiaTheme="minorEastAsia" w:hAnsi="Arial" w:cs="Arial"/>
          <w:b/>
          <w:bCs/>
          <w:color w:val="002F3C"/>
          <w:kern w:val="2"/>
          <w:sz w:val="20"/>
          <w:szCs w:val="20"/>
          <w:lang w:eastAsia="zh-CN"/>
          <w14:ligatures w14:val="standardContextual"/>
        </w:rPr>
        <w:t>scdcarvalho@uea.edu.br</w:t>
      </w:r>
    </w:p>
    <w:p w14:paraId="51539B81" w14:textId="77777777" w:rsidR="00F10AEE" w:rsidRPr="00B163A2" w:rsidRDefault="00F10AEE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0F818A85" w14:textId="77777777" w:rsidR="00F10AEE" w:rsidRPr="00B163A2" w:rsidRDefault="00F10AEE">
      <w:pPr>
        <w:spacing w:after="0" w:line="240" w:lineRule="auto"/>
        <w:jc w:val="right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12A2DE82" w14:textId="3BAE4E0C" w:rsidR="00F10AEE" w:rsidRPr="00B163A2" w:rsidRDefault="00000000" w:rsidP="00A366E4">
      <w:pPr>
        <w:spacing w:after="0" w:line="240" w:lineRule="auto"/>
        <w:jc w:val="both"/>
        <w:rPr>
          <w:rFonts w:ascii="Arial" w:eastAsia="Arial" w:hAnsi="Arial" w:cs="Arial"/>
          <w:b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Eixo 02</w:t>
      </w:r>
      <w:r w:rsidR="00E659DE" w:rsidRPr="00B163A2">
        <w:rPr>
          <w:rFonts w:ascii="Arial" w:eastAsia="Arial" w:hAnsi="Arial" w:cs="Arial"/>
          <w:b/>
          <w:color w:val="002F3C"/>
          <w:sz w:val="20"/>
          <w:szCs w:val="20"/>
        </w:rPr>
        <w:t xml:space="preserve"> Educação, Ciência e Sustentabilidade Social</w:t>
      </w:r>
    </w:p>
    <w:p w14:paraId="513435A5" w14:textId="65C7285C" w:rsidR="00F10AEE" w:rsidRPr="00B163A2" w:rsidRDefault="00F10AEE">
      <w:pPr>
        <w:spacing w:line="240" w:lineRule="auto"/>
        <w:jc w:val="right"/>
        <w:rPr>
          <w:rFonts w:ascii="Arial" w:eastAsia="Arial" w:hAnsi="Arial" w:cs="Arial"/>
          <w:b/>
          <w:color w:val="002F3C"/>
        </w:rPr>
      </w:pPr>
    </w:p>
    <w:p w14:paraId="0942A368" w14:textId="77777777" w:rsidR="00F10AEE" w:rsidRPr="00B163A2" w:rsidRDefault="00F10AEE">
      <w:pPr>
        <w:spacing w:after="0" w:line="240" w:lineRule="auto"/>
        <w:rPr>
          <w:rFonts w:ascii="Arial" w:eastAsia="Arial" w:hAnsi="Arial" w:cs="Arial"/>
          <w:color w:val="002F3C"/>
          <w:sz w:val="20"/>
          <w:szCs w:val="20"/>
        </w:rPr>
      </w:pPr>
      <w:bookmarkStart w:id="1" w:name="_heading=h.30j0zll" w:colFirst="0" w:colLast="0"/>
      <w:bookmarkEnd w:id="1"/>
    </w:p>
    <w:p w14:paraId="6EE6BC83" w14:textId="2B774B7A" w:rsidR="001D7ADC" w:rsidRPr="001D7ADC" w:rsidRDefault="00000000" w:rsidP="001D7ADC">
      <w:pPr>
        <w:spacing w:after="0" w:line="240" w:lineRule="auto"/>
        <w:jc w:val="both"/>
        <w:rPr>
          <w:rFonts w:ascii="Arial" w:eastAsia="Arial" w:hAnsi="Arial" w:cs="Arial"/>
          <w:bCs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Resumo</w:t>
      </w:r>
      <w:r w:rsidRPr="00B163A2">
        <w:rPr>
          <w:rFonts w:ascii="Arial" w:eastAsia="Arial" w:hAnsi="Arial" w:cs="Arial"/>
          <w:bCs/>
          <w:color w:val="002F3C"/>
          <w:sz w:val="20"/>
          <w:szCs w:val="20"/>
        </w:rPr>
        <w:t xml:space="preserve">: </w:t>
      </w:r>
      <w:r w:rsidR="001D7ADC" w:rsidRPr="001D7ADC">
        <w:rPr>
          <w:rFonts w:ascii="Arial" w:eastAsia="Arial" w:hAnsi="Arial" w:cs="Arial"/>
          <w:bCs/>
          <w:color w:val="002F3C"/>
          <w:sz w:val="20"/>
          <w:szCs w:val="20"/>
        </w:rPr>
        <w:t xml:space="preserve">Este estudo aborda o processo de internacionalização do Museu Arqueológico da Ilha de Vera Cruz (MAIVC), em Maués/AM, patrimônio histórico-cultural com relevante potencial turístico regional e internacional. Vinculado </w:t>
      </w:r>
      <w:proofErr w:type="spellStart"/>
      <w:r w:rsidR="001D7ADC" w:rsidRPr="001D7ADC">
        <w:rPr>
          <w:rFonts w:ascii="Arial" w:eastAsia="Arial" w:hAnsi="Arial" w:cs="Arial"/>
          <w:bCs/>
          <w:color w:val="002F3C"/>
          <w:sz w:val="20"/>
          <w:szCs w:val="20"/>
        </w:rPr>
        <w:t>a</w:t>
      </w:r>
      <w:proofErr w:type="spellEnd"/>
      <w:r w:rsidR="001D7ADC" w:rsidRPr="001D7ADC">
        <w:rPr>
          <w:rFonts w:ascii="Arial" w:eastAsia="Arial" w:hAnsi="Arial" w:cs="Arial"/>
          <w:bCs/>
          <w:color w:val="002F3C"/>
          <w:sz w:val="20"/>
          <w:szCs w:val="20"/>
        </w:rPr>
        <w:t xml:space="preserve"> projeto de extensão da Universidade do Estado do Amazonas (UEA), em parceria com sua Assessoria de Relações Internacionais (ARI), propõe-se a “</w:t>
      </w:r>
      <w:proofErr w:type="spellStart"/>
      <w:r w:rsidR="001D7ADC" w:rsidRPr="001D7ADC">
        <w:rPr>
          <w:rFonts w:ascii="Arial" w:eastAsia="Arial" w:hAnsi="Arial" w:cs="Arial"/>
          <w:bCs/>
          <w:color w:val="002F3C"/>
          <w:sz w:val="20"/>
          <w:szCs w:val="20"/>
        </w:rPr>
        <w:t>desestrangeirar</w:t>
      </w:r>
      <w:proofErr w:type="spellEnd"/>
      <w:r w:rsidR="001D7ADC" w:rsidRPr="001D7ADC">
        <w:rPr>
          <w:rFonts w:ascii="Arial" w:eastAsia="Arial" w:hAnsi="Arial" w:cs="Arial"/>
          <w:bCs/>
          <w:color w:val="002F3C"/>
          <w:sz w:val="20"/>
          <w:szCs w:val="20"/>
        </w:rPr>
        <w:t xml:space="preserve"> para internacionalizar” o espaço, tornando-o mais acessível e atrativo ao público estrangeiro. Alinhado aos ODS 4, 11 e 16, busca salvaguardar o patrimônio cultural e promover turismo sustentável, consciente e educativo. Adota a pesquisa-ação como metodologia, envolvendo coleta de dados exploratória e participação ativa dos sujeitos. Esperam-se resultados práticos como produção de materiais bilíngues, uso do inglês como ferramenta de mediação cultural, adaptação da sinalização e capacitação de agentes locais. Tais ações visam consolidar o museu como espaço acessível, sustentável e internacionalmente conectado.</w:t>
      </w:r>
    </w:p>
    <w:p w14:paraId="3D51E4D6" w14:textId="24DAF2D0" w:rsidR="00F10AEE" w:rsidRDefault="00F10AEE">
      <w:pPr>
        <w:spacing w:after="0" w:line="240" w:lineRule="auto"/>
        <w:jc w:val="both"/>
        <w:rPr>
          <w:rFonts w:ascii="Arial" w:eastAsia="Arial" w:hAnsi="Arial" w:cs="Arial"/>
          <w:bCs/>
          <w:color w:val="002F3C"/>
          <w:sz w:val="20"/>
          <w:szCs w:val="20"/>
        </w:rPr>
      </w:pPr>
    </w:p>
    <w:p w14:paraId="3983B21B" w14:textId="77777777" w:rsidR="001D7ADC" w:rsidRPr="00B163A2" w:rsidRDefault="001D7ADC">
      <w:pPr>
        <w:spacing w:after="0" w:line="240" w:lineRule="auto"/>
        <w:jc w:val="both"/>
        <w:rPr>
          <w:rFonts w:ascii="Arial" w:eastAsia="Arial" w:hAnsi="Arial" w:cs="Arial"/>
          <w:bCs/>
          <w:color w:val="002F3C"/>
          <w:sz w:val="20"/>
          <w:szCs w:val="20"/>
        </w:rPr>
      </w:pPr>
    </w:p>
    <w:p w14:paraId="5C19073F" w14:textId="77777777" w:rsidR="00F10AEE" w:rsidRPr="00B163A2" w:rsidRDefault="00000000">
      <w:pPr>
        <w:spacing w:after="0" w:line="240" w:lineRule="auto"/>
        <w:jc w:val="both"/>
        <w:rPr>
          <w:rFonts w:ascii="Arial" w:eastAsia="Arial" w:hAnsi="Arial" w:cs="Arial"/>
          <w:bCs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Palavras-chave</w:t>
      </w:r>
      <w:r w:rsidRPr="00B163A2">
        <w:rPr>
          <w:rFonts w:ascii="Arial" w:eastAsia="Arial" w:hAnsi="Arial" w:cs="Arial"/>
          <w:bCs/>
          <w:color w:val="002F3C"/>
          <w:sz w:val="20"/>
          <w:szCs w:val="20"/>
        </w:rPr>
        <w:t xml:space="preserve">: </w:t>
      </w:r>
      <w:proofErr w:type="spellStart"/>
      <w:r w:rsidRPr="00B163A2">
        <w:rPr>
          <w:rFonts w:ascii="Arial" w:eastAsia="Arial" w:hAnsi="Arial" w:cs="Arial"/>
          <w:bCs/>
          <w:color w:val="002F3C"/>
          <w:sz w:val="20"/>
          <w:szCs w:val="20"/>
        </w:rPr>
        <w:t>Desestrangeiramento</w:t>
      </w:r>
      <w:proofErr w:type="spellEnd"/>
      <w:r w:rsidRPr="00B163A2">
        <w:rPr>
          <w:rFonts w:ascii="Arial" w:eastAsia="Arial" w:hAnsi="Arial" w:cs="Arial"/>
          <w:bCs/>
          <w:color w:val="002F3C"/>
          <w:sz w:val="20"/>
          <w:szCs w:val="20"/>
        </w:rPr>
        <w:t>; Internacionalização; Museu; Língua Inglesa.</w:t>
      </w:r>
    </w:p>
    <w:p w14:paraId="4737F08D" w14:textId="77777777" w:rsidR="00F10AEE" w:rsidRPr="00B163A2" w:rsidRDefault="00F10AEE">
      <w:pPr>
        <w:spacing w:after="0" w:line="360" w:lineRule="auto"/>
        <w:jc w:val="both"/>
        <w:rPr>
          <w:rFonts w:ascii="Arial" w:eastAsia="Arial" w:hAnsi="Arial" w:cs="Arial"/>
          <w:color w:val="002F3C"/>
        </w:rPr>
      </w:pPr>
      <w:bookmarkStart w:id="2" w:name="_heading=h.1fob9te" w:colFirst="0" w:colLast="0"/>
      <w:bookmarkEnd w:id="2"/>
    </w:p>
    <w:p w14:paraId="481423F1" w14:textId="77777777" w:rsidR="00F10AEE" w:rsidRPr="00B163A2" w:rsidRDefault="00000000" w:rsidP="00F82C36">
      <w:pPr>
        <w:spacing w:after="0" w:line="360" w:lineRule="auto"/>
        <w:jc w:val="center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b/>
          <w:color w:val="002F3C"/>
        </w:rPr>
        <w:t>Introdução</w:t>
      </w:r>
    </w:p>
    <w:p w14:paraId="47B3C2C5" w14:textId="77777777" w:rsidR="00F10AEE" w:rsidRPr="00B163A2" w:rsidRDefault="00F10AEE">
      <w:pPr>
        <w:spacing w:after="0" w:line="360" w:lineRule="auto"/>
        <w:jc w:val="both"/>
        <w:rPr>
          <w:rFonts w:ascii="Arial" w:eastAsia="Arial" w:hAnsi="Arial" w:cs="Arial"/>
          <w:color w:val="002F3C"/>
        </w:rPr>
      </w:pPr>
    </w:p>
    <w:p w14:paraId="7EFB5016" w14:textId="77777777" w:rsidR="00ED1920" w:rsidRPr="00ED1920" w:rsidRDefault="00ED1920" w:rsidP="00ED1920">
      <w:pPr>
        <w:keepNext/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ED1920">
        <w:rPr>
          <w:rFonts w:ascii="Arial" w:eastAsia="Arial" w:hAnsi="Arial" w:cs="Arial"/>
          <w:color w:val="002F3C"/>
        </w:rPr>
        <w:t>O Museu Arqueológico Ilha de Vera Cruz (MAIVC), localizado na comunidade homônima em frente à cidade de Maués, no estado do Amazonas, representa um espaço singular de preservação, valorização e difusão da memória histórica e cultural da região. Inserido em um território marcado pela presença ancestral indígena e por processos migratórios que moldaram sua identidade, o museu cumpre um papel essencial na salvaguarda de bens patrimoniais materiais e imateriais.</w:t>
      </w:r>
    </w:p>
    <w:p w14:paraId="0A3C5C7F" w14:textId="77777777" w:rsidR="00ED1920" w:rsidRPr="00ED1920" w:rsidRDefault="00ED1920" w:rsidP="00ED1920">
      <w:pPr>
        <w:keepNext/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ED1920">
        <w:rPr>
          <w:rFonts w:ascii="Arial" w:eastAsia="Arial" w:hAnsi="Arial" w:cs="Arial"/>
          <w:color w:val="002F3C"/>
        </w:rPr>
        <w:t xml:space="preserve">Em um contexto de crescente valorização do turismo cultural e sustentável, torna-se relevante investigar como iniciativas de internacionalização e estratégias </w:t>
      </w:r>
      <w:r w:rsidRPr="00ED1920">
        <w:rPr>
          <w:rFonts w:ascii="Arial" w:eastAsia="Arial" w:hAnsi="Arial" w:cs="Arial"/>
          <w:color w:val="002F3C"/>
        </w:rPr>
        <w:lastRenderedPageBreak/>
        <w:t>bilíngues podem ampliar sua visibilidade e potencializar sua função social, sem descaracterizar as tradições e saberes locais.</w:t>
      </w:r>
    </w:p>
    <w:p w14:paraId="48B53B65" w14:textId="77777777" w:rsidR="00ED1920" w:rsidRPr="00ED1920" w:rsidRDefault="00ED1920" w:rsidP="00ED1920">
      <w:pPr>
        <w:keepNext/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ED1920">
        <w:rPr>
          <w:rFonts w:ascii="Arial" w:eastAsia="Arial" w:hAnsi="Arial" w:cs="Arial"/>
          <w:color w:val="002F3C"/>
        </w:rPr>
        <w:t>Nesse sentido, a presente pesquisa adota a abordagem da pesquisa-ação a fim de propor práticas de “</w:t>
      </w:r>
      <w:proofErr w:type="spellStart"/>
      <w:r w:rsidRPr="00ED1920">
        <w:rPr>
          <w:rFonts w:ascii="Arial" w:eastAsia="Arial" w:hAnsi="Arial" w:cs="Arial"/>
          <w:color w:val="002F3C"/>
        </w:rPr>
        <w:t>desestrangeiramento</w:t>
      </w:r>
      <w:proofErr w:type="spellEnd"/>
      <w:r w:rsidRPr="00ED1920">
        <w:rPr>
          <w:rFonts w:ascii="Arial" w:eastAsia="Arial" w:hAnsi="Arial" w:cs="Arial"/>
          <w:color w:val="002F3C"/>
        </w:rPr>
        <w:t>” que favoreçam a aproximação de visitantes nacionais e estrangeiros, fortalecendo laços culturais e simbólicos. Fundamentada em conceitos de internacionalização, museologia acessível, paisagem linguística e turismo sustentável, a investigação considera a língua inglesa como instrumento estratégico para mediação cultural, promoção do acervo e fortalecimento da identidade local no cenário global.</w:t>
      </w:r>
    </w:p>
    <w:p w14:paraId="6BB46190" w14:textId="470CD486" w:rsidR="00ED1920" w:rsidRPr="004B2B46" w:rsidRDefault="00ED1920" w:rsidP="00ED1920">
      <w:pPr>
        <w:keepNext/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ED1920">
        <w:rPr>
          <w:rFonts w:ascii="Arial" w:eastAsia="Arial" w:hAnsi="Arial" w:cs="Arial"/>
          <w:color w:val="002F3C"/>
        </w:rPr>
        <w:t xml:space="preserve">O </w:t>
      </w:r>
      <w:proofErr w:type="spellStart"/>
      <w:r w:rsidRPr="00ED1920">
        <w:rPr>
          <w:rFonts w:ascii="Arial" w:eastAsia="Arial" w:hAnsi="Arial" w:cs="Arial"/>
          <w:color w:val="002F3C"/>
        </w:rPr>
        <w:t>subjprojeto</w:t>
      </w:r>
      <w:proofErr w:type="spellEnd"/>
      <w:r w:rsidRPr="00ED1920">
        <w:rPr>
          <w:rFonts w:ascii="Arial" w:eastAsia="Arial" w:hAnsi="Arial" w:cs="Arial"/>
          <w:color w:val="002F3C"/>
        </w:rPr>
        <w:t xml:space="preserve"> do projeto intitulado “</w:t>
      </w:r>
      <w:proofErr w:type="spellStart"/>
      <w:r w:rsidRPr="00ED1920">
        <w:rPr>
          <w:rFonts w:ascii="Arial" w:eastAsia="Arial" w:hAnsi="Arial" w:cs="Arial"/>
          <w:color w:val="002F3C"/>
        </w:rPr>
        <w:t>Desestrangeirando</w:t>
      </w:r>
      <w:proofErr w:type="spellEnd"/>
      <w:r w:rsidRPr="00ED1920">
        <w:rPr>
          <w:rFonts w:ascii="Arial" w:eastAsia="Arial" w:hAnsi="Arial" w:cs="Arial"/>
          <w:color w:val="002F3C"/>
        </w:rPr>
        <w:t xml:space="preserve"> para internacionalizar: UEA preparando o cidadão para o mundo”, busca contribuir para a construção de um modelo de comunicação que una preservação patrimonial, inclusão cultural e internacionalização</w:t>
      </w:r>
      <w:r w:rsidR="00F4280C">
        <w:rPr>
          <w:rFonts w:ascii="Arial" w:eastAsia="Arial" w:hAnsi="Arial" w:cs="Arial"/>
          <w:color w:val="002F3C"/>
        </w:rPr>
        <w:t xml:space="preserve"> através da adaptação d</w:t>
      </w:r>
      <w:r w:rsidRPr="00ED1920">
        <w:rPr>
          <w:rFonts w:ascii="Arial" w:eastAsia="Arial" w:hAnsi="Arial" w:cs="Arial"/>
          <w:color w:val="002F3C"/>
        </w:rPr>
        <w:t xml:space="preserve">o museu </w:t>
      </w:r>
      <w:r w:rsidR="00F4280C">
        <w:rPr>
          <w:rFonts w:ascii="Arial" w:eastAsia="Arial" w:hAnsi="Arial" w:cs="Arial"/>
          <w:color w:val="002F3C"/>
        </w:rPr>
        <w:t>para</w:t>
      </w:r>
      <w:r w:rsidRPr="00ED1920">
        <w:rPr>
          <w:rFonts w:ascii="Arial" w:eastAsia="Arial" w:hAnsi="Arial" w:cs="Arial"/>
          <w:color w:val="002F3C"/>
        </w:rPr>
        <w:t xml:space="preserve"> acolher público diverso</w:t>
      </w:r>
      <w:r w:rsidR="00F4280C">
        <w:rPr>
          <w:rFonts w:ascii="Arial" w:eastAsia="Arial" w:hAnsi="Arial" w:cs="Arial"/>
          <w:color w:val="002F3C"/>
        </w:rPr>
        <w:t>,</w:t>
      </w:r>
      <w:r w:rsidRPr="00ED1920">
        <w:rPr>
          <w:rFonts w:ascii="Arial" w:eastAsia="Arial" w:hAnsi="Arial" w:cs="Arial"/>
          <w:color w:val="002F3C"/>
        </w:rPr>
        <w:t xml:space="preserve"> sem descaracterizar sua essência histórica, cultural e simbólica.</w:t>
      </w:r>
      <w:r w:rsidR="00F4280C">
        <w:rPr>
          <w:rFonts w:ascii="Arial" w:eastAsia="Arial" w:hAnsi="Arial" w:cs="Arial"/>
          <w:color w:val="002F3C"/>
        </w:rPr>
        <w:t xml:space="preserve"> </w:t>
      </w:r>
      <w:r w:rsidR="004B2B46" w:rsidRPr="004B2B46">
        <w:rPr>
          <w:rFonts w:ascii="Arial" w:eastAsia="Arial" w:hAnsi="Arial" w:cs="Arial"/>
          <w:color w:val="002F3C"/>
        </w:rPr>
        <w:t>Este artigo, portanto, documenta as etapas iniciais e os resultados parciais deste processo de intervenção em curso.</w:t>
      </w:r>
    </w:p>
    <w:p w14:paraId="5E94BEB4" w14:textId="77777777" w:rsidR="00F10AEE" w:rsidRPr="00B163A2" w:rsidRDefault="00F10AEE">
      <w:pPr>
        <w:keepNext/>
        <w:spacing w:after="0" w:line="360" w:lineRule="auto"/>
        <w:jc w:val="both"/>
        <w:rPr>
          <w:rFonts w:ascii="Arial" w:eastAsia="Arial" w:hAnsi="Arial" w:cs="Arial"/>
          <w:color w:val="002F3C"/>
        </w:rPr>
      </w:pPr>
    </w:p>
    <w:p w14:paraId="591B3DCD" w14:textId="7FBE28B7" w:rsidR="00F82C36" w:rsidRPr="00B163A2" w:rsidRDefault="00F82C36" w:rsidP="00F82C36">
      <w:pPr>
        <w:keepNext/>
        <w:spacing w:after="240" w:line="360" w:lineRule="auto"/>
        <w:jc w:val="center"/>
        <w:rPr>
          <w:rFonts w:ascii="Arial" w:eastAsia="Arial" w:hAnsi="Arial" w:cs="Arial"/>
          <w:b/>
          <w:color w:val="002F3C"/>
        </w:rPr>
      </w:pPr>
      <w:r w:rsidRPr="00B163A2">
        <w:rPr>
          <w:rFonts w:ascii="Arial" w:eastAsia="Arial" w:hAnsi="Arial" w:cs="Arial"/>
          <w:b/>
          <w:color w:val="002F3C"/>
        </w:rPr>
        <w:t>Metodologia</w:t>
      </w:r>
    </w:p>
    <w:p w14:paraId="18B705C5" w14:textId="500262B9" w:rsidR="006E5721" w:rsidRPr="009E6D40" w:rsidRDefault="003C0908" w:rsidP="00F711D8">
      <w:pPr>
        <w:spacing w:after="0" w:line="360" w:lineRule="auto"/>
        <w:ind w:firstLine="720"/>
        <w:jc w:val="both"/>
        <w:rPr>
          <w:rFonts w:ascii="Arial" w:hAnsi="Arial" w:cs="Arial"/>
          <w:color w:val="002F3C"/>
        </w:rPr>
      </w:pPr>
      <w:r w:rsidRPr="009E6D40">
        <w:rPr>
          <w:rFonts w:ascii="Arial" w:hAnsi="Arial" w:cs="Arial"/>
          <w:color w:val="002F3C"/>
        </w:rPr>
        <w:t>A presente pesquisa caracteriza-se como uma pesquisa-ação (GIL, 2002; THIOLLENT, 2011), orientada por um desenho de métodos mistos (CRESWELL, 2007), abordagem que permite a integração de dados quantitativos e qualitativos para uma compreensão aprofundada do fenômeno (HERNANDEZ et al., 2013)</w:t>
      </w:r>
      <w:r w:rsidR="006E5721" w:rsidRPr="009E6D40">
        <w:rPr>
          <w:rFonts w:ascii="Arial" w:hAnsi="Arial" w:cs="Arial"/>
          <w:color w:val="002F3C"/>
        </w:rPr>
        <w:t xml:space="preserve">. Essa </w:t>
      </w:r>
      <w:r w:rsidRPr="009E6D40">
        <w:rPr>
          <w:rFonts w:ascii="Arial" w:hAnsi="Arial" w:cs="Arial"/>
          <w:color w:val="002F3C"/>
        </w:rPr>
        <w:t>escolha</w:t>
      </w:r>
      <w:r w:rsidR="006E5721" w:rsidRPr="009E6D40">
        <w:rPr>
          <w:rFonts w:ascii="Arial" w:hAnsi="Arial" w:cs="Arial"/>
          <w:color w:val="002F3C"/>
        </w:rPr>
        <w:t xml:space="preserve"> é adequada ao contexto do Museu Arqueológico Ilha de Vera Cruz (MAIVC), uma vez que busca a integração entre pesquisadores, comunidade e gestores locais para propor práticas de internacionalização culturalmente sensíveis.</w:t>
      </w:r>
      <w:r w:rsidR="009F6039" w:rsidRPr="009E6D40">
        <w:rPr>
          <w:rFonts w:ascii="Arial" w:hAnsi="Arial" w:cs="Arial"/>
          <w:color w:val="002F3C"/>
        </w:rPr>
        <w:t xml:space="preserve"> </w:t>
      </w:r>
    </w:p>
    <w:p w14:paraId="6DDB89AC" w14:textId="77777777" w:rsidR="009E6D40" w:rsidRDefault="006E5721" w:rsidP="00F711D8">
      <w:pPr>
        <w:spacing w:after="0" w:line="360" w:lineRule="auto"/>
        <w:ind w:firstLine="720"/>
        <w:jc w:val="both"/>
        <w:rPr>
          <w:rFonts w:ascii="Arial" w:hAnsi="Arial" w:cs="Arial"/>
          <w:color w:val="002F3C"/>
        </w:rPr>
      </w:pPr>
      <w:r w:rsidRPr="009E6D40">
        <w:rPr>
          <w:rFonts w:ascii="Arial" w:hAnsi="Arial" w:cs="Arial"/>
          <w:color w:val="002F3C"/>
        </w:rPr>
        <w:t xml:space="preserve">A metodologia articula-se aos princípios da Agenda 2030 da ONU e aos Objetivos de Desenvolvimento Sustentável (ODS), especialmente os ODS 4 (Educação de qualidade), ODS 11 (Cidades e comunidades sustentáveis) e ODS 16 </w:t>
      </w:r>
      <w:r w:rsidRPr="009E6D40">
        <w:rPr>
          <w:rFonts w:ascii="Arial" w:hAnsi="Arial" w:cs="Arial"/>
          <w:color w:val="002F3C"/>
        </w:rPr>
        <w:lastRenderedPageBreak/>
        <w:t>(Paz, justiça e instituições eficazes).</w:t>
      </w:r>
      <w:r w:rsidR="009E6D40">
        <w:rPr>
          <w:rFonts w:ascii="Arial" w:hAnsi="Arial" w:cs="Arial"/>
          <w:color w:val="002F3C"/>
        </w:rPr>
        <w:t xml:space="preserve"> </w:t>
      </w:r>
      <w:r w:rsidRPr="009E6D40">
        <w:rPr>
          <w:rFonts w:ascii="Arial" w:hAnsi="Arial" w:cs="Arial"/>
          <w:color w:val="002F3C"/>
        </w:rPr>
        <w:t>O processo metodológico foi organizado em quatro fases</w:t>
      </w:r>
      <w:r w:rsidR="00041255" w:rsidRPr="009E6D40">
        <w:rPr>
          <w:rFonts w:ascii="Arial" w:hAnsi="Arial" w:cs="Arial"/>
          <w:color w:val="002F3C"/>
        </w:rPr>
        <w:t>, como disposto na tabela a seguir</w:t>
      </w:r>
      <w:r w:rsidRPr="009E6D40">
        <w:rPr>
          <w:rFonts w:ascii="Arial" w:hAnsi="Arial" w:cs="Arial"/>
          <w:color w:val="002F3C"/>
        </w:rPr>
        <w:t>:</w:t>
      </w:r>
    </w:p>
    <w:p w14:paraId="7D3D8A10" w14:textId="77777777" w:rsidR="00F711D8" w:rsidRDefault="00F711D8" w:rsidP="00F711D8">
      <w:pPr>
        <w:spacing w:after="0" w:line="360" w:lineRule="auto"/>
        <w:ind w:firstLine="720"/>
        <w:jc w:val="both"/>
        <w:rPr>
          <w:rFonts w:ascii="Arial" w:hAnsi="Arial" w:cs="Arial"/>
          <w:color w:val="002F3C"/>
        </w:rPr>
      </w:pPr>
    </w:p>
    <w:tbl>
      <w:tblPr>
        <w:tblStyle w:val="Tabelacomgrade"/>
        <w:tblpPr w:leftFromText="141" w:rightFromText="141" w:vertAnchor="text" w:horzAnchor="margin" w:tblpY="462"/>
        <w:tblW w:w="9135" w:type="dxa"/>
        <w:tblLook w:val="04A0" w:firstRow="1" w:lastRow="0" w:firstColumn="1" w:lastColumn="0" w:noHBand="0" w:noVBand="1"/>
      </w:tblPr>
      <w:tblGrid>
        <w:gridCol w:w="1686"/>
        <w:gridCol w:w="7449"/>
      </w:tblGrid>
      <w:tr w:rsidR="009E6D40" w14:paraId="261736ED" w14:textId="77777777" w:rsidTr="009E6D40">
        <w:trPr>
          <w:trHeight w:val="324"/>
        </w:trPr>
        <w:tc>
          <w:tcPr>
            <w:tcW w:w="1686" w:type="dxa"/>
          </w:tcPr>
          <w:p w14:paraId="3BB5D992" w14:textId="77777777" w:rsidR="009E6D40" w:rsidRPr="003A290A" w:rsidRDefault="009E6D40" w:rsidP="009E6D40">
            <w:pPr>
              <w:keepNext/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  <w:t>Fase</w:t>
            </w:r>
          </w:p>
        </w:tc>
        <w:tc>
          <w:tcPr>
            <w:tcW w:w="7449" w:type="dxa"/>
          </w:tcPr>
          <w:p w14:paraId="4A688084" w14:textId="77777777" w:rsidR="009E6D40" w:rsidRPr="003A290A" w:rsidRDefault="009E6D40" w:rsidP="009E6D40">
            <w:pPr>
              <w:keepNext/>
              <w:spacing w:line="360" w:lineRule="auto"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  <w:t>Ações/atividades</w:t>
            </w:r>
          </w:p>
        </w:tc>
      </w:tr>
      <w:tr w:rsidR="009E6D40" w14:paraId="613CC54B" w14:textId="77777777" w:rsidTr="00DD0600">
        <w:trPr>
          <w:trHeight w:val="1615"/>
        </w:trPr>
        <w:tc>
          <w:tcPr>
            <w:tcW w:w="1686" w:type="dxa"/>
          </w:tcPr>
          <w:p w14:paraId="63A2D5F2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  <w:t>Fase 1 – Diagnóstico exploratório</w:t>
            </w:r>
          </w:p>
        </w:tc>
        <w:tc>
          <w:tcPr>
            <w:tcW w:w="7449" w:type="dxa"/>
          </w:tcPr>
          <w:p w14:paraId="78F6996D" w14:textId="77777777" w:rsidR="009E6D40" w:rsidRPr="003A290A" w:rsidRDefault="009E6D40" w:rsidP="009E6D40">
            <w:pPr>
              <w:keepNext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Pesquisa bibliográfica e documental: levantamento de referenciais sobre museologia, internacionalização, turismo sustentável, paisagem linguística e comunicação visual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2768D5BF" w14:textId="77777777" w:rsidR="009E6D40" w:rsidRPr="003A290A" w:rsidRDefault="009E6D40" w:rsidP="009E6D40">
            <w:pPr>
              <w:keepNext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Mapeamento do contexto local: coleta de dados secundários (relatórios da SECTUR, informações do IBGE e documentos da UNESCO)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7BDCD0A2" w14:textId="77777777" w:rsidR="009E6D40" w:rsidRPr="003A290A" w:rsidRDefault="009E6D40" w:rsidP="009E6D40">
            <w:pPr>
              <w:keepNext/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Observação in loco: análise preliminar do espaço físico e da paisagem linguística atual do museu (sinalização, materiais visuais e acessibilidade).</w:t>
            </w:r>
          </w:p>
        </w:tc>
      </w:tr>
      <w:tr w:rsidR="009E6D40" w14:paraId="20FA69F8" w14:textId="77777777" w:rsidTr="009E6D40">
        <w:trPr>
          <w:trHeight w:val="2085"/>
        </w:trPr>
        <w:tc>
          <w:tcPr>
            <w:tcW w:w="1686" w:type="dxa"/>
          </w:tcPr>
          <w:p w14:paraId="7369C48E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  <w:t>Fase 2 – Coleta de dados de campo</w:t>
            </w:r>
          </w:p>
          <w:p w14:paraId="3BA67485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</w:p>
        </w:tc>
        <w:tc>
          <w:tcPr>
            <w:tcW w:w="7449" w:type="dxa"/>
          </w:tcPr>
          <w:p w14:paraId="7BD0F2BF" w14:textId="77777777" w:rsidR="009E6D40" w:rsidRPr="003A290A" w:rsidRDefault="009E6D40" w:rsidP="009E6D40">
            <w:pPr>
              <w:keepNext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Questionários estruturados: aplicados a visitantes do museu, para identificar perfil sociocultural, necessidades de acessibilidade e percepção sobre a comunicação bilíngue (análise quantitativa)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19FD80D3" w14:textId="77777777" w:rsidR="009E6D40" w:rsidRPr="003A290A" w:rsidRDefault="009E6D40" w:rsidP="009E6D40">
            <w:pPr>
              <w:keepNext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Entrevistas semiestruturadas: realizadas com gestores do museu, membros da comunidade local e turistas, visando compreender expectativas, desafios e sugestões para o processo de internacionalização (análise qualitativa)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2D43E6CF" w14:textId="77777777" w:rsidR="009E6D40" w:rsidRPr="003A290A" w:rsidRDefault="009E6D40" w:rsidP="009E6D40">
            <w:pPr>
              <w:keepNext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Registro fotográfico e audiovisual: para documentar o estado atual da comunicação visual e das práticas de mediação cultural no espaço.</w:t>
            </w:r>
          </w:p>
        </w:tc>
      </w:tr>
      <w:tr w:rsidR="009E6D40" w14:paraId="46E6EF0F" w14:textId="77777777" w:rsidTr="009E6D40">
        <w:trPr>
          <w:trHeight w:val="2104"/>
        </w:trPr>
        <w:tc>
          <w:tcPr>
            <w:tcW w:w="1686" w:type="dxa"/>
          </w:tcPr>
          <w:p w14:paraId="41C00F9B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  <w:t>Fase 3 – Planejamento e implementação de ações</w:t>
            </w:r>
          </w:p>
          <w:p w14:paraId="00239636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</w:p>
        </w:tc>
        <w:tc>
          <w:tcPr>
            <w:tcW w:w="7449" w:type="dxa"/>
          </w:tcPr>
          <w:p w14:paraId="7046547B" w14:textId="77777777" w:rsidR="009E6D40" w:rsidRPr="003A290A" w:rsidRDefault="009E6D40" w:rsidP="009E6D40">
            <w:pPr>
              <w:keepNext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Produção de materiais bilíngues (português-inglês): folders, cartazes, sinalizações internas e conteúdos digitais para redes sociais, fundamentados em princípios de comunicação visual (Munari, 2006; Santaella, 2001)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5523DBBC" w14:textId="77777777" w:rsidR="009E6D40" w:rsidRPr="003A290A" w:rsidRDefault="009E6D40" w:rsidP="009E6D40">
            <w:pPr>
              <w:keepNext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Proposta de padronização da identidade visual: estudo de cores, tipografia e ícones universais que facilitem a compreensão intercultural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5BB1967C" w14:textId="77777777" w:rsidR="009E6D40" w:rsidRPr="003A290A" w:rsidRDefault="009E6D40" w:rsidP="009E6D40">
            <w:pPr>
              <w:keepNext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Oficinas de capacitação: treinamento básico em língua inglesa e em mediação cultural para agentes locais, fortalecendo a hospitalidade e a comunicação intercultural.</w:t>
            </w:r>
          </w:p>
        </w:tc>
      </w:tr>
      <w:tr w:rsidR="009E6D40" w14:paraId="20215EE6" w14:textId="77777777" w:rsidTr="009E6D40">
        <w:trPr>
          <w:trHeight w:val="1855"/>
        </w:trPr>
        <w:tc>
          <w:tcPr>
            <w:tcW w:w="1686" w:type="dxa"/>
          </w:tcPr>
          <w:p w14:paraId="246DEE63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  <w:t>Fase 4 – Avaliação e devolutiva</w:t>
            </w:r>
          </w:p>
          <w:p w14:paraId="285F20EF" w14:textId="77777777" w:rsidR="009E6D40" w:rsidRPr="003A290A" w:rsidRDefault="009E6D40" w:rsidP="009E6D40">
            <w:pPr>
              <w:keepNext/>
              <w:jc w:val="both"/>
              <w:rPr>
                <w:rFonts w:ascii="Arial" w:eastAsia="Arial" w:hAnsi="Arial" w:cs="Arial"/>
                <w:b/>
                <w:bCs/>
                <w:color w:val="002F3C"/>
                <w:sz w:val="20"/>
                <w:szCs w:val="20"/>
              </w:rPr>
            </w:pPr>
          </w:p>
        </w:tc>
        <w:tc>
          <w:tcPr>
            <w:tcW w:w="7449" w:type="dxa"/>
          </w:tcPr>
          <w:p w14:paraId="647F49E9" w14:textId="77777777" w:rsidR="009E6D40" w:rsidRPr="003A290A" w:rsidRDefault="009E6D40" w:rsidP="009E6D40">
            <w:pPr>
              <w:keepNext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Análise dos resultados: os dados quantitativos serão tratados por meio de estatística descritiva; os dados qualitativos, pela técnica de análise de conteúdo (Bardin, 2011)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02436EBA" w14:textId="77777777" w:rsidR="009E6D40" w:rsidRPr="003A290A" w:rsidRDefault="009E6D40" w:rsidP="009E6D40">
            <w:pPr>
              <w:keepNext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Avaliação participativa: retorno dos resultados à comunidade, gestores e parceiros institucionais, por meio de reuniões e rodas de conversa</w:t>
            </w:r>
            <w:r>
              <w:rPr>
                <w:rFonts w:ascii="Arial" w:eastAsia="Arial" w:hAnsi="Arial" w:cs="Arial"/>
                <w:color w:val="002F3C"/>
                <w:sz w:val="20"/>
                <w:szCs w:val="20"/>
              </w:rPr>
              <w:t>;</w:t>
            </w:r>
          </w:p>
          <w:p w14:paraId="6FFB8B71" w14:textId="77777777" w:rsidR="009E6D40" w:rsidRPr="003A290A" w:rsidRDefault="009E6D40" w:rsidP="009E6D40">
            <w:pPr>
              <w:keepNext/>
              <w:numPr>
                <w:ilvl w:val="0"/>
                <w:numId w:val="4"/>
              </w:numPr>
              <w:jc w:val="both"/>
              <w:rPr>
                <w:rFonts w:ascii="Arial" w:eastAsia="Arial" w:hAnsi="Arial" w:cs="Arial"/>
                <w:color w:val="002F3C"/>
                <w:sz w:val="20"/>
                <w:szCs w:val="20"/>
              </w:rPr>
            </w:pPr>
            <w:r w:rsidRPr="003A290A">
              <w:rPr>
                <w:rFonts w:ascii="Arial" w:eastAsia="Arial" w:hAnsi="Arial" w:cs="Arial"/>
                <w:color w:val="002F3C"/>
                <w:sz w:val="20"/>
                <w:szCs w:val="20"/>
              </w:rPr>
              <w:t>Ajustes e recomendações: com base no feedback, serão consolidadas orientações para garantir a continuidade do processo de internacionalização e sustentabilidade cultural do MAIVC.</w:t>
            </w:r>
          </w:p>
        </w:tc>
      </w:tr>
    </w:tbl>
    <w:p w14:paraId="092557A1" w14:textId="77777777" w:rsidR="009E6D40" w:rsidRDefault="00041255" w:rsidP="009E6D40">
      <w:pPr>
        <w:spacing w:line="360" w:lineRule="auto"/>
        <w:jc w:val="both"/>
        <w:rPr>
          <w:rFonts w:ascii="Arial" w:eastAsia="Arial" w:hAnsi="Arial" w:cs="Arial"/>
          <w:color w:val="002F3C"/>
          <w:sz w:val="20"/>
          <w:szCs w:val="20"/>
        </w:rPr>
      </w:pPr>
      <w:r w:rsidRPr="006302B2">
        <w:rPr>
          <w:rFonts w:ascii="Arial" w:eastAsia="Arial" w:hAnsi="Arial" w:cs="Arial"/>
          <w:b/>
          <w:bCs/>
          <w:color w:val="002F3C"/>
          <w:sz w:val="20"/>
          <w:szCs w:val="20"/>
        </w:rPr>
        <w:t>Tabela 1</w:t>
      </w:r>
      <w:r w:rsidRPr="00041255">
        <w:rPr>
          <w:rFonts w:ascii="Arial" w:eastAsia="Arial" w:hAnsi="Arial" w:cs="Arial"/>
          <w:color w:val="002F3C"/>
          <w:sz w:val="20"/>
          <w:szCs w:val="20"/>
        </w:rPr>
        <w:t xml:space="preserve"> – </w:t>
      </w:r>
      <w:r w:rsidR="008E6432" w:rsidRPr="008E6432">
        <w:rPr>
          <w:rFonts w:ascii="Arial" w:eastAsia="Arial" w:hAnsi="Arial" w:cs="Arial"/>
          <w:color w:val="002F3C"/>
          <w:sz w:val="20"/>
          <w:szCs w:val="20"/>
        </w:rPr>
        <w:t>Etapas metodológicas da pesquisa-ação para internacionalização do MAIVC</w:t>
      </w:r>
      <w:r w:rsidR="009E6D40">
        <w:rPr>
          <w:rFonts w:ascii="Arial" w:eastAsia="Arial" w:hAnsi="Arial" w:cs="Arial"/>
          <w:color w:val="002F3C"/>
          <w:sz w:val="20"/>
          <w:szCs w:val="20"/>
        </w:rPr>
        <w:t>.</w:t>
      </w:r>
    </w:p>
    <w:p w14:paraId="06039CA3" w14:textId="7B0BA77D" w:rsidR="003A290A" w:rsidRPr="003A290A" w:rsidRDefault="003A290A" w:rsidP="009E6D40">
      <w:pPr>
        <w:spacing w:line="360" w:lineRule="auto"/>
        <w:jc w:val="center"/>
        <w:rPr>
          <w:rFonts w:ascii="Arial" w:eastAsia="Arial" w:hAnsi="Arial" w:cs="Arial"/>
          <w:color w:val="002F3C"/>
          <w:sz w:val="20"/>
          <w:szCs w:val="20"/>
        </w:rPr>
      </w:pPr>
      <w:r w:rsidRPr="00041255">
        <w:rPr>
          <w:rFonts w:ascii="Arial" w:eastAsia="Arial" w:hAnsi="Arial" w:cs="Arial"/>
          <w:b/>
          <w:bCs/>
          <w:color w:val="002F3C"/>
          <w:sz w:val="20"/>
          <w:szCs w:val="20"/>
        </w:rPr>
        <w:t>Fonte:</w:t>
      </w:r>
      <w:r w:rsidRPr="003A290A">
        <w:rPr>
          <w:rFonts w:ascii="Arial" w:eastAsia="Arial" w:hAnsi="Arial" w:cs="Arial"/>
          <w:color w:val="002F3C"/>
          <w:sz w:val="20"/>
          <w:szCs w:val="20"/>
        </w:rPr>
        <w:t xml:space="preserve"> Elaboração própria (2025).</w:t>
      </w:r>
    </w:p>
    <w:p w14:paraId="4BCF3486" w14:textId="67997FBF" w:rsidR="006E5721" w:rsidRDefault="006E5721" w:rsidP="00F711D8">
      <w:pPr>
        <w:keepNext/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6E5721">
        <w:rPr>
          <w:rFonts w:ascii="Arial" w:eastAsia="Arial" w:hAnsi="Arial" w:cs="Arial"/>
          <w:color w:val="002F3C"/>
        </w:rPr>
        <w:t>Essa metodologia, ao integrar instrumentos quantitativos e qualitativos, aliada à participação comunitária, garante não apenas a coleta de informações confiáveis, mas também a construção conjunta de soluções que fortalecem o museu como espaço de salvaguarda patrimonial, de inclusão cultural e de promoção do turismo sustentável na Amazônia.</w:t>
      </w:r>
      <w:r w:rsidR="00F4280C">
        <w:rPr>
          <w:rFonts w:ascii="Arial" w:eastAsia="Arial" w:hAnsi="Arial" w:cs="Arial"/>
          <w:color w:val="002F3C"/>
        </w:rPr>
        <w:t xml:space="preserve"> </w:t>
      </w:r>
      <w:r w:rsidR="00F4280C" w:rsidRPr="00F4280C">
        <w:rPr>
          <w:rFonts w:ascii="Arial" w:eastAsia="Arial" w:hAnsi="Arial" w:cs="Arial"/>
          <w:color w:val="002F3C"/>
        </w:rPr>
        <w:t xml:space="preserve">É importante ressaltar que, no momento da submissão </w:t>
      </w:r>
      <w:r w:rsidR="00F4280C" w:rsidRPr="00F4280C">
        <w:rPr>
          <w:rFonts w:ascii="Arial" w:eastAsia="Arial" w:hAnsi="Arial" w:cs="Arial"/>
          <w:color w:val="002F3C"/>
        </w:rPr>
        <w:lastRenderedPageBreak/>
        <w:t xml:space="preserve">deste trabalho, as fases 1 e 2 foram </w:t>
      </w:r>
      <w:r w:rsidR="00F4280C">
        <w:rPr>
          <w:rFonts w:ascii="Arial" w:eastAsia="Arial" w:hAnsi="Arial" w:cs="Arial"/>
          <w:color w:val="002F3C"/>
        </w:rPr>
        <w:t xml:space="preserve">parcialmente </w:t>
      </w:r>
      <w:r w:rsidR="00F4280C" w:rsidRPr="00F4280C">
        <w:rPr>
          <w:rFonts w:ascii="Arial" w:eastAsia="Arial" w:hAnsi="Arial" w:cs="Arial"/>
          <w:color w:val="002F3C"/>
        </w:rPr>
        <w:t>concluídas, a Fase 3 está em plena execução e a Fase 4 está em estágio de planejamento.</w:t>
      </w:r>
    </w:p>
    <w:p w14:paraId="7128834B" w14:textId="77777777" w:rsidR="004C30DD" w:rsidRPr="006E5721" w:rsidRDefault="004C30DD" w:rsidP="004C30DD">
      <w:pPr>
        <w:keepNext/>
        <w:spacing w:after="0" w:line="360" w:lineRule="auto"/>
        <w:ind w:firstLine="360"/>
        <w:jc w:val="both"/>
        <w:rPr>
          <w:rFonts w:ascii="Arial" w:eastAsia="Arial" w:hAnsi="Arial" w:cs="Arial"/>
          <w:color w:val="002F3C"/>
        </w:rPr>
      </w:pPr>
    </w:p>
    <w:p w14:paraId="0B64EE23" w14:textId="6275C164" w:rsidR="00F10AEE" w:rsidRPr="00B163A2" w:rsidRDefault="00000000" w:rsidP="008372F8">
      <w:pPr>
        <w:keepNext/>
        <w:spacing w:after="240" w:line="360" w:lineRule="auto"/>
        <w:jc w:val="center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b/>
          <w:color w:val="002F3C"/>
        </w:rPr>
        <w:t xml:space="preserve">Internacionalização e </w:t>
      </w:r>
      <w:r w:rsidR="00B163A2">
        <w:rPr>
          <w:rFonts w:ascii="Arial" w:eastAsia="Arial" w:hAnsi="Arial" w:cs="Arial"/>
          <w:b/>
          <w:color w:val="002F3C"/>
        </w:rPr>
        <w:t>“</w:t>
      </w:r>
      <w:proofErr w:type="spellStart"/>
      <w:r w:rsidRPr="00B163A2">
        <w:rPr>
          <w:rFonts w:ascii="Arial" w:eastAsia="Arial" w:hAnsi="Arial" w:cs="Arial"/>
          <w:b/>
          <w:color w:val="002F3C"/>
        </w:rPr>
        <w:t>desestrangeira</w:t>
      </w:r>
      <w:r w:rsidR="00283050">
        <w:rPr>
          <w:rFonts w:ascii="Arial" w:eastAsia="Arial" w:hAnsi="Arial" w:cs="Arial"/>
          <w:b/>
          <w:color w:val="002F3C"/>
        </w:rPr>
        <w:t>mento</w:t>
      </w:r>
      <w:proofErr w:type="spellEnd"/>
      <w:r w:rsidR="00B163A2">
        <w:rPr>
          <w:rFonts w:ascii="Arial" w:eastAsia="Arial" w:hAnsi="Arial" w:cs="Arial"/>
          <w:b/>
          <w:color w:val="002F3C"/>
        </w:rPr>
        <w:t>”</w:t>
      </w:r>
      <w:r w:rsidRPr="00B163A2">
        <w:rPr>
          <w:rFonts w:ascii="Arial" w:eastAsia="Arial" w:hAnsi="Arial" w:cs="Arial"/>
          <w:b/>
          <w:color w:val="002F3C"/>
        </w:rPr>
        <w:t xml:space="preserve"> do Museu Arqueológico Ilha de Vera Cruz, em Maués/Amazonas</w:t>
      </w:r>
      <w:r w:rsidR="00F4280C">
        <w:rPr>
          <w:rFonts w:ascii="Arial" w:eastAsia="Arial" w:hAnsi="Arial" w:cs="Arial"/>
          <w:b/>
          <w:color w:val="002F3C"/>
        </w:rPr>
        <w:t>:</w:t>
      </w:r>
      <w:r w:rsidR="00F4280C" w:rsidRPr="00F4280C">
        <w:rPr>
          <w:b/>
          <w:bCs/>
        </w:rPr>
        <w:t xml:space="preserve"> </w:t>
      </w:r>
      <w:r w:rsidR="00F4280C">
        <w:rPr>
          <w:rFonts w:ascii="Arial" w:eastAsia="Arial" w:hAnsi="Arial" w:cs="Arial"/>
          <w:b/>
          <w:bCs/>
          <w:color w:val="002F3C"/>
        </w:rPr>
        <w:t>r</w:t>
      </w:r>
      <w:r w:rsidR="00F4280C" w:rsidRPr="00F4280C">
        <w:rPr>
          <w:rFonts w:ascii="Arial" w:eastAsia="Arial" w:hAnsi="Arial" w:cs="Arial"/>
          <w:b/>
          <w:bCs/>
          <w:color w:val="002F3C"/>
        </w:rPr>
        <w:t xml:space="preserve">esultados </w:t>
      </w:r>
      <w:r w:rsidR="00F4280C">
        <w:rPr>
          <w:rFonts w:ascii="Arial" w:eastAsia="Arial" w:hAnsi="Arial" w:cs="Arial"/>
          <w:b/>
          <w:bCs/>
          <w:color w:val="002F3C"/>
        </w:rPr>
        <w:t>p</w:t>
      </w:r>
      <w:r w:rsidR="00F4280C" w:rsidRPr="00F4280C">
        <w:rPr>
          <w:rFonts w:ascii="Arial" w:eastAsia="Arial" w:hAnsi="Arial" w:cs="Arial"/>
          <w:b/>
          <w:bCs/>
          <w:color w:val="002F3C"/>
        </w:rPr>
        <w:t xml:space="preserve">arciais e </w:t>
      </w:r>
      <w:r w:rsidR="00F4280C">
        <w:rPr>
          <w:rFonts w:ascii="Arial" w:eastAsia="Arial" w:hAnsi="Arial" w:cs="Arial"/>
          <w:b/>
          <w:bCs/>
          <w:color w:val="002F3C"/>
        </w:rPr>
        <w:t>d</w:t>
      </w:r>
      <w:r w:rsidR="00F4280C" w:rsidRPr="00F4280C">
        <w:rPr>
          <w:rFonts w:ascii="Arial" w:eastAsia="Arial" w:hAnsi="Arial" w:cs="Arial"/>
          <w:b/>
          <w:bCs/>
          <w:color w:val="002F3C"/>
        </w:rPr>
        <w:t>iscussão</w:t>
      </w:r>
    </w:p>
    <w:p w14:paraId="0C5B73C7" w14:textId="639A9D57" w:rsidR="00835BCF" w:rsidRDefault="00FF45D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 xml:space="preserve">O Museu Arqueológico Ilha de Vera Cruz (MAIVC), parte integrante na Comunidade Ilha da Vera Cruz, em frente à cidade de Maués, </w:t>
      </w:r>
      <w:r w:rsidR="008B4DF8" w:rsidRPr="008B4DF8">
        <w:rPr>
          <w:rFonts w:ascii="Arial" w:eastAsia="Arial" w:hAnsi="Arial" w:cs="Arial"/>
          <w:color w:val="002F3C"/>
        </w:rPr>
        <w:t xml:space="preserve">desempenha papel fundamental na preservação e difusão da memória regional, dialogando com estudos recentes sobre os acervos e as coleções patrimoniais em Maués </w:t>
      </w:r>
      <w:r w:rsidR="008B4DF8" w:rsidRPr="004D1DBC">
        <w:rPr>
          <w:rFonts w:ascii="Arial" w:eastAsia="Arial" w:hAnsi="Arial" w:cs="Arial"/>
          <w:color w:val="002F3C"/>
        </w:rPr>
        <w:t>(OLIVEIRA, 2024).</w:t>
      </w:r>
      <w:r w:rsidR="004D1DBC">
        <w:rPr>
          <w:rFonts w:ascii="Arial" w:eastAsia="Arial" w:hAnsi="Arial" w:cs="Arial"/>
          <w:color w:val="002F3C"/>
        </w:rPr>
        <w:t xml:space="preserve"> </w:t>
      </w:r>
      <w:r w:rsidRPr="00B163A2">
        <w:rPr>
          <w:rFonts w:ascii="Arial" w:eastAsia="Arial" w:hAnsi="Arial" w:cs="Arial"/>
          <w:color w:val="002F3C"/>
        </w:rPr>
        <w:t xml:space="preserve">De acordo com o Instituto Brasileiro de Geografia e Estatística (IBGE, 2022), o município possui aproximadamente 62 mil habitantes, com estimativa atual de 65 mil. </w:t>
      </w:r>
    </w:p>
    <w:p w14:paraId="48D193BE" w14:textId="1868ED11" w:rsidR="00FF45DC" w:rsidRDefault="00FF45D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>A cultura local é amplamente representada por registros históricos preservados e organizados nos museus da região, os quais documentam a trajetória dos povos indígenas originários, o desenvolvimento municipal e os processos migratórios. Os valores culturais ancestrais permanecem relevantes, integrando-se à vida social contemporânea.</w:t>
      </w:r>
    </w:p>
    <w:p w14:paraId="5EE34799" w14:textId="77777777" w:rsidR="00F711D8" w:rsidRDefault="00F711D8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</w:p>
    <w:p w14:paraId="31E7CA91" w14:textId="4FADFD2F" w:rsidR="00284DB5" w:rsidRDefault="00284DB5" w:rsidP="00284DB5">
      <w:pPr>
        <w:pBdr>
          <w:between w:val="nil"/>
        </w:pBdr>
        <w:spacing w:after="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 xml:space="preserve">Figura </w:t>
      </w:r>
      <w:r>
        <w:rPr>
          <w:rFonts w:ascii="Arial" w:eastAsia="Arial" w:hAnsi="Arial" w:cs="Arial"/>
          <w:b/>
          <w:color w:val="002F3C"/>
          <w:sz w:val="20"/>
          <w:szCs w:val="20"/>
        </w:rPr>
        <w:t>1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>:</w:t>
      </w:r>
      <w:r>
        <w:rPr>
          <w:rFonts w:ascii="Arial" w:eastAsia="Arial" w:hAnsi="Arial" w:cs="Arial"/>
          <w:color w:val="002F3C"/>
          <w:sz w:val="20"/>
          <w:szCs w:val="20"/>
        </w:rPr>
        <w:t xml:space="preserve"> Mapa mostrando a cidade Maués e a posição do MAIVC na comunidade de Vera Cruz.</w:t>
      </w:r>
      <w:r w:rsidR="009E6D40" w:rsidRPr="009E6D40">
        <w:rPr>
          <w:rFonts w:ascii="Arial" w:eastAsia="Arial" w:hAnsi="Arial" w:cs="Arial"/>
          <w:b/>
          <w:color w:val="002F3C"/>
          <w:sz w:val="20"/>
          <w:szCs w:val="20"/>
        </w:rPr>
        <w:t xml:space="preserve"> </w:t>
      </w:r>
      <w:r w:rsidR="009E6D40" w:rsidRPr="00284DB5">
        <w:rPr>
          <w:rFonts w:ascii="Arial" w:eastAsia="Arial" w:hAnsi="Arial" w:cs="Arial"/>
          <w:b/>
          <w:noProof/>
          <w:color w:val="002F3C"/>
          <w:sz w:val="20"/>
          <w:szCs w:val="20"/>
        </w:rPr>
        <w:drawing>
          <wp:inline distT="0" distB="0" distL="0" distR="0" wp14:anchorId="50D0C414" wp14:editId="2F495538">
            <wp:extent cx="5447370" cy="2716178"/>
            <wp:effectExtent l="0" t="0" r="1270" b="8255"/>
            <wp:docPr id="962232018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232018" name="Imagem 1" descr="Mapa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827" cy="27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6061D" w14:textId="453A85F0" w:rsidR="00284DB5" w:rsidRPr="00284DB5" w:rsidRDefault="00284DB5" w:rsidP="00284DB5">
      <w:pPr>
        <w:pBdr>
          <w:between w:val="nil"/>
        </w:pBdr>
        <w:spacing w:after="0" w:line="360" w:lineRule="auto"/>
        <w:ind w:right="100"/>
        <w:jc w:val="center"/>
        <w:rPr>
          <w:rFonts w:ascii="Arial" w:eastAsia="Arial" w:hAnsi="Arial" w:cs="Arial"/>
          <w:bCs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 xml:space="preserve">Fonte: </w:t>
      </w:r>
      <w:r w:rsidRPr="00284DB5">
        <w:rPr>
          <w:rFonts w:ascii="Arial" w:eastAsia="Arial" w:hAnsi="Arial" w:cs="Arial"/>
          <w:bCs/>
          <w:color w:val="002F3C"/>
          <w:sz w:val="20"/>
          <w:szCs w:val="20"/>
        </w:rPr>
        <w:t>Elabora</w:t>
      </w:r>
      <w:r>
        <w:rPr>
          <w:rFonts w:ascii="Arial" w:eastAsia="Arial" w:hAnsi="Arial" w:cs="Arial"/>
          <w:bCs/>
          <w:color w:val="002F3C"/>
          <w:sz w:val="20"/>
          <w:szCs w:val="20"/>
        </w:rPr>
        <w:t>ção própria</w:t>
      </w:r>
      <w:r w:rsidRPr="00284DB5">
        <w:rPr>
          <w:rFonts w:ascii="Arial" w:eastAsia="Arial" w:hAnsi="Arial" w:cs="Arial"/>
          <w:bCs/>
          <w:color w:val="002F3C"/>
          <w:sz w:val="20"/>
          <w:szCs w:val="20"/>
        </w:rPr>
        <w:t xml:space="preserve">, com base em dados do </w:t>
      </w:r>
      <w:r w:rsidRPr="00DD0600">
        <w:rPr>
          <w:rFonts w:ascii="Arial" w:eastAsia="Arial" w:hAnsi="Arial" w:cs="Arial"/>
          <w:bCs/>
          <w:i/>
          <w:iCs/>
          <w:color w:val="002F3C"/>
          <w:sz w:val="20"/>
          <w:szCs w:val="20"/>
        </w:rPr>
        <w:t>Google Maps</w:t>
      </w:r>
      <w:r w:rsidR="000D48CC">
        <w:rPr>
          <w:rFonts w:ascii="Arial" w:eastAsia="Arial" w:hAnsi="Arial" w:cs="Arial"/>
          <w:bCs/>
          <w:color w:val="002F3C"/>
          <w:sz w:val="20"/>
          <w:szCs w:val="20"/>
        </w:rPr>
        <w:t xml:space="preserve"> (2025)</w:t>
      </w:r>
      <w:r>
        <w:rPr>
          <w:rFonts w:ascii="Arial" w:eastAsia="Arial" w:hAnsi="Arial" w:cs="Arial"/>
          <w:bCs/>
          <w:color w:val="002F3C"/>
          <w:sz w:val="20"/>
          <w:szCs w:val="20"/>
        </w:rPr>
        <w:t>.</w:t>
      </w:r>
    </w:p>
    <w:p w14:paraId="07FAF472" w14:textId="6EC6E4FB" w:rsidR="00284DB5" w:rsidRDefault="00284DB5" w:rsidP="00284DB5">
      <w:pPr>
        <w:pBdr>
          <w:between w:val="nil"/>
        </w:pBdr>
        <w:spacing w:after="0" w:line="360" w:lineRule="auto"/>
        <w:ind w:right="100"/>
        <w:jc w:val="center"/>
        <w:rPr>
          <w:rFonts w:ascii="Arial" w:eastAsia="Arial" w:hAnsi="Arial" w:cs="Arial"/>
          <w:color w:val="002F3C"/>
        </w:rPr>
      </w:pPr>
      <w:r w:rsidRPr="00284DB5">
        <w:rPr>
          <w:rFonts w:ascii="Arial" w:eastAsia="Arial" w:hAnsi="Arial" w:cs="Arial"/>
          <w:noProof/>
          <w:color w:val="002F3C"/>
        </w:rPr>
        <w:lastRenderedPageBreak/>
        <w:drawing>
          <wp:anchor distT="0" distB="0" distL="114300" distR="114300" simplePos="0" relativeHeight="251663360" behindDoc="0" locked="0" layoutInCell="1" allowOverlap="1" wp14:anchorId="059822A2" wp14:editId="7F3FD96E">
            <wp:simplePos x="0" y="0"/>
            <wp:positionH relativeFrom="column">
              <wp:posOffset>758190</wp:posOffset>
            </wp:positionH>
            <wp:positionV relativeFrom="paragraph">
              <wp:posOffset>266700</wp:posOffset>
            </wp:positionV>
            <wp:extent cx="4210050" cy="2859405"/>
            <wp:effectExtent l="0" t="0" r="0" b="0"/>
            <wp:wrapTopAndBottom/>
            <wp:docPr id="17" name="Imagem 31" descr="Uma imagem contendo no interior, foto, vivendo, quarto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0D850300-D01C-B45F-C74A-76F75AE54E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31" descr="Uma imagem contendo no interior, foto, vivendo, quarto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0D850300-D01C-B45F-C74A-76F75AE54EF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Figura 2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 xml:space="preserve">: </w:t>
      </w:r>
      <w:r>
        <w:rPr>
          <w:rFonts w:ascii="Arial" w:eastAsia="Arial" w:hAnsi="Arial" w:cs="Arial"/>
          <w:color w:val="002F3C"/>
          <w:sz w:val="20"/>
          <w:szCs w:val="20"/>
        </w:rPr>
        <w:t>Fotos do Museu Arqueológico Ilha de Vera Cruz (MAIVC).</w:t>
      </w:r>
    </w:p>
    <w:p w14:paraId="75518A58" w14:textId="35AA1785" w:rsidR="00284DB5" w:rsidRDefault="00284DB5" w:rsidP="00284DB5">
      <w:pPr>
        <w:pBdr>
          <w:between w:val="nil"/>
        </w:pBdr>
        <w:spacing w:after="0" w:line="360" w:lineRule="auto"/>
        <w:ind w:right="100"/>
        <w:jc w:val="center"/>
        <w:rPr>
          <w:rFonts w:ascii="Arial" w:eastAsia="Arial" w:hAnsi="Arial" w:cs="Arial"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t>Fonte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 xml:space="preserve">: </w:t>
      </w:r>
      <w:r>
        <w:rPr>
          <w:rFonts w:ascii="Arial" w:eastAsia="Arial" w:hAnsi="Arial" w:cs="Arial"/>
          <w:color w:val="002F3C"/>
          <w:sz w:val="20"/>
          <w:szCs w:val="20"/>
        </w:rPr>
        <w:t>Acervo pessoal.</w:t>
      </w:r>
    </w:p>
    <w:p w14:paraId="7771AA15" w14:textId="77777777" w:rsidR="00284DB5" w:rsidRDefault="00284DB5" w:rsidP="00284DB5">
      <w:pPr>
        <w:pBdr>
          <w:between w:val="nil"/>
        </w:pBdr>
        <w:spacing w:after="0" w:line="360" w:lineRule="auto"/>
        <w:ind w:right="100"/>
        <w:jc w:val="both"/>
        <w:rPr>
          <w:rFonts w:ascii="Arial" w:eastAsia="Arial" w:hAnsi="Arial" w:cs="Arial"/>
          <w:color w:val="002F3C"/>
        </w:rPr>
      </w:pPr>
    </w:p>
    <w:p w14:paraId="6C7E280F" w14:textId="77777777" w:rsidR="00F904B9" w:rsidRDefault="00FF45D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 xml:space="preserve">Em consonância com a definição aprovada em 24 de agosto de 2022 pela Conferência Geral do Conselho Internacional de Museus, entende-se que o museu é uma instituição permanente, sem fins lucrativos, a serviço da sociedade, que pesquisa, coleciona, conserva, interpreta e expõe patrimônio material e imaterial. Deve ser acessível, inclusivo, ético e comprometido com a participação comunitária, oferecendo experiências voltadas à educação, reflexão e partilha de conhecimentos. </w:t>
      </w:r>
    </w:p>
    <w:p w14:paraId="1C229DDC" w14:textId="1C2903A9" w:rsidR="00FF45DC" w:rsidRPr="00B163A2" w:rsidRDefault="00FF45D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>Nesse sentido, o MAIVC está apto a ampliar sua abertura ao público e a desempenhar funções socioculturais, promovendo a exposição sustentável de seu acervo e disseminando informações históricas e culturais da região. Sua atuação favorece o intercâmbio de saberes com a comunidade e valoriza o conhecimento adquirido por turistas, pesquisadores e estudantes, gerando imagem positiva e potencializando a atração de novos visitantes.</w:t>
      </w:r>
    </w:p>
    <w:p w14:paraId="6CD945A3" w14:textId="4170E0F1" w:rsidR="00FF45DC" w:rsidRPr="00B163A2" w:rsidRDefault="00FF45D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>Apesar disso, identifica-se a necessidade de maior divulgação local para intensificar a visitação e consolidar o museu como destino turístico. Soma-se a esse desafio a limitação de acessibilidade e de visibilidade junto a públicos estrangeiros, o que demanda estratégias de “</w:t>
      </w:r>
      <w:proofErr w:type="spellStart"/>
      <w:r w:rsidRPr="00B163A2">
        <w:rPr>
          <w:rFonts w:ascii="Arial" w:eastAsia="Arial" w:hAnsi="Arial" w:cs="Arial"/>
          <w:color w:val="002F3C"/>
        </w:rPr>
        <w:t>desestrangeiramento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” para fins de </w:t>
      </w:r>
      <w:r w:rsidRPr="00B163A2">
        <w:rPr>
          <w:rFonts w:ascii="Arial" w:eastAsia="Arial" w:hAnsi="Arial" w:cs="Arial"/>
          <w:color w:val="002F3C"/>
        </w:rPr>
        <w:lastRenderedPageBreak/>
        <w:t>internacionalização, preservando-se os saberes locais e fortalecendo a identidade cultural da comunidade. O termo “</w:t>
      </w:r>
      <w:proofErr w:type="spellStart"/>
      <w:r w:rsidRPr="00B163A2">
        <w:rPr>
          <w:rFonts w:ascii="Arial" w:eastAsia="Arial" w:hAnsi="Arial" w:cs="Arial"/>
          <w:color w:val="002F3C"/>
        </w:rPr>
        <w:t>desestrangeirar</w:t>
      </w:r>
      <w:proofErr w:type="spellEnd"/>
      <w:r w:rsidRPr="00B163A2">
        <w:rPr>
          <w:rFonts w:ascii="Arial" w:eastAsia="Arial" w:hAnsi="Arial" w:cs="Arial"/>
          <w:color w:val="002F3C"/>
        </w:rPr>
        <w:t>”, embora ainda não consolidado como conceito técnico, pode ser compreendido como o ato de reduzir a sensação de estranhamento e distanciamento cultural entre visitantes e comunidade anfitriã, favorecendo a aproximação simbólica e a participação em experiências locais.</w:t>
      </w:r>
    </w:p>
    <w:p w14:paraId="4737300D" w14:textId="727425C1" w:rsidR="00FF45DC" w:rsidRPr="00B163A2" w:rsidRDefault="00FF45D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 xml:space="preserve">A perspectiva antropológica de Geertz (2017) aponta que interpretar uma cultura implica decifrar significados próprios, aproximando o que inicialmente é percebido como estranho. No campo do turismo, </w:t>
      </w:r>
      <w:proofErr w:type="spellStart"/>
      <w:r w:rsidRPr="00B163A2">
        <w:rPr>
          <w:rFonts w:ascii="Arial" w:eastAsia="Arial" w:hAnsi="Arial" w:cs="Arial"/>
          <w:color w:val="002F3C"/>
        </w:rPr>
        <w:t>Bhabha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(2013) define o “</w:t>
      </w:r>
      <w:proofErr w:type="spellStart"/>
      <w:r w:rsidRPr="00B163A2">
        <w:rPr>
          <w:rFonts w:ascii="Arial" w:eastAsia="Arial" w:hAnsi="Arial" w:cs="Arial"/>
          <w:color w:val="002F3C"/>
        </w:rPr>
        <w:t>entre-lugar</w:t>
      </w:r>
      <w:proofErr w:type="spellEnd"/>
      <w:r w:rsidRPr="00B163A2">
        <w:rPr>
          <w:rFonts w:ascii="Arial" w:eastAsia="Arial" w:hAnsi="Arial" w:cs="Arial"/>
          <w:color w:val="002F3C"/>
        </w:rPr>
        <w:t>” como espaço de negociação e hibridização cultural, onde identidades se reconstroem sem perder suas raízes. Assim, “</w:t>
      </w:r>
      <w:proofErr w:type="spellStart"/>
      <w:r w:rsidRPr="00B163A2">
        <w:rPr>
          <w:rFonts w:ascii="Arial" w:eastAsia="Arial" w:hAnsi="Arial" w:cs="Arial"/>
          <w:color w:val="002F3C"/>
        </w:rPr>
        <w:t>desestrangeirar</w:t>
      </w:r>
      <w:proofErr w:type="spellEnd"/>
      <w:r w:rsidRPr="00B163A2">
        <w:rPr>
          <w:rFonts w:ascii="Arial" w:eastAsia="Arial" w:hAnsi="Arial" w:cs="Arial"/>
          <w:color w:val="002F3C"/>
        </w:rPr>
        <w:t>” requer práticas de mediação linguística e cultural que simultaneamente acolham o visitante e reforcem a identidade local.</w:t>
      </w:r>
    </w:p>
    <w:p w14:paraId="199F9694" w14:textId="33EDEC18" w:rsidR="00ED1920" w:rsidRPr="00B163A2" w:rsidRDefault="00ED1920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>Nesse contexto, a inclusão da língua inglesa como ferramenta de mediação constitui estratégia essencial, pois amplia o alcance do acervo e facilita o diálogo intercultural. A mediação linguística assume, portanto, papel estratégico em destinos turísticos. Crystal (2003, p. 6) afirma que “</w:t>
      </w:r>
      <w:proofErr w:type="spellStart"/>
      <w:r w:rsidRPr="00B163A2">
        <w:rPr>
          <w:rFonts w:ascii="Arial" w:eastAsia="Arial" w:hAnsi="Arial" w:cs="Arial"/>
          <w:color w:val="002F3C"/>
        </w:rPr>
        <w:t>English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has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become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the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global </w:t>
      </w:r>
      <w:proofErr w:type="spellStart"/>
      <w:r w:rsidRPr="00B163A2">
        <w:rPr>
          <w:rFonts w:ascii="Arial" w:eastAsia="Arial" w:hAnsi="Arial" w:cs="Arial"/>
          <w:color w:val="002F3C"/>
        </w:rPr>
        <w:t>language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, </w:t>
      </w:r>
      <w:proofErr w:type="spellStart"/>
      <w:r w:rsidRPr="00B163A2">
        <w:rPr>
          <w:rFonts w:ascii="Arial" w:eastAsia="Arial" w:hAnsi="Arial" w:cs="Arial"/>
          <w:color w:val="002F3C"/>
        </w:rPr>
        <w:t>serving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as a bridge for communication </w:t>
      </w:r>
      <w:proofErr w:type="spellStart"/>
      <w:r w:rsidRPr="00B163A2">
        <w:rPr>
          <w:rFonts w:ascii="Arial" w:eastAsia="Arial" w:hAnsi="Arial" w:cs="Arial"/>
          <w:color w:val="002F3C"/>
        </w:rPr>
        <w:t>between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people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of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different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linguistic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spellStart"/>
      <w:r w:rsidRPr="00B163A2">
        <w:rPr>
          <w:rFonts w:ascii="Arial" w:eastAsia="Arial" w:hAnsi="Arial" w:cs="Arial"/>
          <w:color w:val="002F3C"/>
        </w:rPr>
        <w:t>and</w:t>
      </w:r>
      <w:proofErr w:type="spellEnd"/>
      <w:r w:rsidRPr="00B163A2">
        <w:rPr>
          <w:rFonts w:ascii="Arial" w:eastAsia="Arial" w:hAnsi="Arial" w:cs="Arial"/>
          <w:color w:val="002F3C"/>
        </w:rPr>
        <w:t xml:space="preserve"> </w:t>
      </w:r>
      <w:proofErr w:type="gramStart"/>
      <w:r w:rsidRPr="00B163A2">
        <w:rPr>
          <w:rFonts w:ascii="Arial" w:eastAsia="Arial" w:hAnsi="Arial" w:cs="Arial"/>
          <w:color w:val="002F3C"/>
        </w:rPr>
        <w:t>cultural backgrounds”</w:t>
      </w:r>
      <w:proofErr w:type="gramEnd"/>
      <w:r w:rsidRPr="00B163A2">
        <w:rPr>
          <w:rFonts w:ascii="Arial" w:eastAsia="Arial" w:hAnsi="Arial" w:cs="Arial"/>
          <w:color w:val="002F3C"/>
        </w:rPr>
        <w:t>, ou seja, o inglês tornou-se língua global, atuando como ponte de comunicação entre pessoas de diferentes origens.</w:t>
      </w:r>
    </w:p>
    <w:p w14:paraId="276CC5B1" w14:textId="41CABC1E" w:rsidR="00ED1920" w:rsidRPr="00B163A2" w:rsidRDefault="00ED1920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color w:val="002F3C"/>
        </w:rPr>
        <w:t>A disseminação da língua inglesa ao longo da história representou a quebra de barreiras comunicacionais, permitindo intercâmbio entre povos e culturas. Seu domínio configura-se como ferramenta de inserção social e promoção cultural e profissional, com impacto significativo em setores como economia, educação e turismo, qualificando o atendimento ao visitante. A proficiência linguística favorece um atendimento mais eficaz e seguro, valorizando a experiência turística e fortalecendo o desenvolvimento econômico local.</w:t>
      </w:r>
    </w:p>
    <w:p w14:paraId="4F576446" w14:textId="77777777" w:rsidR="00F904B9" w:rsidRDefault="004D1DBC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4D1DBC">
        <w:rPr>
          <w:rFonts w:ascii="Arial" w:eastAsia="Arial" w:hAnsi="Arial" w:cs="Arial"/>
          <w:color w:val="002F3C"/>
        </w:rPr>
        <w:t xml:space="preserve">Sob a perspectiva da Organização Mundial do Turismo (OMT, 2023), o turismo sustentável é aquele que satisfaz as necessidades dos turistas e das regiões receptoras, protegendo e ampliando oportunidades para o futuro, uma abordagem já </w:t>
      </w:r>
      <w:r w:rsidRPr="004D1DBC">
        <w:rPr>
          <w:rFonts w:ascii="Arial" w:eastAsia="Arial" w:hAnsi="Arial" w:cs="Arial"/>
          <w:color w:val="002F3C"/>
        </w:rPr>
        <w:lastRenderedPageBreak/>
        <w:t>explorada em outras iniciativas de turismo de base comunitária na Amazônia (LAULATE MONCAYO; RIBEIRO, 2005).</w:t>
      </w:r>
    </w:p>
    <w:p w14:paraId="39B78D1A" w14:textId="630C8A44" w:rsidR="00ED1920" w:rsidRPr="00B163A2" w:rsidRDefault="00F904B9" w:rsidP="00FF45DC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>
        <w:rPr>
          <w:rFonts w:ascii="Arial" w:eastAsia="Arial" w:hAnsi="Arial" w:cs="Arial"/>
          <w:color w:val="002F3C"/>
        </w:rPr>
        <w:t>Sendo assim,</w:t>
      </w:r>
      <w:r w:rsidR="004D1DBC" w:rsidRPr="004D1DBC">
        <w:t xml:space="preserve"> </w:t>
      </w:r>
      <w:r w:rsidR="004D1DBC" w:rsidRPr="004D1DBC">
        <w:rPr>
          <w:rFonts w:ascii="Arial" w:eastAsia="Arial" w:hAnsi="Arial" w:cs="Arial"/>
          <w:color w:val="002F3C"/>
        </w:rPr>
        <w:t xml:space="preserve">o uso de conceitos de paisagem linguística, entendida como o conjunto de manifestações visíveis da linguagem no espaço público (LANDRY; BOURHIS, 1997; HOHAMY; GORTER, 2009), constitui recurso estratégico na internacionalização do MAIVC, especialmente quando aplicada ao turismo sustentável e inclusivo (NENOTEK et al., 2024). </w:t>
      </w:r>
      <w:r w:rsidR="00ED1920" w:rsidRPr="00B163A2">
        <w:rPr>
          <w:rFonts w:ascii="Arial" w:eastAsia="Arial" w:hAnsi="Arial" w:cs="Arial"/>
          <w:color w:val="002F3C"/>
        </w:rPr>
        <w:t>Por meio de sinalização, painéis informativos, catálogos e materiais promocionais bilíngues, o museu pode ampliar o acesso, favorecer a inclusão cultural e valorizar o patrimônio arqueológico, ao mesmo tempo que reforça sua identidade local no cenário global.</w:t>
      </w:r>
    </w:p>
    <w:p w14:paraId="09A5354D" w14:textId="1DFAE437" w:rsidR="007F3688" w:rsidRPr="008E6432" w:rsidRDefault="00F4280C" w:rsidP="007F3688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F4280C">
        <w:rPr>
          <w:rFonts w:ascii="Arial" w:eastAsia="Arial" w:hAnsi="Arial" w:cs="Arial"/>
          <w:color w:val="002F3C"/>
        </w:rPr>
        <w:t>Os resultados preliminares, obtidos a partir da análise dos dados das fases 1</w:t>
      </w:r>
      <w:r w:rsidRPr="00F4280C">
        <w:rPr>
          <w:rFonts w:ascii="Arial" w:eastAsia="Arial" w:hAnsi="Arial" w:cs="Arial"/>
          <w:b/>
          <w:bCs/>
          <w:color w:val="002F3C"/>
        </w:rPr>
        <w:t xml:space="preserve"> </w:t>
      </w:r>
      <w:r w:rsidRPr="008E6432">
        <w:rPr>
          <w:rFonts w:ascii="Arial" w:eastAsia="Arial" w:hAnsi="Arial" w:cs="Arial"/>
          <w:color w:val="002F3C"/>
        </w:rPr>
        <w:t>(</w:t>
      </w:r>
      <w:r>
        <w:rPr>
          <w:rFonts w:ascii="Arial" w:eastAsia="Arial" w:hAnsi="Arial" w:cs="Arial"/>
          <w:color w:val="002F3C"/>
        </w:rPr>
        <w:t>d</w:t>
      </w:r>
      <w:r w:rsidRPr="008E6432">
        <w:rPr>
          <w:rFonts w:ascii="Arial" w:eastAsia="Arial" w:hAnsi="Arial" w:cs="Arial"/>
          <w:color w:val="002F3C"/>
        </w:rPr>
        <w:t xml:space="preserve">iagnóstico exploratório) </w:t>
      </w:r>
      <w:r w:rsidRPr="00F4280C">
        <w:rPr>
          <w:rFonts w:ascii="Arial" w:eastAsia="Arial" w:hAnsi="Arial" w:cs="Arial"/>
          <w:color w:val="002F3C"/>
        </w:rPr>
        <w:t>e 2</w:t>
      </w:r>
      <w:r>
        <w:rPr>
          <w:rFonts w:ascii="Arial" w:eastAsia="Arial" w:hAnsi="Arial" w:cs="Arial"/>
          <w:b/>
          <w:bCs/>
          <w:color w:val="002F3C"/>
        </w:rPr>
        <w:t xml:space="preserve"> </w:t>
      </w:r>
      <w:r w:rsidRPr="008E6432">
        <w:rPr>
          <w:rFonts w:ascii="Arial" w:eastAsia="Arial" w:hAnsi="Arial" w:cs="Arial"/>
          <w:color w:val="002F3C"/>
        </w:rPr>
        <w:t>(</w:t>
      </w:r>
      <w:r>
        <w:rPr>
          <w:rFonts w:ascii="Arial" w:eastAsia="Arial" w:hAnsi="Arial" w:cs="Arial"/>
          <w:color w:val="002F3C"/>
        </w:rPr>
        <w:t>c</w:t>
      </w:r>
      <w:r w:rsidRPr="008E6432">
        <w:rPr>
          <w:rFonts w:ascii="Arial" w:eastAsia="Arial" w:hAnsi="Arial" w:cs="Arial"/>
          <w:color w:val="002F3C"/>
        </w:rPr>
        <w:t>oleta de dados de campo)</w:t>
      </w:r>
      <w:r>
        <w:rPr>
          <w:rFonts w:ascii="Arial" w:eastAsia="Arial" w:hAnsi="Arial" w:cs="Arial"/>
          <w:color w:val="002F3C"/>
        </w:rPr>
        <w:t xml:space="preserve">, </w:t>
      </w:r>
      <w:r w:rsidRPr="00F4280C">
        <w:rPr>
          <w:rFonts w:ascii="Arial" w:eastAsia="Arial" w:hAnsi="Arial" w:cs="Arial"/>
          <w:color w:val="002F3C"/>
        </w:rPr>
        <w:t>já permitem comprovar a necessidade de adaptação da sinalização</w:t>
      </w:r>
      <w:r w:rsidR="007F3688" w:rsidRPr="008E6432">
        <w:rPr>
          <w:rFonts w:ascii="Arial" w:eastAsia="Arial" w:hAnsi="Arial" w:cs="Arial"/>
          <w:color w:val="002F3C"/>
        </w:rPr>
        <w:t xml:space="preserve">, de criação de conteúdos informativos em língua inglesa e da capacitação básica de agentes locais para mediação cultural. </w:t>
      </w:r>
      <w:r w:rsidRPr="00F711D8">
        <w:rPr>
          <w:rFonts w:ascii="Arial" w:eastAsia="Arial" w:hAnsi="Arial" w:cs="Arial"/>
          <w:color w:val="002F3C"/>
        </w:rPr>
        <w:t>Embora a análise final ainda esteja em curso,</w:t>
      </w:r>
      <w:r w:rsidRPr="00F4280C">
        <w:rPr>
          <w:rFonts w:ascii="Arial" w:eastAsia="Arial" w:hAnsi="Arial" w:cs="Arial"/>
          <w:color w:val="002F3C"/>
        </w:rPr>
        <w:t xml:space="preserve"> esses achados iniciais foram fundamentais para orientar as ações da Fase 3</w:t>
      </w:r>
      <w:r>
        <w:rPr>
          <w:rFonts w:ascii="Arial" w:eastAsia="Arial" w:hAnsi="Arial" w:cs="Arial"/>
          <w:color w:val="002F3C"/>
        </w:rPr>
        <w:t>, focando na essencialidade de oferta da</w:t>
      </w:r>
      <w:r w:rsidR="007F3688" w:rsidRPr="008E6432">
        <w:rPr>
          <w:rFonts w:ascii="Arial" w:eastAsia="Arial" w:hAnsi="Arial" w:cs="Arial"/>
          <w:color w:val="002F3C"/>
        </w:rPr>
        <w:t xml:space="preserve">s oficinas de </w:t>
      </w:r>
      <w:r w:rsidR="007F3688">
        <w:rPr>
          <w:rFonts w:ascii="Arial" w:eastAsia="Arial" w:hAnsi="Arial" w:cs="Arial"/>
          <w:color w:val="002F3C"/>
        </w:rPr>
        <w:t>formação em inglês para fins específicos (</w:t>
      </w:r>
      <w:r w:rsidR="007F3688" w:rsidRPr="008E6432">
        <w:rPr>
          <w:rFonts w:ascii="Arial" w:eastAsia="Arial" w:hAnsi="Arial" w:cs="Arial"/>
          <w:color w:val="002F3C"/>
        </w:rPr>
        <w:t>ESP</w:t>
      </w:r>
      <w:r w:rsidR="007F3688">
        <w:rPr>
          <w:rFonts w:ascii="Arial" w:eastAsia="Arial" w:hAnsi="Arial" w:cs="Arial"/>
          <w:color w:val="002F3C"/>
        </w:rPr>
        <w:t xml:space="preserve"> </w:t>
      </w:r>
      <w:r w:rsidR="007F3688" w:rsidRPr="008E6432">
        <w:rPr>
          <w:rFonts w:ascii="Arial" w:eastAsia="Arial" w:hAnsi="Arial" w:cs="Arial"/>
          <w:color w:val="002F3C"/>
        </w:rPr>
        <w:t xml:space="preserve">- </w:t>
      </w:r>
      <w:proofErr w:type="spellStart"/>
      <w:r w:rsidR="007F3688" w:rsidRPr="008E6432">
        <w:rPr>
          <w:rFonts w:ascii="Arial" w:eastAsia="Arial" w:hAnsi="Arial" w:cs="Arial"/>
          <w:color w:val="002F3C"/>
        </w:rPr>
        <w:t>English</w:t>
      </w:r>
      <w:proofErr w:type="spellEnd"/>
      <w:r w:rsidR="007F3688" w:rsidRPr="008E6432">
        <w:rPr>
          <w:rFonts w:ascii="Arial" w:eastAsia="Arial" w:hAnsi="Arial" w:cs="Arial"/>
          <w:color w:val="002F3C"/>
        </w:rPr>
        <w:t xml:space="preserve"> for </w:t>
      </w:r>
      <w:proofErr w:type="spellStart"/>
      <w:r w:rsidR="007F3688" w:rsidRPr="008E6432">
        <w:rPr>
          <w:rFonts w:ascii="Arial" w:eastAsia="Arial" w:hAnsi="Arial" w:cs="Arial"/>
          <w:color w:val="002F3C"/>
        </w:rPr>
        <w:t>Specific</w:t>
      </w:r>
      <w:proofErr w:type="spellEnd"/>
      <w:r w:rsidR="007F3688" w:rsidRPr="008E6432">
        <w:rPr>
          <w:rFonts w:ascii="Arial" w:eastAsia="Arial" w:hAnsi="Arial" w:cs="Arial"/>
          <w:color w:val="002F3C"/>
        </w:rPr>
        <w:t xml:space="preserve"> </w:t>
      </w:r>
      <w:proofErr w:type="spellStart"/>
      <w:r w:rsidR="007F3688" w:rsidRPr="008E6432">
        <w:rPr>
          <w:rFonts w:ascii="Arial" w:eastAsia="Arial" w:hAnsi="Arial" w:cs="Arial"/>
          <w:color w:val="002F3C"/>
        </w:rPr>
        <w:t>Purposes</w:t>
      </w:r>
      <w:proofErr w:type="spellEnd"/>
      <w:r w:rsidR="007F3688" w:rsidRPr="008E6432">
        <w:rPr>
          <w:rFonts w:ascii="Arial" w:eastAsia="Arial" w:hAnsi="Arial" w:cs="Arial"/>
          <w:color w:val="002F3C"/>
        </w:rPr>
        <w:t xml:space="preserve">) </w:t>
      </w:r>
      <w:r>
        <w:rPr>
          <w:rFonts w:ascii="Arial" w:eastAsia="Arial" w:hAnsi="Arial" w:cs="Arial"/>
          <w:color w:val="002F3C"/>
        </w:rPr>
        <w:t>para</w:t>
      </w:r>
      <w:r w:rsidR="007F3688" w:rsidRPr="008E6432">
        <w:rPr>
          <w:rFonts w:ascii="Arial" w:eastAsia="Arial" w:hAnsi="Arial" w:cs="Arial"/>
          <w:color w:val="002F3C"/>
        </w:rPr>
        <w:t xml:space="preserve"> fortalecer a hospitalidade e consolidar o uso do inglês como ferramenta de comunicação intercultural.</w:t>
      </w:r>
      <w:r>
        <w:rPr>
          <w:rFonts w:ascii="Arial" w:eastAsia="Arial" w:hAnsi="Arial" w:cs="Arial"/>
          <w:color w:val="002F3C"/>
        </w:rPr>
        <w:t xml:space="preserve"> </w:t>
      </w:r>
    </w:p>
    <w:p w14:paraId="655D4E65" w14:textId="32B7A5B9" w:rsidR="008E6432" w:rsidRPr="008E6432" w:rsidRDefault="008E6432" w:rsidP="008E6432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8E6432">
        <w:rPr>
          <w:rFonts w:ascii="Arial" w:eastAsia="Arial" w:hAnsi="Arial" w:cs="Arial"/>
          <w:color w:val="002F3C"/>
        </w:rPr>
        <w:t>As ações já iniciadas pelo projeto podem ser compreendidas no âmbito da Fase 3 – Planejamento e implementação, especialmente na elaboração de materiais gráficos bilíngues (folders, cartazes e posts digitais) e na definição de padrões visuais baseados em princípios de comunicação (Munari, 2006; Santaella, 2001). Esses produtos não apenas reforçam a identidade visual do museu, mas também representam estratégias práticas de “</w:t>
      </w:r>
      <w:proofErr w:type="spellStart"/>
      <w:r w:rsidRPr="008E6432">
        <w:rPr>
          <w:rFonts w:ascii="Arial" w:eastAsia="Arial" w:hAnsi="Arial" w:cs="Arial"/>
          <w:color w:val="002F3C"/>
        </w:rPr>
        <w:t>desestrangeiramento</w:t>
      </w:r>
      <w:proofErr w:type="spellEnd"/>
      <w:r w:rsidRPr="008E6432">
        <w:rPr>
          <w:rFonts w:ascii="Arial" w:eastAsia="Arial" w:hAnsi="Arial" w:cs="Arial"/>
          <w:color w:val="002F3C"/>
        </w:rPr>
        <w:t>”, uma vez que ampliam a acessibilidade linguística e aproximam visitantes nacionais e estrangeiros.</w:t>
      </w:r>
      <w:r>
        <w:rPr>
          <w:rFonts w:ascii="Arial" w:eastAsia="Arial" w:hAnsi="Arial" w:cs="Arial"/>
          <w:color w:val="002F3C"/>
        </w:rPr>
        <w:t xml:space="preserve"> Entretanto, ainda serão desenvolvidos novos materiais visando essa etapa.</w:t>
      </w:r>
    </w:p>
    <w:p w14:paraId="60BC59AF" w14:textId="778F8D41" w:rsidR="008372F8" w:rsidRPr="00B163A2" w:rsidRDefault="00000000" w:rsidP="00ED1920">
      <w:pPr>
        <w:pBdr>
          <w:between w:val="nil"/>
        </w:pBdr>
        <w:spacing w:before="240" w:after="240" w:line="360" w:lineRule="auto"/>
        <w:ind w:right="100" w:firstLine="709"/>
        <w:jc w:val="both"/>
        <w:rPr>
          <w:rFonts w:ascii="Arial" w:eastAsia="Arial" w:hAnsi="Arial" w:cs="Arial"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 xml:space="preserve">Figura </w:t>
      </w:r>
      <w:r w:rsidR="00265D9D">
        <w:rPr>
          <w:rFonts w:ascii="Arial" w:eastAsia="Arial" w:hAnsi="Arial" w:cs="Arial"/>
          <w:b/>
          <w:color w:val="002F3C"/>
          <w:sz w:val="20"/>
          <w:szCs w:val="20"/>
        </w:rPr>
        <w:t>3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 xml:space="preserve">: </w:t>
      </w:r>
      <w:r w:rsidR="00FF45DC" w:rsidRPr="00B163A2">
        <w:rPr>
          <w:rFonts w:ascii="Arial" w:eastAsia="Arial" w:hAnsi="Arial" w:cs="Arial"/>
          <w:color w:val="002F3C"/>
          <w:sz w:val="20"/>
          <w:szCs w:val="20"/>
        </w:rPr>
        <w:t>Proposta de folder</w:t>
      </w:r>
      <w:r w:rsidR="006302B2">
        <w:rPr>
          <w:rFonts w:ascii="Arial" w:eastAsia="Arial" w:hAnsi="Arial" w:cs="Arial"/>
          <w:color w:val="002F3C"/>
          <w:sz w:val="20"/>
          <w:szCs w:val="20"/>
        </w:rPr>
        <w:t>s</w:t>
      </w:r>
      <w:r w:rsidR="00FF45DC" w:rsidRPr="00B163A2">
        <w:rPr>
          <w:rFonts w:ascii="Arial" w:eastAsia="Arial" w:hAnsi="Arial" w:cs="Arial"/>
          <w:color w:val="002F3C"/>
          <w:sz w:val="20"/>
          <w:szCs w:val="20"/>
        </w:rPr>
        <w:t xml:space="preserve"> </w:t>
      </w:r>
      <w:r w:rsidR="006302B2">
        <w:rPr>
          <w:rFonts w:ascii="Arial" w:eastAsia="Arial" w:hAnsi="Arial" w:cs="Arial"/>
          <w:color w:val="002F3C"/>
          <w:sz w:val="20"/>
          <w:szCs w:val="20"/>
        </w:rPr>
        <w:t xml:space="preserve">em </w:t>
      </w:r>
      <w:r w:rsidR="00FF45DC" w:rsidRPr="00B163A2">
        <w:rPr>
          <w:rFonts w:ascii="Arial" w:eastAsia="Arial" w:hAnsi="Arial" w:cs="Arial"/>
          <w:color w:val="002F3C"/>
          <w:sz w:val="20"/>
          <w:szCs w:val="20"/>
        </w:rPr>
        <w:t>português e inglês</w:t>
      </w:r>
      <w:r w:rsidR="006302B2">
        <w:rPr>
          <w:rFonts w:ascii="Arial" w:eastAsia="Arial" w:hAnsi="Arial" w:cs="Arial"/>
          <w:color w:val="002F3C"/>
          <w:sz w:val="20"/>
          <w:szCs w:val="20"/>
        </w:rPr>
        <w:t xml:space="preserve">, </w:t>
      </w:r>
      <w:r w:rsidR="00FF45DC" w:rsidRPr="00B163A2">
        <w:rPr>
          <w:rFonts w:ascii="Arial" w:eastAsia="Arial" w:hAnsi="Arial" w:cs="Arial"/>
          <w:color w:val="002F3C"/>
          <w:sz w:val="20"/>
          <w:szCs w:val="20"/>
        </w:rPr>
        <w:t>desenvolvido a partir de estudo cromático, tipográfico e de conteúdo.</w:t>
      </w:r>
    </w:p>
    <w:p w14:paraId="18ADD196" w14:textId="6D820F76" w:rsidR="00F10AEE" w:rsidRPr="00B163A2" w:rsidRDefault="00FF45DC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  <w:sz w:val="20"/>
          <w:szCs w:val="20"/>
        </w:rPr>
      </w:pPr>
      <w:r w:rsidRPr="00B163A2">
        <w:rPr>
          <w:noProof/>
          <w:color w:val="002F3C"/>
        </w:rPr>
        <w:lastRenderedPageBreak/>
        <w:drawing>
          <wp:anchor distT="0" distB="0" distL="114300" distR="114300" simplePos="0" relativeHeight="251658240" behindDoc="1" locked="0" layoutInCell="1" hidden="0" allowOverlap="1" wp14:anchorId="12DC8B84" wp14:editId="152B71A1">
            <wp:simplePos x="0" y="0"/>
            <wp:positionH relativeFrom="column">
              <wp:posOffset>90170</wp:posOffset>
            </wp:positionH>
            <wp:positionV relativeFrom="paragraph">
              <wp:posOffset>147320</wp:posOffset>
            </wp:positionV>
            <wp:extent cx="5290820" cy="2059940"/>
            <wp:effectExtent l="0" t="0" r="5080" b="0"/>
            <wp:wrapTight wrapText="bothSides">
              <wp:wrapPolygon edited="0">
                <wp:start x="0" y="0"/>
                <wp:lineTo x="0" y="21374"/>
                <wp:lineTo x="21543" y="21374"/>
                <wp:lineTo x="21543" y="0"/>
                <wp:lineTo x="0" y="0"/>
              </wp:wrapPolygon>
            </wp:wrapTight>
            <wp:docPr id="20144645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05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4407" w14:textId="475325DA" w:rsidR="008372F8" w:rsidRPr="00B163A2" w:rsidRDefault="008372F8" w:rsidP="008372F8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72C41E60" w14:textId="4FF3C8F5" w:rsidR="008372F8" w:rsidRPr="00B163A2" w:rsidRDefault="008372F8" w:rsidP="008372F8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4D23F298" w14:textId="7BAF18C6" w:rsidR="008372F8" w:rsidRPr="00B163A2" w:rsidRDefault="008372F8" w:rsidP="008372F8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6C61923F" w14:textId="16BA6679" w:rsidR="008372F8" w:rsidRPr="00B163A2" w:rsidRDefault="008372F8" w:rsidP="008372F8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51A5E9AD" w14:textId="07F9E23D" w:rsidR="008372F8" w:rsidRPr="00B163A2" w:rsidRDefault="00835BCF" w:rsidP="008372F8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noProof/>
          <w:color w:val="002F3C"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1DE8CBAA" wp14:editId="3FD60007">
            <wp:simplePos x="0" y="0"/>
            <wp:positionH relativeFrom="column">
              <wp:posOffset>90170</wp:posOffset>
            </wp:positionH>
            <wp:positionV relativeFrom="paragraph">
              <wp:posOffset>355854</wp:posOffset>
            </wp:positionV>
            <wp:extent cx="5290820" cy="2072640"/>
            <wp:effectExtent l="0" t="0" r="5080" b="3810"/>
            <wp:wrapTight wrapText="bothSides">
              <wp:wrapPolygon edited="0">
                <wp:start x="0" y="0"/>
                <wp:lineTo x="0" y="21441"/>
                <wp:lineTo x="21543" y="21441"/>
                <wp:lineTo x="21543" y="0"/>
                <wp:lineTo x="0" y="0"/>
              </wp:wrapPolygon>
            </wp:wrapTight>
            <wp:docPr id="201446450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07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0FA88" w14:textId="77777777" w:rsidR="00F904B9" w:rsidRDefault="00000000" w:rsidP="008372F8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Fonte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>: produção própria</w:t>
      </w:r>
      <w:r w:rsidRPr="00B163A2">
        <w:rPr>
          <w:rFonts w:ascii="Arial" w:eastAsia="Arial" w:hAnsi="Arial" w:cs="Arial"/>
          <w:color w:val="002F3C"/>
        </w:rPr>
        <w:t>.</w:t>
      </w:r>
    </w:p>
    <w:p w14:paraId="3A7BB0F2" w14:textId="6F00D83A" w:rsidR="00F904B9" w:rsidRPr="00F904B9" w:rsidRDefault="00F904B9" w:rsidP="00F904B9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noProof/>
          <w:color w:val="002F3C"/>
        </w:rPr>
        <w:drawing>
          <wp:anchor distT="0" distB="0" distL="114300" distR="114300" simplePos="0" relativeHeight="251661312" behindDoc="1" locked="0" layoutInCell="1" allowOverlap="1" wp14:anchorId="1A2A46B2" wp14:editId="42C034C3">
            <wp:simplePos x="0" y="0"/>
            <wp:positionH relativeFrom="column">
              <wp:posOffset>2824480</wp:posOffset>
            </wp:positionH>
            <wp:positionV relativeFrom="paragraph">
              <wp:posOffset>335915</wp:posOffset>
            </wp:positionV>
            <wp:extent cx="296227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2014464508" name="image7.png" descr="Linha do tem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inha do tempo&#10;&#10;O conteúdo gerado por IA pode estar incorreto.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3A2">
        <w:rPr>
          <w:rFonts w:ascii="Arial" w:eastAsia="Arial" w:hAnsi="Arial" w:cs="Arial"/>
          <w:noProof/>
          <w:color w:val="002F3C"/>
        </w:rPr>
        <w:drawing>
          <wp:anchor distT="0" distB="0" distL="114300" distR="114300" simplePos="0" relativeHeight="251664384" behindDoc="1" locked="0" layoutInCell="1" allowOverlap="1" wp14:anchorId="7128ECE3" wp14:editId="318828C2">
            <wp:simplePos x="0" y="0"/>
            <wp:positionH relativeFrom="column">
              <wp:posOffset>-190119</wp:posOffset>
            </wp:positionH>
            <wp:positionV relativeFrom="paragraph">
              <wp:posOffset>335915</wp:posOffset>
            </wp:positionV>
            <wp:extent cx="30194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532" y="21499"/>
                <wp:lineTo x="21532" y="0"/>
                <wp:lineTo x="0" y="0"/>
              </wp:wrapPolygon>
            </wp:wrapTight>
            <wp:docPr id="201446450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 xml:space="preserve">Figura </w:t>
      </w:r>
      <w:r w:rsidR="00265D9D">
        <w:rPr>
          <w:rFonts w:ascii="Arial" w:eastAsia="Arial" w:hAnsi="Arial" w:cs="Arial"/>
          <w:b/>
          <w:color w:val="002F3C"/>
          <w:sz w:val="20"/>
          <w:szCs w:val="20"/>
        </w:rPr>
        <w:t>4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 xml:space="preserve">: </w:t>
      </w:r>
      <w:r w:rsidR="00FF45DC" w:rsidRPr="00B163A2">
        <w:rPr>
          <w:rFonts w:ascii="Arial" w:eastAsia="Arial" w:hAnsi="Arial" w:cs="Arial"/>
          <w:color w:val="002F3C"/>
          <w:sz w:val="20"/>
          <w:szCs w:val="20"/>
        </w:rPr>
        <w:t>Modelo de material para redes sociais (Instagram/WhatsApp).</w:t>
      </w:r>
      <w:r w:rsidRPr="00B163A2">
        <w:rPr>
          <w:rFonts w:ascii="Arial" w:eastAsia="Arial" w:hAnsi="Arial" w:cs="Arial"/>
          <w:color w:val="002F3C"/>
        </w:rPr>
        <w:t xml:space="preserve"> </w:t>
      </w:r>
    </w:p>
    <w:p w14:paraId="500C05B9" w14:textId="58D61906" w:rsidR="00F10AEE" w:rsidRPr="00B163A2" w:rsidRDefault="00000000" w:rsidP="00F904B9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  <w:sz w:val="20"/>
          <w:szCs w:val="20"/>
        </w:rPr>
      </w:pP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Fonte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>: produção própria.</w:t>
      </w:r>
    </w:p>
    <w:p w14:paraId="78447D5E" w14:textId="6F034D3F" w:rsidR="00F10AEE" w:rsidRPr="00B163A2" w:rsidRDefault="00AC14A4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  <w:sz w:val="20"/>
          <w:szCs w:val="20"/>
        </w:rPr>
      </w:pPr>
      <w:r w:rsidRPr="00B163A2">
        <w:rPr>
          <w:noProof/>
          <w:color w:val="002F3C"/>
        </w:rPr>
        <w:lastRenderedPageBreak/>
        <w:drawing>
          <wp:anchor distT="0" distB="0" distL="114300" distR="114300" simplePos="0" relativeHeight="251659264" behindDoc="0" locked="0" layoutInCell="1" hidden="0" allowOverlap="1" wp14:anchorId="4B87AC5D" wp14:editId="1DCC5E51">
            <wp:simplePos x="0" y="0"/>
            <wp:positionH relativeFrom="column">
              <wp:posOffset>901065</wp:posOffset>
            </wp:positionH>
            <wp:positionV relativeFrom="paragraph">
              <wp:posOffset>313055</wp:posOffset>
            </wp:positionV>
            <wp:extent cx="4505325" cy="2524125"/>
            <wp:effectExtent l="0" t="0" r="9525" b="9525"/>
            <wp:wrapSquare wrapText="bothSides" distT="0" distB="0" distL="114300" distR="114300"/>
            <wp:docPr id="201446450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 xml:space="preserve">Figura </w:t>
      </w:r>
      <w:r w:rsidR="00265D9D">
        <w:rPr>
          <w:rFonts w:ascii="Arial" w:eastAsia="Arial" w:hAnsi="Arial" w:cs="Arial"/>
          <w:b/>
          <w:color w:val="002F3C"/>
          <w:sz w:val="20"/>
          <w:szCs w:val="20"/>
        </w:rPr>
        <w:t>5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 xml:space="preserve">: </w:t>
      </w:r>
      <w:r w:rsidR="00FF45DC" w:rsidRPr="00B163A2">
        <w:rPr>
          <w:rFonts w:ascii="Arial" w:eastAsia="Arial" w:hAnsi="Arial" w:cs="Arial"/>
          <w:color w:val="002F3C"/>
          <w:sz w:val="20"/>
          <w:szCs w:val="20"/>
        </w:rPr>
        <w:t>Cartaz em formato A3 para impressão e divulgação offline.</w:t>
      </w:r>
    </w:p>
    <w:p w14:paraId="768A8651" w14:textId="5FFFAFAC" w:rsidR="00F10AEE" w:rsidRPr="00B163A2" w:rsidRDefault="00F10AEE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</w:rPr>
      </w:pPr>
    </w:p>
    <w:p w14:paraId="3B4FC557" w14:textId="77777777" w:rsidR="00F10AEE" w:rsidRPr="00B163A2" w:rsidRDefault="00F10AEE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7E527471" w14:textId="77777777" w:rsidR="00F10AEE" w:rsidRPr="00B163A2" w:rsidRDefault="00F10AEE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3C4A0B16" w14:textId="77777777" w:rsidR="00F10AEE" w:rsidRPr="00B163A2" w:rsidRDefault="00F10AEE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7F982487" w14:textId="77777777" w:rsidR="00F10AEE" w:rsidRPr="00B163A2" w:rsidRDefault="00F10AEE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0ABE5192" w14:textId="77777777" w:rsidR="00F10AEE" w:rsidRPr="00B163A2" w:rsidRDefault="00F10AEE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b/>
          <w:color w:val="002F3C"/>
          <w:sz w:val="20"/>
          <w:szCs w:val="20"/>
        </w:rPr>
      </w:pPr>
    </w:p>
    <w:p w14:paraId="7B4FDAB0" w14:textId="2B591DEE" w:rsidR="00F10AEE" w:rsidRPr="00B163A2" w:rsidRDefault="00AC14A4">
      <w:pPr>
        <w:pBdr>
          <w:between w:val="nil"/>
        </w:pBdr>
        <w:spacing w:before="240" w:after="240" w:line="360" w:lineRule="auto"/>
        <w:ind w:right="100"/>
        <w:jc w:val="center"/>
        <w:rPr>
          <w:rFonts w:ascii="Arial" w:eastAsia="Arial" w:hAnsi="Arial" w:cs="Arial"/>
          <w:color w:val="002F3C"/>
          <w:sz w:val="20"/>
          <w:szCs w:val="20"/>
        </w:rPr>
      </w:pPr>
      <w:r>
        <w:rPr>
          <w:rFonts w:ascii="Arial" w:eastAsia="Arial" w:hAnsi="Arial" w:cs="Arial"/>
          <w:b/>
          <w:color w:val="002F3C"/>
          <w:sz w:val="20"/>
          <w:szCs w:val="20"/>
        </w:rPr>
        <w:br/>
      </w:r>
      <w:r>
        <w:rPr>
          <w:rFonts w:ascii="Arial" w:eastAsia="Arial" w:hAnsi="Arial" w:cs="Arial"/>
          <w:b/>
          <w:color w:val="002F3C"/>
          <w:sz w:val="20"/>
          <w:szCs w:val="20"/>
        </w:rPr>
        <w:br/>
      </w:r>
      <w:r w:rsidRPr="00B163A2">
        <w:rPr>
          <w:rFonts w:ascii="Arial" w:eastAsia="Arial" w:hAnsi="Arial" w:cs="Arial"/>
          <w:b/>
          <w:color w:val="002F3C"/>
          <w:sz w:val="20"/>
          <w:szCs w:val="20"/>
        </w:rPr>
        <w:t>Fonte</w:t>
      </w:r>
      <w:r w:rsidRPr="00B163A2">
        <w:rPr>
          <w:rFonts w:ascii="Arial" w:eastAsia="Arial" w:hAnsi="Arial" w:cs="Arial"/>
          <w:color w:val="002F3C"/>
          <w:sz w:val="20"/>
          <w:szCs w:val="20"/>
        </w:rPr>
        <w:t>: produção própria.</w:t>
      </w:r>
    </w:p>
    <w:p w14:paraId="2B99DC24" w14:textId="728DBE08" w:rsidR="008E6432" w:rsidRPr="008E6432" w:rsidRDefault="008E6432" w:rsidP="008E6432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8E6432">
        <w:rPr>
          <w:rFonts w:ascii="Arial" w:eastAsia="Arial" w:hAnsi="Arial" w:cs="Arial"/>
          <w:color w:val="002F3C"/>
        </w:rPr>
        <w:t>No decorrer da Fase 4 (</w:t>
      </w:r>
      <w:r>
        <w:rPr>
          <w:rFonts w:ascii="Arial" w:eastAsia="Arial" w:hAnsi="Arial" w:cs="Arial"/>
          <w:color w:val="002F3C"/>
        </w:rPr>
        <w:t>a</w:t>
      </w:r>
      <w:r w:rsidRPr="008E6432">
        <w:rPr>
          <w:rFonts w:ascii="Arial" w:eastAsia="Arial" w:hAnsi="Arial" w:cs="Arial"/>
          <w:color w:val="002F3C"/>
        </w:rPr>
        <w:t>valiação e devolutiva), pretende-se avaliar o impacto das ações já realizadas e em andamento, tanto do ponto de vista quantitativo</w:t>
      </w:r>
      <w:r>
        <w:rPr>
          <w:rFonts w:ascii="Arial" w:eastAsia="Arial" w:hAnsi="Arial" w:cs="Arial"/>
          <w:color w:val="002F3C"/>
        </w:rPr>
        <w:t xml:space="preserve">, </w:t>
      </w:r>
      <w:r w:rsidRPr="008E6432">
        <w:rPr>
          <w:rFonts w:ascii="Arial" w:eastAsia="Arial" w:hAnsi="Arial" w:cs="Arial"/>
          <w:color w:val="002F3C"/>
        </w:rPr>
        <w:t>por meio da análise dos questionários aplicados aos visitantes</w:t>
      </w:r>
      <w:r>
        <w:rPr>
          <w:rFonts w:ascii="Arial" w:eastAsia="Arial" w:hAnsi="Arial" w:cs="Arial"/>
          <w:color w:val="002F3C"/>
        </w:rPr>
        <w:t xml:space="preserve">, </w:t>
      </w:r>
      <w:r w:rsidRPr="008E6432">
        <w:rPr>
          <w:rFonts w:ascii="Arial" w:eastAsia="Arial" w:hAnsi="Arial" w:cs="Arial"/>
          <w:color w:val="002F3C"/>
        </w:rPr>
        <w:t xml:space="preserve">quanto qualitativo, com base nas entrevistas realizadas junto a gestores e comunidade. A devolutiva em reuniões participativas garantirá que o processo de internacionalização seja ajustado de acordo com os </w:t>
      </w:r>
      <w:r w:rsidR="00DD0600">
        <w:rPr>
          <w:rFonts w:ascii="Arial" w:eastAsia="Arial" w:hAnsi="Arial" w:cs="Arial"/>
          <w:color w:val="002F3C"/>
        </w:rPr>
        <w:t>pareceres</w:t>
      </w:r>
      <w:r w:rsidRPr="008E6432">
        <w:rPr>
          <w:rFonts w:ascii="Arial" w:eastAsia="Arial" w:hAnsi="Arial" w:cs="Arial"/>
          <w:color w:val="002F3C"/>
        </w:rPr>
        <w:t>, respeitando os princípios de inclusão cultural e sustentabilidade.</w:t>
      </w:r>
    </w:p>
    <w:p w14:paraId="489F1A22" w14:textId="77777777" w:rsidR="008E6432" w:rsidRPr="008E6432" w:rsidRDefault="008E6432" w:rsidP="008E6432">
      <w:pPr>
        <w:pBdr>
          <w:between w:val="nil"/>
        </w:pBdr>
        <w:spacing w:after="0" w:line="360" w:lineRule="auto"/>
        <w:ind w:right="100" w:firstLine="709"/>
        <w:jc w:val="both"/>
        <w:rPr>
          <w:rFonts w:ascii="Arial" w:eastAsia="Arial" w:hAnsi="Arial" w:cs="Arial"/>
          <w:color w:val="002F3C"/>
        </w:rPr>
      </w:pPr>
      <w:r w:rsidRPr="008E6432">
        <w:rPr>
          <w:rFonts w:ascii="Arial" w:eastAsia="Arial" w:hAnsi="Arial" w:cs="Arial"/>
          <w:color w:val="002F3C"/>
        </w:rPr>
        <w:t>Assim, a metodologia em quatro fases garante que as ações de internacionalização do MAIVC não sejam apenas pontuais, mas façam parte de um ciclo de diagnóstico, implementação, avaliação e aprimoramento. Esse processo fortalece o museu como espaço de salvaguarda patrimonial, mediação cultural e promoção do turismo sustentável na Amazônia, consolidando seu papel de agente ativo na difusão cultural em escala global.</w:t>
      </w:r>
    </w:p>
    <w:p w14:paraId="1DA99153" w14:textId="14FEE306" w:rsidR="00ED1920" w:rsidRPr="00B163A2" w:rsidRDefault="00ED1920" w:rsidP="00ED1920">
      <w:pPr>
        <w:spacing w:after="0" w:line="360" w:lineRule="auto"/>
        <w:ind w:firstLine="720"/>
        <w:jc w:val="both"/>
        <w:rPr>
          <w:rFonts w:ascii="Arial" w:eastAsia="Arial" w:hAnsi="Arial" w:cs="Arial"/>
          <w:bCs/>
          <w:color w:val="002F3C"/>
        </w:rPr>
      </w:pPr>
      <w:r w:rsidRPr="00B163A2">
        <w:rPr>
          <w:rFonts w:ascii="Arial" w:eastAsia="Arial" w:hAnsi="Arial" w:cs="Arial"/>
          <w:bCs/>
          <w:color w:val="002F3C"/>
        </w:rPr>
        <w:t xml:space="preserve">Como etapas futuras, pretende-se aprofundar as propostas de museologia acessível com novas estratégias bilíngues, analisar o papel da língua inglesa na promoção do turismo sustentável e consolidar </w:t>
      </w:r>
      <w:r w:rsidR="001A3CAC">
        <w:rPr>
          <w:rFonts w:ascii="Arial" w:eastAsia="Arial" w:hAnsi="Arial" w:cs="Arial"/>
          <w:bCs/>
          <w:color w:val="002F3C"/>
        </w:rPr>
        <w:t xml:space="preserve">os dados a serem coletados </w:t>
      </w:r>
      <w:r w:rsidRPr="00B163A2">
        <w:rPr>
          <w:rFonts w:ascii="Arial" w:eastAsia="Arial" w:hAnsi="Arial" w:cs="Arial"/>
          <w:bCs/>
          <w:color w:val="002F3C"/>
        </w:rPr>
        <w:t xml:space="preserve">para embasar as ações. Essas medidas contribuirão para afirmar o MAIVC como agente </w:t>
      </w:r>
      <w:r w:rsidRPr="00B163A2">
        <w:rPr>
          <w:rFonts w:ascii="Arial" w:eastAsia="Arial" w:hAnsi="Arial" w:cs="Arial"/>
          <w:bCs/>
          <w:color w:val="002F3C"/>
        </w:rPr>
        <w:lastRenderedPageBreak/>
        <w:t>ativo na difusão do patrimônio cultural amazônico em escala internacional, consolidando seu “</w:t>
      </w:r>
      <w:proofErr w:type="spellStart"/>
      <w:r w:rsidRPr="00B163A2">
        <w:rPr>
          <w:rFonts w:ascii="Arial" w:eastAsia="Arial" w:hAnsi="Arial" w:cs="Arial"/>
          <w:bCs/>
          <w:color w:val="002F3C"/>
        </w:rPr>
        <w:t>desestrangeiramento</w:t>
      </w:r>
      <w:proofErr w:type="spellEnd"/>
      <w:r w:rsidRPr="00B163A2">
        <w:rPr>
          <w:rFonts w:ascii="Arial" w:eastAsia="Arial" w:hAnsi="Arial" w:cs="Arial"/>
          <w:bCs/>
          <w:color w:val="002F3C"/>
        </w:rPr>
        <w:t xml:space="preserve">”. </w:t>
      </w:r>
    </w:p>
    <w:p w14:paraId="6F4029D2" w14:textId="77777777" w:rsidR="00265D9D" w:rsidRDefault="00265D9D" w:rsidP="008372F8">
      <w:pPr>
        <w:spacing w:after="0" w:line="360" w:lineRule="auto"/>
        <w:jc w:val="center"/>
        <w:rPr>
          <w:rFonts w:ascii="Arial" w:eastAsia="Arial" w:hAnsi="Arial" w:cs="Arial"/>
          <w:b/>
          <w:color w:val="002F3C"/>
        </w:rPr>
      </w:pPr>
    </w:p>
    <w:p w14:paraId="3F363F0A" w14:textId="54662FAF" w:rsidR="00F10AEE" w:rsidRPr="00B163A2" w:rsidRDefault="00F82C36" w:rsidP="008372F8">
      <w:pPr>
        <w:spacing w:after="0" w:line="360" w:lineRule="auto"/>
        <w:jc w:val="center"/>
        <w:rPr>
          <w:rFonts w:ascii="Arial" w:eastAsia="Arial" w:hAnsi="Arial" w:cs="Arial"/>
          <w:color w:val="002F3C"/>
        </w:rPr>
      </w:pPr>
      <w:r w:rsidRPr="00B163A2">
        <w:rPr>
          <w:rFonts w:ascii="Arial" w:eastAsia="Arial" w:hAnsi="Arial" w:cs="Arial"/>
          <w:b/>
          <w:color w:val="002F3C"/>
        </w:rPr>
        <w:t>Conclusões</w:t>
      </w:r>
    </w:p>
    <w:p w14:paraId="1F1D29E4" w14:textId="77777777" w:rsidR="00F10AEE" w:rsidRPr="00B163A2" w:rsidRDefault="00F10AEE">
      <w:pPr>
        <w:spacing w:after="0" w:line="360" w:lineRule="auto"/>
        <w:jc w:val="both"/>
        <w:rPr>
          <w:rFonts w:ascii="Arial" w:eastAsia="Arial" w:hAnsi="Arial" w:cs="Arial"/>
          <w:color w:val="002F3C"/>
        </w:rPr>
      </w:pPr>
    </w:p>
    <w:p w14:paraId="4619BE1E" w14:textId="10156FA5" w:rsidR="007F3688" w:rsidRPr="007F3688" w:rsidRDefault="00F4280C" w:rsidP="007F3688">
      <w:pPr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F4280C">
        <w:rPr>
          <w:rFonts w:ascii="Arial" w:eastAsia="Arial" w:hAnsi="Arial" w:cs="Arial"/>
          <w:color w:val="002F3C"/>
        </w:rPr>
        <w:t>Com base nos avanços do projeto até o momento, pode-se concluir que o</w:t>
      </w:r>
      <w:r w:rsidR="007F3688" w:rsidRPr="007F3688">
        <w:rPr>
          <w:rFonts w:ascii="Arial" w:eastAsia="Arial" w:hAnsi="Arial" w:cs="Arial"/>
          <w:color w:val="002F3C"/>
        </w:rPr>
        <w:t xml:space="preserve"> Museu Arqueológico Ilha de Vera Cruz possui grande potencial para se tornar um ponto de referência em turismo cultural e sustentável na Amazônia. A proposta de "</w:t>
      </w:r>
      <w:proofErr w:type="spellStart"/>
      <w:r w:rsidR="007F3688" w:rsidRPr="007F3688">
        <w:rPr>
          <w:rFonts w:ascii="Arial" w:eastAsia="Arial" w:hAnsi="Arial" w:cs="Arial"/>
          <w:color w:val="002F3C"/>
        </w:rPr>
        <w:t>desestrangeiramento</w:t>
      </w:r>
      <w:proofErr w:type="spellEnd"/>
      <w:r w:rsidR="007F3688" w:rsidRPr="007F3688">
        <w:rPr>
          <w:rFonts w:ascii="Arial" w:eastAsia="Arial" w:hAnsi="Arial" w:cs="Arial"/>
          <w:color w:val="002F3C"/>
        </w:rPr>
        <w:t>" demonstra que a conexão entre visitantes e a comunidade local pode ser alcançada por meio de uma mediação cultural e comunicação bilíngue eficaz, que respeite as características históricas e socioculturais da região. Para isso, é crucial focar em acessibilidade linguística, na valorização da paisagem linguística e no fortalecimento da identidade local.</w:t>
      </w:r>
    </w:p>
    <w:p w14:paraId="649F54D8" w14:textId="77777777" w:rsidR="007F3688" w:rsidRPr="007F3688" w:rsidRDefault="007F3688" w:rsidP="007F3688">
      <w:pPr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7F3688">
        <w:rPr>
          <w:rFonts w:ascii="Arial" w:eastAsia="Arial" w:hAnsi="Arial" w:cs="Arial"/>
          <w:color w:val="002F3C"/>
        </w:rPr>
        <w:t>Ao integrar o inglês como ferramenta de comunicação, com o suporte de materiais informativos e sinalização adequados, o museu pode aumentar seu alcance, promover o intercâmbio de conhecimentos e reforçar sua posição no cenário turístico regional e internacional. Essa abordagem não só atrai novos públicos, mas também gera impactos positivos na economia local e no engajamento comunitário.</w:t>
      </w:r>
    </w:p>
    <w:p w14:paraId="4F86DB67" w14:textId="0E893F44" w:rsidR="007F3688" w:rsidRPr="007F3688" w:rsidRDefault="007F3688" w:rsidP="007F3688">
      <w:pPr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  <w:r w:rsidRPr="007F3688">
        <w:rPr>
          <w:rFonts w:ascii="Arial" w:eastAsia="Arial" w:hAnsi="Arial" w:cs="Arial"/>
          <w:color w:val="002F3C"/>
        </w:rPr>
        <w:t>Os resultados esperados alinham as ações do museu aos princípios do turismo sustentável e aos Objetivos de Desenvolvimento Sustentável (ODS). A expectativa é que, com a continuidade dessas ações, o museu não apenas se consolide globalmente, mas também reforce seu papel como guardião e difusor do patrimônio cultural amazônico, oferecendo experiências turísticas significativas, educativas e interculturais</w:t>
      </w:r>
      <w:r w:rsidR="001A3CAC">
        <w:rPr>
          <w:rFonts w:ascii="Arial" w:eastAsia="Arial" w:hAnsi="Arial" w:cs="Arial"/>
          <w:color w:val="002F3C"/>
        </w:rPr>
        <w:t xml:space="preserve"> em Maués.</w:t>
      </w:r>
    </w:p>
    <w:p w14:paraId="540307BA" w14:textId="77777777" w:rsidR="00F10AEE" w:rsidRPr="00B163A2" w:rsidRDefault="00F10AEE">
      <w:pPr>
        <w:spacing w:after="0" w:line="360" w:lineRule="auto"/>
        <w:ind w:firstLine="720"/>
        <w:jc w:val="both"/>
        <w:rPr>
          <w:rFonts w:ascii="Arial" w:eastAsia="Arial" w:hAnsi="Arial" w:cs="Arial"/>
          <w:color w:val="002F3C"/>
        </w:rPr>
      </w:pPr>
    </w:p>
    <w:p w14:paraId="134C55E9" w14:textId="77777777" w:rsidR="00F10AEE" w:rsidRDefault="00000000" w:rsidP="008372F8">
      <w:pPr>
        <w:spacing w:after="0" w:line="360" w:lineRule="auto"/>
        <w:jc w:val="center"/>
        <w:rPr>
          <w:rFonts w:ascii="Arial" w:eastAsia="Arial" w:hAnsi="Arial" w:cs="Arial"/>
          <w:b/>
          <w:color w:val="002F3C"/>
        </w:rPr>
      </w:pPr>
      <w:r w:rsidRPr="00B163A2">
        <w:rPr>
          <w:rFonts w:ascii="Arial" w:eastAsia="Arial" w:hAnsi="Arial" w:cs="Arial"/>
          <w:b/>
          <w:color w:val="002F3C"/>
        </w:rPr>
        <w:t>Referências</w:t>
      </w:r>
    </w:p>
    <w:p w14:paraId="3F3DE5B1" w14:textId="77777777" w:rsidR="00900BE9" w:rsidRPr="00D07DDD" w:rsidRDefault="00900BE9" w:rsidP="008372F8">
      <w:pPr>
        <w:spacing w:after="0" w:line="360" w:lineRule="auto"/>
        <w:jc w:val="center"/>
        <w:rPr>
          <w:rFonts w:ascii="Arial" w:eastAsia="Arial" w:hAnsi="Arial" w:cs="Arial"/>
          <w:color w:val="002F3C"/>
        </w:rPr>
      </w:pPr>
    </w:p>
    <w:p w14:paraId="1EC3770D" w14:textId="77777777" w:rsidR="00900BE9" w:rsidRPr="00D07DDD" w:rsidRDefault="00900BE9" w:rsidP="00D07DDD">
      <w:pPr>
        <w:spacing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BARDIN, Laurence. </w:t>
      </w:r>
      <w:r w:rsidRPr="00D07DDD">
        <w:rPr>
          <w:rFonts w:ascii="Arial" w:eastAsia="Arial" w:hAnsi="Arial" w:cs="Arial"/>
          <w:b/>
          <w:bCs/>
          <w:color w:val="002F3C"/>
        </w:rPr>
        <w:t>Análise de conteúdo</w:t>
      </w:r>
      <w:r w:rsidRPr="00D07DDD">
        <w:rPr>
          <w:rFonts w:ascii="Arial" w:eastAsia="Arial" w:hAnsi="Arial" w:cs="Arial"/>
          <w:color w:val="002F3C"/>
        </w:rPr>
        <w:t>. São Paulo: Edições 70, 2011.</w:t>
      </w:r>
    </w:p>
    <w:p w14:paraId="4BBAE9AA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BHABHA, </w:t>
      </w:r>
      <w:proofErr w:type="spellStart"/>
      <w:r w:rsidRPr="00D07DDD">
        <w:rPr>
          <w:rFonts w:ascii="Arial" w:eastAsia="Arial" w:hAnsi="Arial" w:cs="Arial"/>
          <w:color w:val="002F3C"/>
        </w:rPr>
        <w:t>Homi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 K. </w:t>
      </w:r>
      <w:r w:rsidRPr="00D07DDD">
        <w:rPr>
          <w:rFonts w:ascii="Arial" w:eastAsia="Arial" w:hAnsi="Arial" w:cs="Arial"/>
          <w:b/>
          <w:color w:val="002F3C"/>
        </w:rPr>
        <w:t>O local da cultura</w:t>
      </w:r>
      <w:r w:rsidRPr="00D07DDD">
        <w:rPr>
          <w:rFonts w:ascii="Arial" w:eastAsia="Arial" w:hAnsi="Arial" w:cs="Arial"/>
          <w:color w:val="002F3C"/>
        </w:rPr>
        <w:t>. Belo Horizonte: Editora UFMG, 2013.</w:t>
      </w:r>
    </w:p>
    <w:p w14:paraId="5CA30495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lastRenderedPageBreak/>
        <w:t xml:space="preserve">CRESWELL, John W. </w:t>
      </w:r>
      <w:r w:rsidRPr="00D07DDD">
        <w:rPr>
          <w:rFonts w:ascii="Arial" w:eastAsia="Arial" w:hAnsi="Arial" w:cs="Arial"/>
          <w:b/>
          <w:color w:val="002F3C"/>
        </w:rPr>
        <w:t>Projeto de Pesquisa</w:t>
      </w:r>
      <w:r w:rsidRPr="00D07DDD">
        <w:rPr>
          <w:rFonts w:ascii="Arial" w:eastAsia="Arial" w:hAnsi="Arial" w:cs="Arial"/>
          <w:color w:val="002F3C"/>
        </w:rPr>
        <w:t>: métodos qualitativo, quantitativo e misto. Tradução de Luciana de Oliveira Rocha. 2. ed. Porto Alegre: Artmed, 2007.</w:t>
      </w:r>
    </w:p>
    <w:p w14:paraId="74F3C28F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  <w:lang w:val="en-GB"/>
        </w:rPr>
      </w:pPr>
      <w:r w:rsidRPr="00D07DDD">
        <w:rPr>
          <w:rFonts w:ascii="Arial" w:eastAsia="Arial" w:hAnsi="Arial" w:cs="Arial"/>
          <w:color w:val="002F3C"/>
          <w:lang w:val="en-GB"/>
        </w:rPr>
        <w:t xml:space="preserve">CRYSTAL, David. </w:t>
      </w:r>
      <w:r w:rsidRPr="00D07DDD">
        <w:rPr>
          <w:rFonts w:ascii="Arial" w:eastAsia="Arial" w:hAnsi="Arial" w:cs="Arial"/>
          <w:b/>
          <w:color w:val="002F3C"/>
          <w:lang w:val="en-GB"/>
        </w:rPr>
        <w:t>English as a Global Language</w:t>
      </w:r>
      <w:r w:rsidRPr="00D07DDD">
        <w:rPr>
          <w:rFonts w:ascii="Arial" w:eastAsia="Arial" w:hAnsi="Arial" w:cs="Arial"/>
          <w:color w:val="002F3C"/>
          <w:lang w:val="en-GB"/>
        </w:rPr>
        <w:t>. 2. ed. Cambridge: Cambridge University Press, 2003.</w:t>
      </w:r>
    </w:p>
    <w:p w14:paraId="467BE082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GEERTZ, Clifford. </w:t>
      </w:r>
      <w:r w:rsidRPr="00D07DDD">
        <w:rPr>
          <w:rFonts w:ascii="Arial" w:eastAsia="Arial" w:hAnsi="Arial" w:cs="Arial"/>
          <w:b/>
          <w:color w:val="002F3C"/>
        </w:rPr>
        <w:t>A interpretação das culturas</w:t>
      </w:r>
      <w:r w:rsidRPr="00D07DDD">
        <w:rPr>
          <w:rFonts w:ascii="Arial" w:eastAsia="Arial" w:hAnsi="Arial" w:cs="Arial"/>
          <w:color w:val="002F3C"/>
        </w:rPr>
        <w:t>. 1. ed. Rio de Janeiro: LTC, 2017.</w:t>
      </w:r>
    </w:p>
    <w:p w14:paraId="1960BF1C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GIL, </w:t>
      </w:r>
      <w:proofErr w:type="spellStart"/>
      <w:r w:rsidRPr="00D07DDD">
        <w:rPr>
          <w:rFonts w:ascii="Arial" w:eastAsia="Arial" w:hAnsi="Arial" w:cs="Arial"/>
          <w:color w:val="002F3C"/>
        </w:rPr>
        <w:t>Antonio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 Carlos. </w:t>
      </w:r>
      <w:r w:rsidRPr="00D07DDD">
        <w:rPr>
          <w:rFonts w:ascii="Arial" w:eastAsia="Arial" w:hAnsi="Arial" w:cs="Arial"/>
          <w:b/>
          <w:color w:val="002F3C"/>
        </w:rPr>
        <w:t>Como elaborar projetos de pesquisas</w:t>
      </w:r>
      <w:r w:rsidRPr="00D07DDD">
        <w:rPr>
          <w:rFonts w:ascii="Arial" w:eastAsia="Arial" w:hAnsi="Arial" w:cs="Arial"/>
          <w:color w:val="002F3C"/>
        </w:rPr>
        <w:t>. 4. ed. São Paulo: Atlas, 2002.</w:t>
      </w:r>
    </w:p>
    <w:p w14:paraId="2F904D85" w14:textId="60565440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GOOGLE. </w:t>
      </w:r>
      <w:r w:rsidRPr="00D07DDD">
        <w:rPr>
          <w:rFonts w:ascii="Arial" w:eastAsia="Arial" w:hAnsi="Arial" w:cs="Arial"/>
          <w:b/>
          <w:bCs/>
          <w:color w:val="002F3C"/>
        </w:rPr>
        <w:t>Mapa da localização do Museu Arqueológico Ilha de Vera Cruz (MAIVC) em Maués, AM</w:t>
      </w:r>
      <w:r w:rsidRPr="00D07DDD">
        <w:rPr>
          <w:rFonts w:ascii="Arial" w:eastAsia="Arial" w:hAnsi="Arial" w:cs="Arial"/>
          <w:color w:val="002F3C"/>
        </w:rPr>
        <w:t xml:space="preserve">. Mountain </w:t>
      </w:r>
      <w:proofErr w:type="spellStart"/>
      <w:r w:rsidRPr="00D07DDD">
        <w:rPr>
          <w:rFonts w:ascii="Arial" w:eastAsia="Arial" w:hAnsi="Arial" w:cs="Arial"/>
          <w:color w:val="002F3C"/>
        </w:rPr>
        <w:t>View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: Google, 2025. Disponível em: </w:t>
      </w:r>
      <w:hyperlink r:id="rId15" w:history="1">
        <w:r w:rsidR="00D07DDD" w:rsidRPr="00D07DDD">
          <w:rPr>
            <w:rStyle w:val="Hyperlink"/>
            <w:rFonts w:ascii="Arial" w:eastAsia="Arial" w:hAnsi="Arial" w:cs="Arial"/>
            <w:color w:val="002F3C"/>
          </w:rPr>
          <w:t>https://maps.app.goo.gl/d7Cqnf6yht1Sjub49</w:t>
        </w:r>
      </w:hyperlink>
      <w:r w:rsidR="00D07DDD" w:rsidRPr="00D07DDD">
        <w:rPr>
          <w:rFonts w:ascii="Arial" w:eastAsia="Arial" w:hAnsi="Arial" w:cs="Arial"/>
          <w:color w:val="002F3C"/>
        </w:rPr>
        <w:t xml:space="preserve"> </w:t>
      </w:r>
      <w:r w:rsidRPr="00D07DDD">
        <w:rPr>
          <w:rFonts w:ascii="Arial" w:eastAsia="Arial" w:hAnsi="Arial" w:cs="Arial"/>
          <w:color w:val="002F3C"/>
        </w:rPr>
        <w:t>Acesso em: 3 set. 2025.</w:t>
      </w:r>
    </w:p>
    <w:p w14:paraId="4DFAB192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  <w:lang w:val="en-GB"/>
        </w:rPr>
      </w:pPr>
      <w:r w:rsidRPr="00D07DDD">
        <w:rPr>
          <w:rFonts w:ascii="Arial" w:eastAsia="Arial" w:hAnsi="Arial" w:cs="Arial"/>
          <w:color w:val="002F3C"/>
        </w:rPr>
        <w:t xml:space="preserve">HERNANDEZ, Roberto; FERNANDEZ-COLLADO, Carlos; BAPTISTA LUCIO, Pilar. </w:t>
      </w:r>
      <w:r w:rsidRPr="00D07DDD">
        <w:rPr>
          <w:rFonts w:ascii="Arial" w:eastAsia="Arial" w:hAnsi="Arial" w:cs="Arial"/>
          <w:b/>
          <w:color w:val="002F3C"/>
        </w:rPr>
        <w:t xml:space="preserve">Metodologia de </w:t>
      </w:r>
      <w:proofErr w:type="spellStart"/>
      <w:r w:rsidRPr="00D07DDD">
        <w:rPr>
          <w:rFonts w:ascii="Arial" w:eastAsia="Arial" w:hAnsi="Arial" w:cs="Arial"/>
          <w:b/>
          <w:color w:val="002F3C"/>
        </w:rPr>
        <w:t>la</w:t>
      </w:r>
      <w:proofErr w:type="spellEnd"/>
      <w:r w:rsidRPr="00D07DDD">
        <w:rPr>
          <w:rFonts w:ascii="Arial" w:eastAsia="Arial" w:hAnsi="Arial" w:cs="Arial"/>
          <w:b/>
          <w:color w:val="002F3C"/>
        </w:rPr>
        <w:t xml:space="preserve"> </w:t>
      </w:r>
      <w:proofErr w:type="spellStart"/>
      <w:r w:rsidRPr="00D07DDD">
        <w:rPr>
          <w:rFonts w:ascii="Arial" w:eastAsia="Arial" w:hAnsi="Arial" w:cs="Arial"/>
          <w:b/>
          <w:color w:val="002F3C"/>
        </w:rPr>
        <w:t>investigación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. 5. ed. Tradução de Livia </w:t>
      </w:r>
      <w:proofErr w:type="spellStart"/>
      <w:r w:rsidRPr="00D07DDD">
        <w:rPr>
          <w:rFonts w:ascii="Arial" w:eastAsia="Arial" w:hAnsi="Arial" w:cs="Arial"/>
          <w:color w:val="002F3C"/>
        </w:rPr>
        <w:t>Allgayer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 </w:t>
      </w:r>
      <w:proofErr w:type="spellStart"/>
      <w:r w:rsidRPr="00D07DDD">
        <w:rPr>
          <w:rFonts w:ascii="Arial" w:eastAsia="Arial" w:hAnsi="Arial" w:cs="Arial"/>
          <w:color w:val="002F3C"/>
        </w:rPr>
        <w:t>Freitag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. </w:t>
      </w:r>
      <w:r w:rsidRPr="00D07DDD">
        <w:rPr>
          <w:rFonts w:ascii="Arial" w:eastAsia="Arial" w:hAnsi="Arial" w:cs="Arial"/>
          <w:color w:val="002F3C"/>
          <w:lang w:val="en-GB"/>
        </w:rPr>
        <w:t>Porto Alegre: Penso Editora, 2013.</w:t>
      </w:r>
    </w:p>
    <w:p w14:paraId="257B081B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  <w:lang w:val="en-GB"/>
        </w:rPr>
      </w:pPr>
      <w:r w:rsidRPr="00D07DDD">
        <w:rPr>
          <w:rFonts w:ascii="Arial" w:eastAsia="Arial" w:hAnsi="Arial" w:cs="Arial"/>
          <w:color w:val="002F3C"/>
          <w:lang w:val="en-GB"/>
        </w:rPr>
        <w:t xml:space="preserve">HOHAMY, E.; GORTER, D. (org.). </w:t>
      </w:r>
      <w:r w:rsidRPr="00D07DDD">
        <w:rPr>
          <w:rFonts w:ascii="Arial" w:eastAsia="Arial" w:hAnsi="Arial" w:cs="Arial"/>
          <w:b/>
          <w:color w:val="002F3C"/>
          <w:lang w:val="en-GB"/>
        </w:rPr>
        <w:t>Linguistic landscape</w:t>
      </w:r>
      <w:r w:rsidRPr="00D07DDD">
        <w:rPr>
          <w:rFonts w:ascii="Arial" w:eastAsia="Arial" w:hAnsi="Arial" w:cs="Arial"/>
          <w:color w:val="002F3C"/>
          <w:lang w:val="en-GB"/>
        </w:rPr>
        <w:t>: expanding the scenery. New York: Routledge, 2009.</w:t>
      </w:r>
    </w:p>
    <w:p w14:paraId="7BF2B405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  <w:lang w:val="en-GB"/>
        </w:rPr>
      </w:pPr>
      <w:r w:rsidRPr="00D07DDD">
        <w:rPr>
          <w:rFonts w:ascii="Arial" w:eastAsia="Arial" w:hAnsi="Arial" w:cs="Arial"/>
          <w:color w:val="002F3C"/>
        </w:rPr>
        <w:t xml:space="preserve">INSTITUTO BRASILEIRO DE GEOGRAFIA E ESTATÍSTICA (IBGE). </w:t>
      </w:r>
      <w:r w:rsidRPr="00D07DDD">
        <w:rPr>
          <w:rFonts w:ascii="Arial" w:eastAsia="Arial" w:hAnsi="Arial" w:cs="Arial"/>
          <w:b/>
          <w:color w:val="002F3C"/>
        </w:rPr>
        <w:t>Censo demográfico 2022</w:t>
      </w:r>
      <w:r w:rsidRPr="00D07DDD">
        <w:rPr>
          <w:rFonts w:ascii="Arial" w:eastAsia="Arial" w:hAnsi="Arial" w:cs="Arial"/>
          <w:color w:val="002F3C"/>
        </w:rPr>
        <w:t xml:space="preserve">: resultados. Rio de Janeiro: IBGE, 2022. </w:t>
      </w:r>
      <w:proofErr w:type="spellStart"/>
      <w:r w:rsidRPr="00D07DDD">
        <w:rPr>
          <w:rFonts w:ascii="Arial" w:eastAsia="Arial" w:hAnsi="Arial" w:cs="Arial"/>
          <w:color w:val="002F3C"/>
          <w:lang w:val="en-GB"/>
        </w:rPr>
        <w:t>Disponível</w:t>
      </w:r>
      <w:proofErr w:type="spellEnd"/>
      <w:r w:rsidRPr="00D07DDD">
        <w:rPr>
          <w:rFonts w:ascii="Arial" w:eastAsia="Arial" w:hAnsi="Arial" w:cs="Arial"/>
          <w:color w:val="002F3C"/>
          <w:lang w:val="en-GB"/>
        </w:rPr>
        <w:t xml:space="preserve"> </w:t>
      </w:r>
      <w:proofErr w:type="spellStart"/>
      <w:r w:rsidRPr="00D07DDD">
        <w:rPr>
          <w:rFonts w:ascii="Arial" w:eastAsia="Arial" w:hAnsi="Arial" w:cs="Arial"/>
          <w:color w:val="002F3C"/>
          <w:lang w:val="en-GB"/>
        </w:rPr>
        <w:t>em</w:t>
      </w:r>
      <w:proofErr w:type="spellEnd"/>
      <w:r w:rsidRPr="00D07DDD">
        <w:rPr>
          <w:rFonts w:ascii="Arial" w:eastAsia="Arial" w:hAnsi="Arial" w:cs="Arial"/>
          <w:color w:val="002F3C"/>
          <w:lang w:val="en-GB"/>
        </w:rPr>
        <w:t xml:space="preserve">: </w:t>
      </w:r>
      <w:hyperlink r:id="rId16">
        <w:r w:rsidRPr="00D07DDD">
          <w:rPr>
            <w:rFonts w:ascii="Arial" w:eastAsia="Arial" w:hAnsi="Arial" w:cs="Arial"/>
            <w:color w:val="002F3C"/>
            <w:u w:val="single"/>
            <w:lang w:val="en-GB"/>
          </w:rPr>
          <w:t>https://censo2022.ibge.gov.br/</w:t>
        </w:r>
      </w:hyperlink>
      <w:r w:rsidRPr="00D07DDD">
        <w:rPr>
          <w:rFonts w:ascii="Arial" w:eastAsia="Arial" w:hAnsi="Arial" w:cs="Arial"/>
          <w:color w:val="002F3C"/>
          <w:lang w:val="en-GB"/>
        </w:rPr>
        <w:t xml:space="preserve">. </w:t>
      </w:r>
    </w:p>
    <w:p w14:paraId="28F11735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  <w:lang w:val="en-GB"/>
        </w:rPr>
        <w:t xml:space="preserve">LANDRY, R.; BOURHIS, R. Y. Linguistic landscape and ethnolinguistic vitality. </w:t>
      </w:r>
      <w:r w:rsidRPr="00D07DDD">
        <w:rPr>
          <w:rFonts w:ascii="Arial" w:eastAsia="Arial" w:hAnsi="Arial" w:cs="Arial"/>
          <w:b/>
          <w:color w:val="002F3C"/>
          <w:lang w:val="en-GB"/>
        </w:rPr>
        <w:t>Journal of Language and Social Psychology</w:t>
      </w:r>
      <w:r w:rsidRPr="00D07DDD">
        <w:rPr>
          <w:rFonts w:ascii="Arial" w:eastAsia="Arial" w:hAnsi="Arial" w:cs="Arial"/>
          <w:color w:val="002F3C"/>
          <w:lang w:val="en-GB"/>
        </w:rPr>
        <w:t xml:space="preserve">, v. 16, n. 1, p. 23-49, 1997. </w:t>
      </w:r>
      <w:r w:rsidRPr="00D07DDD">
        <w:rPr>
          <w:rFonts w:ascii="Arial" w:eastAsia="Arial" w:hAnsi="Arial" w:cs="Arial"/>
          <w:color w:val="002F3C"/>
        </w:rPr>
        <w:t xml:space="preserve">DOI: </w:t>
      </w:r>
      <w:hyperlink r:id="rId17">
        <w:r w:rsidRPr="00D07DDD">
          <w:rPr>
            <w:rFonts w:ascii="Arial" w:eastAsia="Arial" w:hAnsi="Arial" w:cs="Arial"/>
            <w:color w:val="002F3C"/>
            <w:u w:val="single"/>
          </w:rPr>
          <w:t>https://doi.org/10.1177/0261927X970161002</w:t>
        </w:r>
      </w:hyperlink>
      <w:r w:rsidRPr="00D07DDD">
        <w:rPr>
          <w:rFonts w:ascii="Arial" w:eastAsia="Arial" w:hAnsi="Arial" w:cs="Arial"/>
          <w:color w:val="002F3C"/>
        </w:rPr>
        <w:t>.</w:t>
      </w:r>
    </w:p>
    <w:p w14:paraId="44141B9A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LAULATE MONCAYO, </w:t>
      </w:r>
      <w:proofErr w:type="spellStart"/>
      <w:r w:rsidRPr="00D07DDD">
        <w:rPr>
          <w:rFonts w:ascii="Arial" w:eastAsia="Arial" w:hAnsi="Arial" w:cs="Arial"/>
          <w:color w:val="002F3C"/>
        </w:rPr>
        <w:t>Vanúbia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 Araújo; RIBEIRO, Joana D’Arc. O turismo praticado pela Pousada Ecológica Aldeia dos Lagos junto às comunidades de São João, Santa Luzia do </w:t>
      </w:r>
      <w:proofErr w:type="spellStart"/>
      <w:r w:rsidRPr="00D07DDD">
        <w:rPr>
          <w:rFonts w:ascii="Arial" w:eastAsia="Arial" w:hAnsi="Arial" w:cs="Arial"/>
          <w:color w:val="002F3C"/>
        </w:rPr>
        <w:t>Sanabani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 e São Sebastião do </w:t>
      </w:r>
      <w:proofErr w:type="spellStart"/>
      <w:r w:rsidRPr="00D07DDD">
        <w:rPr>
          <w:rFonts w:ascii="Arial" w:eastAsia="Arial" w:hAnsi="Arial" w:cs="Arial"/>
          <w:color w:val="002F3C"/>
        </w:rPr>
        <w:t>Itapani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 no município de Silves – Amazonas. </w:t>
      </w:r>
      <w:r w:rsidRPr="00D07DDD">
        <w:rPr>
          <w:rFonts w:ascii="Arial" w:eastAsia="Arial" w:hAnsi="Arial" w:cs="Arial"/>
          <w:b/>
          <w:color w:val="002F3C"/>
        </w:rPr>
        <w:t>PASOS</w:t>
      </w:r>
      <w:r w:rsidRPr="00D07DDD">
        <w:rPr>
          <w:rFonts w:ascii="Arial" w:eastAsia="Arial" w:hAnsi="Arial" w:cs="Arial"/>
          <w:color w:val="002F3C"/>
        </w:rPr>
        <w:t>: Revista de Turismo y Patrimonio Cultura, La Laguna, v. 3, n. 1, p. 87-95, 2005.</w:t>
      </w:r>
    </w:p>
    <w:p w14:paraId="5273CA7F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  <w:lang w:val="en-GB"/>
        </w:rPr>
      </w:pPr>
      <w:r w:rsidRPr="00D07DDD">
        <w:rPr>
          <w:rFonts w:ascii="Arial" w:eastAsia="Arial" w:hAnsi="Arial" w:cs="Arial"/>
          <w:color w:val="002F3C"/>
        </w:rPr>
        <w:t xml:space="preserve">MUNARI, Bruno. </w:t>
      </w:r>
      <w:r w:rsidRPr="00D07DDD">
        <w:rPr>
          <w:rFonts w:ascii="Arial" w:eastAsia="Arial" w:hAnsi="Arial" w:cs="Arial"/>
          <w:b/>
          <w:color w:val="002F3C"/>
        </w:rPr>
        <w:t>Design e Comunicação Visual</w:t>
      </w:r>
      <w:r w:rsidRPr="00D07DDD">
        <w:rPr>
          <w:rFonts w:ascii="Arial" w:eastAsia="Arial" w:hAnsi="Arial" w:cs="Arial"/>
          <w:color w:val="002F3C"/>
        </w:rPr>
        <w:t xml:space="preserve">: Contribuição para uma Metodologia Didática. </w:t>
      </w:r>
      <w:r w:rsidRPr="00D07DDD">
        <w:rPr>
          <w:rFonts w:ascii="Arial" w:eastAsia="Arial" w:hAnsi="Arial" w:cs="Arial"/>
          <w:color w:val="002F3C"/>
          <w:lang w:val="en-GB"/>
        </w:rPr>
        <w:t>São Paulo: Martins Fontes, 2006.</w:t>
      </w:r>
    </w:p>
    <w:p w14:paraId="3F2C4506" w14:textId="75710995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  <w:lang w:val="en-GB"/>
        </w:rPr>
        <w:t xml:space="preserve">NENOTEK, S. A. et al. The linguistic landscape for sustainable and inclusive tourism: insight from Timor Tengah Selatan, Indonesia. </w:t>
      </w:r>
      <w:proofErr w:type="spellStart"/>
      <w:r w:rsidRPr="00D07DDD">
        <w:rPr>
          <w:rFonts w:ascii="Arial" w:eastAsia="Arial" w:hAnsi="Arial" w:cs="Arial"/>
          <w:b/>
          <w:color w:val="002F3C"/>
        </w:rPr>
        <w:t>Cogent</w:t>
      </w:r>
      <w:proofErr w:type="spellEnd"/>
      <w:r w:rsidRPr="00D07DDD">
        <w:rPr>
          <w:rFonts w:ascii="Arial" w:eastAsia="Arial" w:hAnsi="Arial" w:cs="Arial"/>
          <w:b/>
          <w:color w:val="002F3C"/>
        </w:rPr>
        <w:t xml:space="preserve"> </w:t>
      </w:r>
      <w:proofErr w:type="spellStart"/>
      <w:r w:rsidRPr="00D07DDD">
        <w:rPr>
          <w:rFonts w:ascii="Arial" w:eastAsia="Arial" w:hAnsi="Arial" w:cs="Arial"/>
          <w:b/>
          <w:color w:val="002F3C"/>
        </w:rPr>
        <w:t>Arts</w:t>
      </w:r>
      <w:proofErr w:type="spellEnd"/>
      <w:r w:rsidRPr="00D07DDD">
        <w:rPr>
          <w:rFonts w:ascii="Arial" w:eastAsia="Arial" w:hAnsi="Arial" w:cs="Arial"/>
          <w:b/>
          <w:color w:val="002F3C"/>
        </w:rPr>
        <w:t xml:space="preserve"> &amp; </w:t>
      </w:r>
      <w:proofErr w:type="spellStart"/>
      <w:r w:rsidRPr="00D07DDD">
        <w:rPr>
          <w:rFonts w:ascii="Arial" w:eastAsia="Arial" w:hAnsi="Arial" w:cs="Arial"/>
          <w:b/>
          <w:color w:val="002F3C"/>
        </w:rPr>
        <w:t>Humanities</w:t>
      </w:r>
      <w:proofErr w:type="spellEnd"/>
      <w:r w:rsidRPr="00D07DDD">
        <w:rPr>
          <w:rFonts w:ascii="Arial" w:eastAsia="Arial" w:hAnsi="Arial" w:cs="Arial"/>
          <w:color w:val="002F3C"/>
        </w:rPr>
        <w:t xml:space="preserve">, v. 12, n. 1, 2024. Disponível em: </w:t>
      </w:r>
      <w:hyperlink r:id="rId18">
        <w:r w:rsidRPr="00D07DDD">
          <w:rPr>
            <w:rFonts w:ascii="Arial" w:eastAsia="Arial" w:hAnsi="Arial" w:cs="Arial"/>
            <w:color w:val="002F3C"/>
            <w:u w:val="single"/>
          </w:rPr>
          <w:t>https://doi.org/10.1080/23311983.2024.2441579</w:t>
        </w:r>
      </w:hyperlink>
      <w:r w:rsidR="00D07DDD">
        <w:rPr>
          <w:rFonts w:ascii="Arial" w:hAnsi="Arial" w:cs="Arial"/>
        </w:rPr>
        <w:t>.</w:t>
      </w:r>
    </w:p>
    <w:p w14:paraId="2060DDAF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OLIVEIRA, Gabriel Pereira de. </w:t>
      </w:r>
      <w:r w:rsidRPr="00D07DDD">
        <w:rPr>
          <w:rFonts w:ascii="Arial" w:eastAsia="Arial" w:hAnsi="Arial" w:cs="Arial"/>
          <w:b/>
          <w:color w:val="002F3C"/>
        </w:rPr>
        <w:t>Guardando a memória</w:t>
      </w:r>
      <w:r w:rsidRPr="00D07DDD">
        <w:rPr>
          <w:rFonts w:ascii="Arial" w:eastAsia="Arial" w:hAnsi="Arial" w:cs="Arial"/>
          <w:color w:val="002F3C"/>
        </w:rPr>
        <w:t xml:space="preserve">: acervos arqueológicos e coleções domésticos em Maués, Amazonas. 2024. 136 f. Dissertação (Mestrado em </w:t>
      </w:r>
      <w:r w:rsidRPr="00D07DDD">
        <w:rPr>
          <w:rFonts w:ascii="Arial" w:eastAsia="Arial" w:hAnsi="Arial" w:cs="Arial"/>
          <w:color w:val="002F3C"/>
        </w:rPr>
        <w:lastRenderedPageBreak/>
        <w:t>Ciências do Ambiente e Sustentabilidade na Amazônia) – Universidade Federal do Amazonas, Manaus, 2024.</w:t>
      </w:r>
    </w:p>
    <w:p w14:paraId="3F2548A2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ORGANIZAÇÃO DAS NAÇÕES UNIDAS. </w:t>
      </w:r>
      <w:r w:rsidRPr="00D07DDD">
        <w:rPr>
          <w:rFonts w:ascii="Arial" w:eastAsia="Arial" w:hAnsi="Arial" w:cs="Arial"/>
          <w:b/>
          <w:color w:val="002F3C"/>
        </w:rPr>
        <w:t>Transformando nosso mundo</w:t>
      </w:r>
      <w:r w:rsidRPr="00D07DDD">
        <w:rPr>
          <w:rFonts w:ascii="Arial" w:eastAsia="Arial" w:hAnsi="Arial" w:cs="Arial"/>
          <w:color w:val="002F3C"/>
        </w:rPr>
        <w:t xml:space="preserve">: a Agenda 2030 para o Desenvolvimento Sustentável. Nova York: ONU, 2015. Disponível em: </w:t>
      </w:r>
      <w:hyperlink r:id="rId19">
        <w:r w:rsidRPr="00D07DDD">
          <w:rPr>
            <w:rFonts w:ascii="Arial" w:eastAsia="Arial" w:hAnsi="Arial" w:cs="Arial"/>
            <w:color w:val="002F3C"/>
            <w:u w:val="single"/>
          </w:rPr>
          <w:t>https://brasil.un.org/pt-br/sdgs</w:t>
        </w:r>
      </w:hyperlink>
      <w:r w:rsidRPr="00D07DDD">
        <w:rPr>
          <w:rFonts w:ascii="Arial" w:eastAsia="Arial" w:hAnsi="Arial" w:cs="Arial"/>
          <w:color w:val="002F3C"/>
        </w:rPr>
        <w:t>. Acesso em: 13 ago. 2025.</w:t>
      </w:r>
    </w:p>
    <w:p w14:paraId="14604253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ORGANIZAÇÃO MUNDIAL DE TURISMO. </w:t>
      </w:r>
      <w:r w:rsidRPr="00D07DDD">
        <w:rPr>
          <w:rFonts w:ascii="Arial" w:eastAsia="Arial" w:hAnsi="Arial" w:cs="Arial"/>
          <w:b/>
          <w:color w:val="002F3C"/>
        </w:rPr>
        <w:t>Guia de desenvolvimento do turismo sustentável</w:t>
      </w:r>
      <w:r w:rsidRPr="00D07DDD">
        <w:rPr>
          <w:rFonts w:ascii="Arial" w:eastAsia="Arial" w:hAnsi="Arial" w:cs="Arial"/>
          <w:color w:val="002F3C"/>
        </w:rPr>
        <w:t xml:space="preserve">. Tradução de Sandra </w:t>
      </w:r>
      <w:proofErr w:type="spellStart"/>
      <w:r w:rsidRPr="00D07DDD">
        <w:rPr>
          <w:rFonts w:ascii="Arial" w:eastAsia="Arial" w:hAnsi="Arial" w:cs="Arial"/>
          <w:color w:val="002F3C"/>
        </w:rPr>
        <w:t>Netz</w:t>
      </w:r>
      <w:proofErr w:type="spellEnd"/>
      <w:r w:rsidRPr="00D07DDD">
        <w:rPr>
          <w:rFonts w:ascii="Arial" w:eastAsia="Arial" w:hAnsi="Arial" w:cs="Arial"/>
          <w:color w:val="002F3C"/>
        </w:rPr>
        <w:t>. Porto Alegre: Bookman, 2023.</w:t>
      </w:r>
    </w:p>
    <w:p w14:paraId="4BDD2AF7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SANTAELLA, Lúcia. </w:t>
      </w:r>
      <w:r w:rsidRPr="00D07DDD">
        <w:rPr>
          <w:rFonts w:ascii="Arial" w:eastAsia="Arial" w:hAnsi="Arial" w:cs="Arial"/>
          <w:b/>
          <w:color w:val="002F3C"/>
        </w:rPr>
        <w:t>Estética da comunicação</w:t>
      </w:r>
      <w:r w:rsidRPr="00D07DDD">
        <w:rPr>
          <w:rFonts w:ascii="Arial" w:eastAsia="Arial" w:hAnsi="Arial" w:cs="Arial"/>
          <w:color w:val="002F3C"/>
        </w:rPr>
        <w:t>. São Paulo: Paulus, 2001.</w:t>
      </w:r>
    </w:p>
    <w:p w14:paraId="7EC62423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THIOLLENT, M. </w:t>
      </w:r>
      <w:r w:rsidRPr="00D07DDD">
        <w:rPr>
          <w:rFonts w:ascii="Arial" w:eastAsia="Arial" w:hAnsi="Arial" w:cs="Arial"/>
          <w:b/>
          <w:bCs/>
          <w:color w:val="002F3C"/>
        </w:rPr>
        <w:t>Metodologia da pesquisa-ação</w:t>
      </w:r>
      <w:r w:rsidRPr="00D07DDD">
        <w:rPr>
          <w:rFonts w:ascii="Arial" w:eastAsia="Arial" w:hAnsi="Arial" w:cs="Arial"/>
          <w:color w:val="002F3C"/>
        </w:rPr>
        <w:t>. 18. ed. São Paulo: Cortez, 2011.</w:t>
      </w:r>
    </w:p>
    <w:p w14:paraId="12654DD3" w14:textId="77777777" w:rsidR="00900BE9" w:rsidRPr="00D07DDD" w:rsidRDefault="00900BE9" w:rsidP="00D07DDD">
      <w:pPr>
        <w:spacing w:before="240" w:after="240" w:line="240" w:lineRule="auto"/>
        <w:jc w:val="both"/>
        <w:rPr>
          <w:rFonts w:ascii="Arial" w:eastAsia="Arial" w:hAnsi="Arial" w:cs="Arial"/>
          <w:color w:val="002F3C"/>
        </w:rPr>
      </w:pPr>
      <w:r w:rsidRPr="00D07DDD">
        <w:rPr>
          <w:rFonts w:ascii="Arial" w:eastAsia="Arial" w:hAnsi="Arial" w:cs="Arial"/>
          <w:color w:val="002F3C"/>
        </w:rPr>
        <w:t xml:space="preserve">UNESCO. </w:t>
      </w:r>
      <w:r w:rsidRPr="00D07DDD">
        <w:rPr>
          <w:rFonts w:ascii="Arial" w:eastAsia="Arial" w:hAnsi="Arial" w:cs="Arial"/>
          <w:b/>
          <w:color w:val="002F3C"/>
        </w:rPr>
        <w:t>Convenção para a salvaguarda do patrimônio cultural imaterial</w:t>
      </w:r>
      <w:r w:rsidRPr="00D07DDD">
        <w:rPr>
          <w:rFonts w:ascii="Arial" w:eastAsia="Arial" w:hAnsi="Arial" w:cs="Arial"/>
          <w:color w:val="002F3C"/>
        </w:rPr>
        <w:t xml:space="preserve">. Paris: UNESCO, 2003. Disponível em: </w:t>
      </w:r>
      <w:hyperlink r:id="rId20">
        <w:r w:rsidRPr="00D07DDD">
          <w:rPr>
            <w:rFonts w:ascii="Arial" w:eastAsia="Arial" w:hAnsi="Arial" w:cs="Arial"/>
            <w:color w:val="002F3C"/>
            <w:u w:val="single"/>
          </w:rPr>
          <w:t>https://unesdoc.unesco.org/ark:/48223/pf0000132540</w:t>
        </w:r>
      </w:hyperlink>
      <w:r w:rsidRPr="00D07DDD">
        <w:rPr>
          <w:rFonts w:ascii="Arial" w:eastAsia="Arial" w:hAnsi="Arial" w:cs="Arial"/>
          <w:color w:val="002F3C"/>
        </w:rPr>
        <w:t>.</w:t>
      </w:r>
    </w:p>
    <w:sectPr w:rsidR="00900BE9" w:rsidRPr="00D07DDD">
      <w:headerReference w:type="default" r:id="rId21"/>
      <w:footerReference w:type="default" r:id="rId22"/>
      <w:pgSz w:w="11906" w:h="16838"/>
      <w:pgMar w:top="2552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C33C4" w14:textId="77777777" w:rsidR="00A76B79" w:rsidRDefault="00A76B79">
      <w:pPr>
        <w:spacing w:after="0" w:line="240" w:lineRule="auto"/>
      </w:pPr>
      <w:r>
        <w:separator/>
      </w:r>
    </w:p>
  </w:endnote>
  <w:endnote w:type="continuationSeparator" w:id="0">
    <w:p w14:paraId="6E3D91E7" w14:textId="77777777" w:rsidR="00A76B79" w:rsidRDefault="00A76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55CEF" w14:textId="77777777" w:rsidR="00F10A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24D28F4" wp14:editId="5528D781">
          <wp:simplePos x="0" y="0"/>
          <wp:positionH relativeFrom="column">
            <wp:posOffset>-1082674</wp:posOffset>
          </wp:positionH>
          <wp:positionV relativeFrom="paragraph">
            <wp:posOffset>-3945685</wp:posOffset>
          </wp:positionV>
          <wp:extent cx="7557831" cy="5150331"/>
          <wp:effectExtent l="0" t="0" r="0" b="0"/>
          <wp:wrapNone/>
          <wp:docPr id="8008596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51820"/>
                  <a:stretch>
                    <a:fillRect/>
                  </a:stretch>
                </pic:blipFill>
                <pic:spPr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4B37EE" w14:textId="77777777" w:rsidR="00F10AEE" w:rsidRDefault="00F10A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8AD9003" w14:textId="77777777" w:rsidR="00F10AEE" w:rsidRDefault="00F10A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57A81CF" w14:textId="77777777" w:rsidR="00F10AEE" w:rsidRDefault="00F10A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1D065" w14:textId="77777777" w:rsidR="00A76B79" w:rsidRDefault="00A76B79">
      <w:pPr>
        <w:spacing w:after="0" w:line="240" w:lineRule="auto"/>
      </w:pPr>
      <w:r>
        <w:separator/>
      </w:r>
    </w:p>
  </w:footnote>
  <w:footnote w:type="continuationSeparator" w:id="0">
    <w:p w14:paraId="66041337" w14:textId="77777777" w:rsidR="00A76B79" w:rsidRDefault="00A76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64569" w14:textId="77777777" w:rsidR="00F10A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26CD2DA" wp14:editId="73E1A393">
          <wp:simplePos x="0" y="0"/>
          <wp:positionH relativeFrom="column">
            <wp:posOffset>-1105331</wp:posOffset>
          </wp:positionH>
          <wp:positionV relativeFrom="paragraph">
            <wp:posOffset>-440054</wp:posOffset>
          </wp:positionV>
          <wp:extent cx="7626753" cy="5603132"/>
          <wp:effectExtent l="0" t="0" r="0" b="0"/>
          <wp:wrapNone/>
          <wp:docPr id="9799355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69" t="1" r="-168" b="48054"/>
                  <a:stretch>
                    <a:fillRect/>
                  </a:stretch>
                </pic:blipFill>
                <pic:spPr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B1B239" w14:textId="77777777" w:rsidR="00F10AEE" w:rsidRDefault="00F10A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50F0FD3" w14:textId="77777777" w:rsidR="00F10AEE" w:rsidRDefault="00F10A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34D17"/>
    <w:multiLevelType w:val="multilevel"/>
    <w:tmpl w:val="6CF0C9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682074"/>
    <w:multiLevelType w:val="multilevel"/>
    <w:tmpl w:val="70C4B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D549F4"/>
    <w:multiLevelType w:val="multilevel"/>
    <w:tmpl w:val="9C36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722300"/>
    <w:multiLevelType w:val="multilevel"/>
    <w:tmpl w:val="E886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F1532"/>
    <w:multiLevelType w:val="multilevel"/>
    <w:tmpl w:val="C0D2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605887">
    <w:abstractNumId w:val="0"/>
  </w:num>
  <w:num w:numId="2" w16cid:durableId="21441417">
    <w:abstractNumId w:val="3"/>
  </w:num>
  <w:num w:numId="3" w16cid:durableId="304312796">
    <w:abstractNumId w:val="2"/>
  </w:num>
  <w:num w:numId="4" w16cid:durableId="295111058">
    <w:abstractNumId w:val="1"/>
  </w:num>
  <w:num w:numId="5" w16cid:durableId="11993926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AEE"/>
    <w:rsid w:val="00041255"/>
    <w:rsid w:val="000D48CC"/>
    <w:rsid w:val="001A3CAC"/>
    <w:rsid w:val="001D7ADC"/>
    <w:rsid w:val="00264C6E"/>
    <w:rsid w:val="00265D9D"/>
    <w:rsid w:val="00283050"/>
    <w:rsid w:val="00284DB5"/>
    <w:rsid w:val="002E5F71"/>
    <w:rsid w:val="003814B8"/>
    <w:rsid w:val="00393F37"/>
    <w:rsid w:val="003A290A"/>
    <w:rsid w:val="003C0908"/>
    <w:rsid w:val="00415F7A"/>
    <w:rsid w:val="004B2B46"/>
    <w:rsid w:val="004C30DD"/>
    <w:rsid w:val="004D1DBC"/>
    <w:rsid w:val="00576131"/>
    <w:rsid w:val="006302B2"/>
    <w:rsid w:val="006E5721"/>
    <w:rsid w:val="007469E4"/>
    <w:rsid w:val="00767CFE"/>
    <w:rsid w:val="007F3688"/>
    <w:rsid w:val="00835BCF"/>
    <w:rsid w:val="008372F8"/>
    <w:rsid w:val="0087510C"/>
    <w:rsid w:val="008A13E5"/>
    <w:rsid w:val="008B4DF8"/>
    <w:rsid w:val="008E6432"/>
    <w:rsid w:val="00900BE9"/>
    <w:rsid w:val="009E6D40"/>
    <w:rsid w:val="009F6039"/>
    <w:rsid w:val="00A31626"/>
    <w:rsid w:val="00A366E4"/>
    <w:rsid w:val="00A44B31"/>
    <w:rsid w:val="00A76B79"/>
    <w:rsid w:val="00AB7DCE"/>
    <w:rsid w:val="00AC14A4"/>
    <w:rsid w:val="00B163A2"/>
    <w:rsid w:val="00C03AAB"/>
    <w:rsid w:val="00CE2353"/>
    <w:rsid w:val="00D07DDD"/>
    <w:rsid w:val="00D91288"/>
    <w:rsid w:val="00DD0600"/>
    <w:rsid w:val="00E659DE"/>
    <w:rsid w:val="00ED1920"/>
    <w:rsid w:val="00F10AEE"/>
    <w:rsid w:val="00F4280C"/>
    <w:rsid w:val="00F711D8"/>
    <w:rsid w:val="00F82C36"/>
    <w:rsid w:val="00F904B9"/>
    <w:rsid w:val="00FD235C"/>
    <w:rsid w:val="00FF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BFD5D0"/>
  <w15:docId w15:val="{736DC626-DF78-4BA9-888E-B3450419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8F3EB5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MenoPendente">
    <w:name w:val="Unresolved Mention"/>
    <w:basedOn w:val="Fontepargpadro"/>
    <w:uiPriority w:val="99"/>
    <w:semiHidden/>
    <w:unhideWhenUsed/>
    <w:rsid w:val="000D48C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3A2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7AD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doi.org/10.1080/23311983.2024.244157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psycnet.apa.org/doi/10.1177/0261927X97016100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enso2022.ibge.gov.br/" TargetMode="External"/><Relationship Id="rId20" Type="http://schemas.openxmlformats.org/officeDocument/2006/relationships/hyperlink" Target="https://unesdoc.unesco.org/ark:/48223/pf000013254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aps.app.goo.gl/d7Cqnf6yht1Sjub49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brasil.un.org/pt-br/sdg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lQmlywqJ4T1bnI2BVlAEyd/lcw==">CgMxLjAyDmguNnV2cGN5Z3lxbnYwMgloLjMwajB6bGwyCWguMWZvYjl0ZTgAciExN0ZNc3B3cjBkTlc1Vjk0OVlQVldWN0ZqSGo4WjNmR1o=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12</Pages>
  <Words>3153</Words>
  <Characters>17032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Thaíssa Gabrielle Ferreira Henrique</dc:creator>
  <cp:lastModifiedBy>Samantha Carvalho</cp:lastModifiedBy>
  <cp:revision>38</cp:revision>
  <dcterms:created xsi:type="dcterms:W3CDTF">2025-09-02T18:51:00Z</dcterms:created>
  <dcterms:modified xsi:type="dcterms:W3CDTF">2025-09-04T21:01:00Z</dcterms:modified>
</cp:coreProperties>
</file>