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both"/>
        <w:rPr>
          <w:rFonts w:ascii="Arial" w:hAnsi="Arial" w:cs="Arial" w:eastAsia="Arial"/>
          <w:b/>
          <w:color w:val="auto"/>
          <w:spacing w:val="0"/>
          <w:position w:val="0"/>
          <w:sz w:val="24"/>
          <w:shd w:fill="auto" w:val="clear"/>
        </w:rPr>
      </w:pPr>
    </w:p>
    <w:p>
      <w:pPr>
        <w:spacing w:before="0" w:after="0" w:line="36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ESTRATÉGIA ORGANIZACIONAL E INOVAÇÃO</w:t>
      </w:r>
    </w:p>
    <w:p>
      <w:pPr>
        <w:spacing w:before="0" w:after="0" w:line="360"/>
        <w:ind w:right="0" w:left="0" w:firstLine="0"/>
        <w:jc w:val="center"/>
        <w:rPr>
          <w:rFonts w:ascii="Arial" w:hAnsi="Arial" w:cs="Arial" w:eastAsia="Arial"/>
          <w:b/>
          <w:color w:val="auto"/>
          <w:spacing w:val="0"/>
          <w:position w:val="0"/>
          <w:sz w:val="24"/>
          <w:shd w:fill="auto" w:val="clear"/>
        </w:rPr>
      </w:pPr>
    </w:p>
    <w:p>
      <w:pPr>
        <w:spacing w:before="0" w:after="0" w:line="36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AMAR ATÉ O FIM: COMO A CREMAÇÃO PET REFLETE A HUMANIZAÇÃO DAS RELAÇÕES COM OS ANIMAIS</w:t>
      </w:r>
    </w:p>
    <w:p>
      <w:pPr>
        <w:keepNext w:val="true"/>
        <w:keepLines w:val="true"/>
        <w:spacing w:before="48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Resumo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Este estudo investiga a cremação de animais de estimação como uma inovação disruptiva no setor pet brasileiro, inserida no contexto da crescente humanização das relações entre humanos e animais, onde os pets são vistos como membros da família e demandam cuidados afetivos, inclusive no fim da vida. Com um mercado em expansão que inclui milhões de cães e gatos nos lares do país, o trabalho aborda como esse serviço transforma práticas tradicionais de descarte em rituais significativos, atendendo a novas demandas emocionais e econômicas. O objetivo é identificar de que forma a cremação pet reflete e impulsiona essa humanização, mapeando fatores socioculturais que a favorecem, identificando estratégias inovadoras das empresas e discutindo impactos para tutores e o setor. O método adotado é qualitativo e exploratório, baseado em revisão de literatura acadêmica para coletar e analisar dados sobre o tema. Os principais resultados revelam que as empresas funerárias pet geram valor simbólico, legitimando o luto pelos animais e proporcionando vantagem competitiva em um nicho em crescimento. Em conclusão, a cremação converte um segmento negligenciado em oportunidade sustentável de negócio, promovendo práticas organizacionais mais empáticas e socialmente responsáveis, com contribuições para o debate sobre inovação em serviços e subsídios para empreendedores e políticas regulatórias éticas.</w:t>
      </w:r>
    </w:p>
    <w:p>
      <w:pPr>
        <w:spacing w:before="0" w:after="0" w:line="360"/>
        <w:ind w:right="0" w:left="0" w:firstLine="0"/>
        <w:jc w:val="both"/>
        <w:rPr>
          <w:rFonts w:ascii="Arial" w:hAnsi="Arial" w:cs="Arial" w:eastAsia="Arial"/>
          <w:b/>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Palavras-chave:</w:t>
      </w:r>
      <w:r>
        <w:rPr>
          <w:rFonts w:ascii="Arial" w:hAnsi="Arial" w:cs="Arial" w:eastAsia="Arial"/>
          <w:color w:val="auto"/>
          <w:spacing w:val="0"/>
          <w:position w:val="0"/>
          <w:sz w:val="24"/>
          <w:shd w:fill="auto" w:val="clear"/>
        </w:rPr>
        <w:t xml:space="preserve"> Inovação. Mercado Pet. Humanização Animal.</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study investigates pet cremation as a disruptive innovation in Brazil's pet sector, situated within the context of the growing humanization of human-animal relationships, where pets are viewed as family members and require affective care, including at the end of life. With an expanding market that includes millions of dogs and cats in households across the country, this work addresses how this service transforms traditional disposal practices into meaningful rituals, meeting new emotional and economic demands. The objective is to identify how pet cremation reflects and drives this humanization, mapping sociocultural factors that favor it, identifying innovative strategies of companies, and discussing impacts for pet owners and the sector. The adopted method is qualitative and exploratory, based on academic literature review to collect and analyze data on the topic. The main results reveal that pet funeral companies generate symbolic value, legitimizing grief for animals and providing competitive advantage in a growing niche. In conclusion, cremation converts a neglected segment into a sustainable business opportunity, promoting more empathetic and socially responsible organizational practices, with contributions to the debate on service innovation and support for entrepreneurs and ethical regulatory policies.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Innovation. Pet Market. Animal Humanization.</w:t>
      </w:r>
    </w:p>
    <w:p>
      <w:pPr>
        <w:spacing w:before="0" w:after="0" w:line="360"/>
        <w:ind w:right="0" w:left="0" w:firstLine="0"/>
        <w:jc w:val="both"/>
        <w:rPr>
          <w:rFonts w:ascii="Arial" w:hAnsi="Arial" w:cs="Arial" w:eastAsia="Arial"/>
          <w:color w:val="auto"/>
          <w:spacing w:val="0"/>
          <w:position w:val="0"/>
          <w:sz w:val="24"/>
          <w:shd w:fill="auto" w:val="clear"/>
        </w:rPr>
      </w:pPr>
    </w:p>
    <w:p>
      <w:pPr>
        <w:keepNext w:val="true"/>
        <w:keepLines w:val="true"/>
        <w:spacing w:before="48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 Introdução</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 relação entre humanos e animais de companhia passou por profundas transformações nas últimas décadas, caracterizada como um processo de humanização dos pets (LIMA et al., 2021). Este movimento ganhou força globalmente a partir dos anos 1990, com o surgimento de serviços funerários especializados para animais em países como Estados Unidos e Reino Unido. O mercado de cremação pet atingiu US$ 1,5 bilhão em 2022, projetado para crescer a US$ 2,8 bilhões até 2030, impulsionado pela visão de pets como membros da família.</w:t>
      </w:r>
      <w:r>
        <w:rPr>
          <w:rFonts w:ascii="Arial" w:hAnsi="Arial" w:cs="Arial" w:eastAsia="Arial"/>
          <w:color w:val="auto"/>
          <w:spacing w:val="0"/>
          <w:position w:val="0"/>
          <w:sz w:val="24"/>
          <w:shd w:fill="auto" w:val="clear"/>
        </w:rPr>
        <w:t xml:space="preserve">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 Brasil, o fenômeno se intensificou na década de 2010, com empresas pioneiras em cremação pet emergindo em um setor que faturou R$ 75,4 bilhões em 2024, representando aumento de 9,6% em relação a 2023 e posicionando o país como terceiro maior mercado pet mundial. Esta expansão evidencia novas atribuições de valor simbólico aos animais, que passam a ocupar lugar de "membros da família" e demandar cuidados semelhantes aos destinados aos humanos, inclusive no fim da vida.</w:t>
      </w:r>
      <w:r>
        <w:rPr>
          <w:rFonts w:ascii="Arial" w:hAnsi="Arial" w:cs="Arial" w:eastAsia="Arial"/>
          <w:color w:val="auto"/>
          <w:spacing w:val="0"/>
          <w:position w:val="0"/>
          <w:sz w:val="24"/>
          <w:shd w:fill="auto" w:val="clear"/>
        </w:rPr>
        <w:t xml:space="preserve">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Nesse contexto, emerge um serviço até recentemente inexistente na cadeia de consumo pet brasileira: a cremação de animais de estimação. Diferentemente do descarte sanitário tradicional, este serviço é acompanhado por rituais de despedida, produção de memoriais e suporte psicológico aos tutores, configurando-se como inovação disruptiva na forma de lidar com a morte animal (CROSSETTI et al., 2014).</w:t>
      </w:r>
      <w:r>
        <w:rPr>
          <w:rFonts w:ascii="Arial" w:hAnsi="Arial" w:cs="Arial" w:eastAsia="Arial"/>
          <w:color w:val="auto"/>
          <w:spacing w:val="0"/>
          <w:position w:val="0"/>
          <w:sz w:val="24"/>
          <w:shd w:fill="auto" w:val="clear"/>
        </w:rPr>
        <w:t xml:space="preserve">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Do ponto de vista organizacional, empresas funerárias pet tornam-se pioneiras na incorporação de estratégias baseadas em experiência do cliente, personalização e marketing de afeto, elementos reconhecidos como indutores de vantagem competitiva sustentável (TIDD; BESSANT; PAVITT, 2013). A relevância social reside na promoção de práticas mais empáticas em relação ao luto animal, contribuindo para uma sociedade que valoriza laços afetivos interespécies.</w:t>
      </w:r>
      <w:r>
        <w:rPr>
          <w:rFonts w:ascii="Arial" w:hAnsi="Arial" w:cs="Arial" w:eastAsia="Arial"/>
          <w:color w:val="auto"/>
          <w:spacing w:val="0"/>
          <w:position w:val="0"/>
          <w:sz w:val="24"/>
          <w:shd w:fill="auto" w:val="clear"/>
        </w:rPr>
        <w:t xml:space="preserve">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Contudo, a oferta desses serviços ainda carece de estudos acadêmicos que analisem suas implicações sociais, econômicas e éticas. Diante desse cenário, o problema de pesquisa pode ser formulado: de que maneira a cremação pet pode transformar as práticas culturais de luto e humanização animal no Brasil?</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O presente trabalho objetiva analisar de que forma a cremação pet reflete e impulsiona a humanização das relações com animais de estimação no Brasil. A hipótese central é que o principal impacto cultural da cremação reside na legitimação do luto pet como extensão familiar, fomentando maior empatia social e simbólica em relação aos animais.</w:t>
      </w:r>
    </w:p>
    <w:p>
      <w:pPr>
        <w:spacing w:before="0" w:after="0" w:line="360"/>
        <w:ind w:right="0" w:left="0" w:firstLine="709"/>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Este artigo organiza-se da seguinte forma: a seção 2 apresenta a fundamentação teórica; a seção 3 descreve a metodologia qualitativa adotada; a seção 4 discute os resultados; e a seção 5 traz as conclusões e contribuições.</w:t>
      </w:r>
    </w:p>
    <w:p>
      <w:pPr>
        <w:spacing w:before="0" w:after="0" w:line="360"/>
        <w:ind w:right="0" w:left="0" w:firstLine="709"/>
        <w:jc w:val="both"/>
        <w:rPr>
          <w:rFonts w:ascii="Arial" w:hAnsi="Arial" w:cs="Arial" w:eastAsia="Arial"/>
          <w:color w:val="000000"/>
          <w:spacing w:val="0"/>
          <w:position w:val="0"/>
          <w:sz w:val="24"/>
          <w:shd w:fill="auto" w:val="clear"/>
        </w:rPr>
      </w:pPr>
    </w:p>
    <w:p>
      <w:pPr>
        <w:keepNext w:val="true"/>
        <w:keepLines w:val="true"/>
        <w:spacing w:before="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 Fundamentação Teórica</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fundamentação teórica deste estudo articula-se em torno de três eixos conceituais centrais que convergem para explicar a cremação pet como inovação disruptiva no contexto da humanização das relações com animais de estimação no Brasil. Esta seção organiza-se em: humanização dos pets e transformações socioculturais, inovação disruptiva no setor de serviços funerários e marketing de experiência e valor simbólico, assegurando clareza conceitual e coerência teórica na análise do fenômeno estudado.</w:t>
      </w:r>
    </w:p>
    <w:p>
      <w:pPr>
        <w:spacing w:before="0" w:after="0" w:line="360"/>
        <w:ind w:right="0" w:left="0" w:firstLine="709"/>
        <w:jc w:val="both"/>
        <w:rPr>
          <w:rFonts w:ascii="Arial" w:hAnsi="Arial" w:cs="Arial" w:eastAsia="Arial"/>
          <w:color w:val="auto"/>
          <w:spacing w:val="0"/>
          <w:position w:val="0"/>
          <w:sz w:val="24"/>
          <w:shd w:fill="auto" w:val="clear"/>
        </w:rPr>
      </w:pPr>
    </w:p>
    <w:p>
      <w:pPr>
        <w:keepNext w:val="true"/>
        <w:keepLines w:val="true"/>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2.1 Humanização dos Pets e Transformações Socioculturais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humanização dos animais de estimação constitui um fenômeno sociocultural complexo que redefine fundamentalmente as relações entre humanos e animais nas sociedades contemporâneas. Lima et al. (2021) definem este processo como a crescente atribuição de características, necessidades e status tipicamente humanos aos pets, transformando-os de meros animais utilitários em membros efetivos da estrutura familiar. Este fenômeno transcende aspectos meramente econômicos, configurando-se como mudança paradigmática nas relações sociais que fundamenta a emergência de novos mercados e práticas de consumo (CROSSETTI et al., 2014).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literatura especializada identifica múltiplas dimensões desta humanização: antropomorfização comportamental, integração social familiar, investimento afetivo e econômico, e reconhecimento de direitos (SERPELL, 2003). No contexto brasileiro, este processo assume características particulares relacionadas às transformações demográficas e mudanças culturais urbanas, evidenciadas pelo fato de que mais da metade dos domicílios brasileiros possui um animal de estimação (IBGE, 2019).</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conceito de "família multiespécie", desenvolvido por Haraway (2008), oferece framework teórico fundamental para compreender as transformações contemporâneas nas configurações familiares, reconhecendo que as famílias frequentemente incluem membros não-humanos que participam ativamente das dinâmicas afetivas, sociais e econômicas do grupo doméstico. Estudos etnográficos demonstram que os pets assumem papéis sociais específicos: companheiros emocionais, substitutos parentais, mediadores de conflitos familiares e facilitadores de interações sociais (BLOUIN, 2013).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teoria do apego, originalmente desenvolvida por Bowlby (1969), demonstrou aplicabilidade às relações humano-animal. Zilcha-Mano, Mikulincer e Shaver (2011) evidenciaram que tutores desenvolvem com seus pets padrões de apego similares àqueles observados em relações humanas significativas, correlacionando-se diretamente com a severidade do luto experienciado após a morte do pet.</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evolução do status jurídico dos animais de estimação no Brasil evidencia as profundas mudanças sociais que sustentam a humanização pet. Embora o Código Civil de 2002 ainda classifique formalmente os animais como bens móveis, emerge progressivamente na jurisprudência brasileira o reconhecimento dos animais como "seres sencientes" (BRASIL, 2002). Esta transformação manifesta-se através de decisões judiciais que reconhecem direitos específicos e legitimam socialmente a intensidade dos vínculos humano-animal (SILVA; SANTOS, 2020).</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 legitimação social também se manifesta na normalização de práticas anteriormente consideradas excessivas e no desenvolvimento de mercados sofisticados (OLIVEIRA et al., 2019).</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morte de animais de estimação em contextos de humanização intensa desencadeia processos psicológicos complexos comparáveis àqueles experienciados pela morte de familiares humanos próximos (CORDARO, 2012). As especificidades do luto pet incluem maior probabilidade de isolamento social, ausência de rituais socialmente estabelecidos e complexidade de decisões sobre eutanásia (PACKMAN et al., 2014). Worden (2018) propõe modelo de "tarefas do luto" que fundamenta teoricamente a importância dos rituais memoriais na elaboração saudável do luto pet.</w:t>
      </w:r>
    </w:p>
    <w:p>
      <w:pPr>
        <w:spacing w:before="0" w:after="0" w:line="240"/>
        <w:ind w:right="0" w:left="0" w:firstLine="709"/>
        <w:jc w:val="both"/>
        <w:rPr>
          <w:rFonts w:ascii="Arial" w:hAnsi="Arial" w:cs="Arial" w:eastAsia="Arial"/>
          <w:color w:val="auto"/>
          <w:spacing w:val="0"/>
          <w:position w:val="0"/>
          <w:sz w:val="24"/>
          <w:shd w:fill="auto" w:val="clear"/>
        </w:rPr>
      </w:pPr>
    </w:p>
    <w:p>
      <w:pPr>
        <w:keepNext w:val="true"/>
        <w:keepLines w:val="true"/>
        <w:spacing w:before="20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2.2 Inovação Disruptiva no Setor de Serviços Funerários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teoria da inovação disruptiva, desenvolvida por Clayton Christensen (1997), oferece o arcabouço conceitual fundamental para compreender como a cremação pet emergiu como alternativa ao descarte sanitário tradicional e evoluiu para serviços sofisticados capazes de atender demandas emocionais complexas. Segundo Christensen, as inovações disruptivas caracterizam-se por menor custo inicial, maior simplicidade operacional e foco em segmentos negligenciados pelos fornecedores incumbentes.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As inovações disruptivas seguem trajetória evolutiva específica: inicialmente atendem mercados de nicho com produtos ou serviços mais simples e acessíveis; gradualmente, aprimoram sua performance através de melhorias incrementais até conseguir atender segmentos mainstream; eventualmente, deslocam soluções estabelecidas (CHRISTENSEN; RAYNOR; McDONALD, 2015).</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contexto dos serviços funerários pet, esta dinâmica manifesta-se claramente: o descarte sanitário tradicional atendia apenas necessidades funcionais básicas de remoção de carcaças, negligenciando completamente as dimensões emocionais da morte animal.</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 cremação pet emergiu como inovação disruptiva que inicialmente oferecia solução mais cara mas emocionalmente adequada para tutores dispostos a pagar por dignidade post-mortem de seus pets. Gradualmente, estas empresas desenvolveram competências especializadas em marketing de afeto, design de experiência e gestão de processos simbólicos, conseguindo eventualmente competir diretamente com funerárias humanas em termos de sofisticação experiencial (TIDD; BESSANT; PAVITT, 2013).</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literatura especializada reconhece que a inovação em serviços se diferencia substancialmente da inovação em produtos tangíveis devido às características específicas dos serviços: intangibilidade, heterogeneidade, inseparabilidade e perecibilidade (PARASURAMAN; ZEITHAML; BERRY, 1985).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contexto dos serviços funerários pet, estas características assumem importância estratégica particular. A intangibilidade exige que as empresas desenvolvam evidências físicas convincentes que permitam aos clientes avaliar previamente a qualidade do serviço. A heterogeneidade possibilita personalização extensiva dos rituais de despedida conforme preferências específicas de cada tutor, criando experiências únicas que fortalecem vínculos relacionais (GRÖNROOS, 2007).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inseparabilidade requer competências relacionais específicas para interagir adequadamente com clientes enlutados durante momentos de fragilidade emocional, enquanto a perecibilidade implica que cada experiência funerária é única e irreversível (LOVELOCK; WRIGHT, 2001).</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proposta de valor dos serviços funerários pet transcende significativamente o simples descarte de carcaças animais, oferecendo experiência ritual significativa que legitima o luto e constrói narrativas memoriais duradouras.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Este modelo fundamenta-se no que Porter (1985) denomina "diferenciação por valor simbólico" - estratégia que permite margens superiores através da criação de significados emocionais associados ao serviço. Osterwalder e Pigneur (2010) identificam componentes essenciais nos modelos de negócio inovadores: segmentos de clientes, proposta de valor, canais, relacionamento com clientes, fontes de receita, recursos-chave, atividades-chave, parcerias e estrutura de custos.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marketing de experiência emergiu como paradigma dominante nas estratégias contemporâneas de criação de valor, especialmente relevante em mercados caracterizados por alta intensidade emocional dos processos de compra (PINE; GILMORE, 1998). Schmitt (1999) identifica cinco dimensões experienciais que as empresas podem explorar estrategicamente: experiências sensoriais, afetivas, cognitivas, comportamentais e relacionais.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contexto dos serviços funerários pet, todas estas dimensões assumem relevância estratégica crítica através de ambientes cuidadosamente projetados, rituais personalizados, narrativas memoriais e conexões sociais (HOLBROOK; HIRSCHMAN, 1982).</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criação de valor simbólico constitui elemento central nas estratégias das empresas funerárias pet, transcendendo a prestação de serviços técnicos para oferecer significados culturais que ressoem com valores dos tutores enlutados. Levy (1959) pioneiramente identificou que os consumidores adquirem produtos principalmente pelos significados simbólicos que comunicam sobre identidade e valores pessoais. </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teoria sociológica de Pierre Bourdieu (1986) sobre capital simbólico oferece perspectivas relevantes para compreender como os serviços funerários pet funcionam como marcadores de distinção social, sinalizando simultaneamente recursos econômicos, capital cultural e disposições afetivas específicas (BOURDIEU, 1979).</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 convergência teórica demonstra que a cremação pet constitui manifestação específica de transformações sociais que redefinem fronteiras entre humanos e não-humanos, práticas de consumo afetivo e estratégias organizacionais de criação de valor em mercados caracterizados por alta sensibilidade emocional.</w:t>
      </w:r>
    </w:p>
    <w:p>
      <w:pPr>
        <w:spacing w:before="0" w:after="0" w:line="360"/>
        <w:ind w:right="0" w:left="0" w:firstLine="709"/>
        <w:jc w:val="both"/>
        <w:rPr>
          <w:rFonts w:ascii="Arial" w:hAnsi="Arial" w:cs="Arial" w:eastAsia="Arial"/>
          <w:color w:val="auto"/>
          <w:spacing w:val="0"/>
          <w:position w:val="0"/>
          <w:sz w:val="24"/>
          <w:shd w:fill="auto" w:val="clear"/>
        </w:rPr>
      </w:pPr>
    </w:p>
    <w:p>
      <w:pPr>
        <w:keepNext w:val="true"/>
        <w:keepLines w:val="true"/>
        <w:spacing w:before="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 Metodologia</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pesquisa adota abordagem exploratória e descritiva através de estudo de casos múltiplos em duas organizações regionais especializadas em cremação pet, visando compreender como práticas, significados e estratégias organizacionais refletem e impulsionam a humanização dos serviços funerários para animais. O desenho exploratório-interpretativo é adequado para fenômenos contextuais pouco consolidados, permitindo ajustar instrumentos ao campo e gerar categorias analíticas a partir das evidências.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 casos foram selecionados por amostragem intencional, considerando acessibilidade, relevância e disponibilidade para participação. A unidade de análise abrange processos de atendimento, rituais de despedida, comunicação e rotinas operacionais ligados à experiência do cliente e proposta de valor.</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 procedimentos de coleta combinam entrevistas semiestruturadas com gestores e equipes, formulário estruturado, análise documental e observação direta não participante, assegurando múltiplas fontes de evidência. A análise seguirá codificação temática e análise de conteúdo alinhadas aos eixos teóricos do estudo, com elaboração de matriz de convergência e divergência entre casos.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qualidade metodológica será reforçada por triangulação de métodos e fontes, protocolo comum entre casos e member checking. Medidas éticas incluem consentimento livre e esclarecido, anonimização e guarda segura dos registros. A escolha metodológica justifica-se pela necessidade de captar nuances experienciais e simbólicas em ambientes reais.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"Declara-se pelos autores que durante a preparação deste trabalho foi (foram) utilizado(s) [Chat GPT] para [Para trazer clareza e concordancia para a conexção do conteudo]. Apos utilizar esta ferramenta os autores editaram e revisaram o texto conforme necessario e assumem total responsabilidade pelo conteudo da publicação."</w:t>
      </w:r>
    </w:p>
    <w:p>
      <w:pPr>
        <w:keepNext w:val="true"/>
        <w:keepLines w:val="true"/>
        <w:spacing w:before="48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 Análise e Discussão dos Resultados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análise qualitativa dos dois casos evidencia que as organizações de cremação pet operam em um ambiente de crescente legitimação do vínculo tutor-pet, no qual a percepção dos animais como membros da família orienta desenho de serviço, diferenciação competitiva e indicadores de valor simbólico, com destaque para rituais personalizados e protocolos de acolhimento emocional como eixos da proposta de valor.</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Observa-se convergência entre práticas organizacionais e tendências socioculturais: personalização dos rituais, tangibilização de evidências de qualidade e uso de canais baseados em confiança compõem um sistema coerente de criação de significado e redução de incertezas em um serviço altamente intangível e emotivo, como se detalha no Quadro 1 e retomado adiante no Quadro 2</w:t>
      </w:r>
    </w:p>
    <w:p>
      <w:pPr>
        <w:spacing w:before="0" w:after="0" w:line="360"/>
        <w:ind w:right="0" w:left="0" w:firstLine="709"/>
        <w:jc w:val="both"/>
        <w:rPr>
          <w:rFonts w:ascii="Arial" w:hAnsi="Arial" w:cs="Arial" w:eastAsia="Arial"/>
          <w:color w:val="auto"/>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4.1 Transformação do serviço e personalização</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 casos apresentam variação de intensidade de personalização entre 3 e 5, o que indica maturidades distintas em design de experiência e padronização de evidências físicas para mitigar a intangibilidade percebida pelo cliente em luto. A proposta de valor combina quatro pilares recorrentes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ritualiza</w:t>
      </w:r>
      <w:r>
        <w:rPr>
          <w:rFonts w:ascii="Arial" w:hAnsi="Arial" w:cs="Arial" w:eastAsia="Arial"/>
          <w:color w:val="auto"/>
          <w:spacing w:val="0"/>
          <w:position w:val="0"/>
          <w:sz w:val="24"/>
          <w:shd w:fill="auto" w:val="clear"/>
        </w:rPr>
        <w:t xml:space="preserve">ção digna com objetos transicionais, acolhimento emocional e suporte psicológico, transparência com rastreabilidade dos processos e ambientes sensoriais de conforto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configurando diferencia</w:t>
      </w:r>
      <w:r>
        <w:rPr>
          <w:rFonts w:ascii="Arial" w:hAnsi="Arial" w:cs="Arial" w:eastAsia="Arial"/>
          <w:color w:val="auto"/>
          <w:spacing w:val="0"/>
          <w:position w:val="0"/>
          <w:sz w:val="24"/>
          <w:shd w:fill="auto" w:val="clear"/>
        </w:rPr>
        <w:t xml:space="preserve">ção por valor simbólico em relação ao descarte sanitário, conforme sintetizado no Quadro 1.</w:t>
      </w:r>
    </w:p>
    <w:p>
      <w:pPr>
        <w:spacing w:before="0" w:after="0" w:line="360"/>
        <w:ind w:right="0" w:left="0" w:firstLine="0"/>
        <w:jc w:val="center"/>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Quadro 1 </w:t>
      </w:r>
      <w:r>
        <w:rPr>
          <w:rFonts w:ascii="Arial" w:hAnsi="Arial" w:cs="Arial" w:eastAsia="Arial"/>
          <w:b/>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Diferenciais competitivos e evid</w:t>
      </w:r>
      <w:r>
        <w:rPr>
          <w:rFonts w:ascii="Arial" w:hAnsi="Arial" w:cs="Arial" w:eastAsia="Arial"/>
          <w:color w:val="auto"/>
          <w:spacing w:val="0"/>
          <w:position w:val="0"/>
          <w:sz w:val="20"/>
          <w:shd w:fill="auto" w:val="clear"/>
        </w:rPr>
        <w:t xml:space="preserve">ências físicas do serviço</w:t>
      </w:r>
    </w:p>
    <w:tbl>
      <w:tblPr/>
      <w:tblGrid>
        <w:gridCol w:w="2284"/>
        <w:gridCol w:w="3330"/>
        <w:gridCol w:w="2681"/>
      </w:tblGrid>
      <w:tr>
        <w:trPr>
          <w:trHeight w:val="1" w:hRule="atLeast"/>
          <w:jc w:val="left"/>
        </w:trPr>
        <w:tc>
          <w:tcPr>
            <w:tcW w:w="2284"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b/>
                <w:color w:val="auto"/>
                <w:spacing w:val="0"/>
                <w:position w:val="0"/>
                <w:sz w:val="24"/>
                <w:shd w:fill="auto" w:val="clear"/>
              </w:rPr>
              <w:t xml:space="preserve">Dimensão</w:t>
            </w:r>
          </w:p>
        </w:tc>
        <w:tc>
          <w:tcPr>
            <w:tcW w:w="333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b/>
                <w:color w:val="auto"/>
                <w:spacing w:val="0"/>
                <w:position w:val="0"/>
                <w:sz w:val="24"/>
                <w:shd w:fill="auto" w:val="clear"/>
              </w:rPr>
              <w:t xml:space="preserve">Diferenciais Competitivos</w:t>
            </w:r>
          </w:p>
        </w:tc>
        <w:tc>
          <w:tcPr>
            <w:tcW w:w="2681"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b/>
                <w:color w:val="auto"/>
                <w:spacing w:val="0"/>
                <w:position w:val="0"/>
                <w:sz w:val="24"/>
                <w:shd w:fill="auto" w:val="clear"/>
              </w:rPr>
              <w:t xml:space="preserve">Evidências Físicas</w:t>
            </w:r>
          </w:p>
        </w:tc>
      </w:tr>
      <w:tr>
        <w:trPr>
          <w:trHeight w:val="1" w:hRule="atLeast"/>
          <w:jc w:val="left"/>
        </w:trPr>
        <w:tc>
          <w:tcPr>
            <w:tcW w:w="2284"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Ritualização</w:t>
            </w:r>
          </w:p>
        </w:tc>
        <w:tc>
          <w:tcPr>
            <w:tcW w:w="333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Ritualização digna da despedida; memoriais e objetos transicionais</w:t>
            </w:r>
          </w:p>
        </w:tc>
        <w:tc>
          <w:tcPr>
            <w:tcW w:w="2681"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Objetos de lembrança; urnas personalizadas</w:t>
            </w:r>
          </w:p>
        </w:tc>
      </w:tr>
      <w:tr>
        <w:trPr>
          <w:trHeight w:val="1" w:hRule="atLeast"/>
          <w:jc w:val="left"/>
        </w:trPr>
        <w:tc>
          <w:tcPr>
            <w:tcW w:w="2284"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Acolhimento</w:t>
            </w:r>
          </w:p>
        </w:tc>
        <w:tc>
          <w:tcPr>
            <w:tcW w:w="333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Acolhimento emocional especializado; suporte psicológico aos enlutados</w:t>
            </w:r>
          </w:p>
        </w:tc>
        <w:tc>
          <w:tcPr>
            <w:tcW w:w="2681"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tabs>
                <w:tab w:val="left" w:pos="695" w:leader="none"/>
              </w:tabs>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Ambientes com música e aromas</w:t>
            </w:r>
          </w:p>
        </w:tc>
      </w:tr>
      <w:tr>
        <w:trPr>
          <w:trHeight w:val="1" w:hRule="atLeast"/>
          <w:jc w:val="left"/>
        </w:trPr>
        <w:tc>
          <w:tcPr>
            <w:tcW w:w="2284"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Institucionalização</w:t>
            </w:r>
          </w:p>
        </w:tc>
        <w:tc>
          <w:tcPr>
            <w:tcW w:w="333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Transparência e rastreabilidade dos processos</w:t>
            </w:r>
          </w:p>
        </w:tc>
        <w:tc>
          <w:tcPr>
            <w:tcW w:w="2681"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Certificados formais</w:t>
            </w:r>
          </w:p>
        </w:tc>
      </w:tr>
      <w:tr>
        <w:trPr>
          <w:trHeight w:val="1" w:hRule="atLeast"/>
          <w:jc w:val="left"/>
        </w:trPr>
        <w:tc>
          <w:tcPr>
            <w:tcW w:w="2284"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Documentação</w:t>
            </w:r>
          </w:p>
        </w:tc>
        <w:tc>
          <w:tcPr>
            <w:tcW w:w="333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Ambientes projetados para conforto</w:t>
            </w:r>
          </w:p>
        </w:tc>
        <w:tc>
          <w:tcPr>
            <w:tcW w:w="2681"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Fotos oficiais (mediante autorização)</w:t>
            </w:r>
          </w:p>
        </w:tc>
      </w:tr>
    </w:tbl>
    <w:p>
      <w:pPr>
        <w:spacing w:before="0" w:after="0" w:line="36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Fonte: Dados da pesquisa (2025).</w:t>
      </w:r>
    </w:p>
    <w:p>
      <w:pPr>
        <w:spacing w:before="0" w:after="0" w:line="360"/>
        <w:ind w:right="0" w:left="0" w:firstLine="0"/>
        <w:jc w:val="both"/>
        <w:rPr>
          <w:rFonts w:ascii="Arial" w:hAnsi="Arial" w:cs="Arial" w:eastAsia="Arial"/>
          <w:color w:val="auto"/>
          <w:spacing w:val="0"/>
          <w:position w:val="0"/>
          <w:sz w:val="20"/>
          <w:shd w:fill="auto" w:val="clear"/>
        </w:rPr>
      </w:pP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coerência entre pilares e evidências reduz assimetria informacional e sinaliza qualidade antes da prestação, elemento crítico em serviços de alta carga emocional e baixa frequência de compra, ao mesmo tempo em que estrutura uma “trilha ritual” que orienta tutores a navegar o luto com previsibilidade e respeito, como ilustrado pelos artefatos e ambientes listados no Quadro 1. Essa arquitetura experiencial reforça a legitimidade do luto animal e sustenta confiança e recomendações, alavancando o papel de prova social que será articulado pelos canais de aquisição apresentados no Quadro 2.</w:t>
      </w:r>
    </w:p>
    <w:p>
      <w:pPr>
        <w:spacing w:before="0" w:after="0" w:line="360"/>
        <w:ind w:right="0" w:left="0" w:firstLine="709"/>
        <w:jc w:val="both"/>
        <w:rPr>
          <w:rFonts w:ascii="Arial" w:hAnsi="Arial" w:cs="Arial" w:eastAsia="Arial"/>
          <w:color w:val="auto"/>
          <w:spacing w:val="0"/>
          <w:position w:val="0"/>
          <w:sz w:val="24"/>
          <w:shd w:fill="auto" w:val="clear"/>
        </w:rPr>
      </w:pPr>
    </w:p>
    <w:p>
      <w:pPr>
        <w:keepNext w:val="true"/>
        <w:keepLines w:val="true"/>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4.2 Legitimação e canais baseados em confiança</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As estratégias de legitimação combinam comunicação educativa, testemunhos de clientes, parcerias com psicólogos, certificações e presença digital informativa, privilegiando provas sociais e autoridades de referência em vez de apelos comerciais diretos, como sistematizado no Quadro 2. O funil de aquisição se ancora em canais de confiança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recomenda</w:t>
      </w:r>
      <w:r>
        <w:rPr>
          <w:rFonts w:ascii="Arial" w:hAnsi="Arial" w:cs="Arial" w:eastAsia="Arial"/>
          <w:color w:val="000000"/>
          <w:spacing w:val="0"/>
          <w:position w:val="0"/>
          <w:sz w:val="24"/>
          <w:shd w:fill="auto" w:val="clear"/>
        </w:rPr>
        <w:t xml:space="preserve">ções veterinárias, indicações pessoais, parcerias com pet shops e conteúdo discreto em redes sociais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refletindo a sensibilidade do contexto e a depend</w:t>
      </w:r>
      <w:r>
        <w:rPr>
          <w:rFonts w:ascii="Arial" w:hAnsi="Arial" w:cs="Arial" w:eastAsia="Arial"/>
          <w:color w:val="000000"/>
          <w:spacing w:val="0"/>
          <w:position w:val="0"/>
          <w:sz w:val="24"/>
          <w:shd w:fill="auto" w:val="clear"/>
        </w:rPr>
        <w:t xml:space="preserve">ência de reputação para reduzir risco percebido, também descritos no Quadro 2</w:t>
      </w:r>
    </w:p>
    <w:p>
      <w:pPr>
        <w:spacing w:before="0" w:after="0" w:line="360"/>
        <w:ind w:right="0" w:left="0" w:firstLine="0"/>
        <w:jc w:val="center"/>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Quadro 2</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Estrat</w:t>
      </w:r>
      <w:r>
        <w:rPr>
          <w:rFonts w:ascii="Arial" w:hAnsi="Arial" w:cs="Arial" w:eastAsia="Arial"/>
          <w:color w:val="auto"/>
          <w:spacing w:val="0"/>
          <w:position w:val="0"/>
          <w:sz w:val="20"/>
          <w:shd w:fill="auto" w:val="clear"/>
        </w:rPr>
        <w:t xml:space="preserve">égias de legitimação e canais de aquisição</w:t>
      </w:r>
    </w:p>
    <w:tbl>
      <w:tblPr/>
      <w:tblGrid>
        <w:gridCol w:w="4475"/>
        <w:gridCol w:w="3820"/>
      </w:tblGrid>
      <w:tr>
        <w:trPr>
          <w:trHeight w:val="1" w:hRule="atLeast"/>
          <w:jc w:val="left"/>
        </w:trPr>
        <w:tc>
          <w:tcPr>
            <w:tcW w:w="4475"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b/>
                <w:color w:val="auto"/>
                <w:spacing w:val="0"/>
                <w:position w:val="0"/>
                <w:sz w:val="24"/>
                <w:shd w:fill="auto" w:val="clear"/>
              </w:rPr>
              <w:t xml:space="preserve">Legitimação Social</w:t>
            </w:r>
          </w:p>
        </w:tc>
        <w:tc>
          <w:tcPr>
            <w:tcW w:w="382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b/>
                <w:color w:val="auto"/>
                <w:spacing w:val="0"/>
                <w:position w:val="0"/>
                <w:sz w:val="24"/>
                <w:shd w:fill="auto" w:val="clear"/>
              </w:rPr>
              <w:t xml:space="preserve">Canais de Aquisição</w:t>
            </w:r>
          </w:p>
        </w:tc>
      </w:tr>
      <w:tr>
        <w:trPr>
          <w:trHeight w:val="1" w:hRule="atLeast"/>
          <w:jc w:val="left"/>
        </w:trPr>
        <w:tc>
          <w:tcPr>
            <w:tcW w:w="4475"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Comunicação educativa sobre importância do luto animal</w:t>
            </w:r>
          </w:p>
        </w:tc>
        <w:tc>
          <w:tcPr>
            <w:tcW w:w="382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Recomendações veterinárias</w:t>
            </w:r>
          </w:p>
        </w:tc>
      </w:tr>
      <w:tr>
        <w:trPr>
          <w:trHeight w:val="1" w:hRule="atLeast"/>
          <w:jc w:val="left"/>
        </w:trPr>
        <w:tc>
          <w:tcPr>
            <w:tcW w:w="4475"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Depoimentos e testemunhos de clientes</w:t>
            </w:r>
          </w:p>
        </w:tc>
        <w:tc>
          <w:tcPr>
            <w:tcW w:w="382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Indicação boca a boca</w:t>
            </w:r>
          </w:p>
        </w:tc>
      </w:tr>
      <w:tr>
        <w:trPr>
          <w:trHeight w:val="1" w:hRule="atLeast"/>
          <w:jc w:val="left"/>
        </w:trPr>
        <w:tc>
          <w:tcPr>
            <w:tcW w:w="4475"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Parcerias com psicólogos</w:t>
            </w:r>
          </w:p>
        </w:tc>
        <w:tc>
          <w:tcPr>
            <w:tcW w:w="382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Parcerias com pet shops</w:t>
            </w:r>
          </w:p>
        </w:tc>
      </w:tr>
      <w:tr>
        <w:trPr>
          <w:trHeight w:val="1" w:hRule="atLeast"/>
          <w:jc w:val="left"/>
        </w:trPr>
        <w:tc>
          <w:tcPr>
            <w:tcW w:w="4475"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Certificações e protocolos</w:t>
            </w:r>
          </w:p>
        </w:tc>
        <w:tc>
          <w:tcPr>
            <w:tcW w:w="382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Redes sociais</w:t>
            </w:r>
          </w:p>
        </w:tc>
      </w:tr>
      <w:tr>
        <w:trPr>
          <w:trHeight w:val="1" w:hRule="atLeast"/>
          <w:jc w:val="left"/>
        </w:trPr>
        <w:tc>
          <w:tcPr>
            <w:tcW w:w="4475"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Conteúdo em redes sociais</w:t>
            </w:r>
          </w:p>
        </w:tc>
        <w:tc>
          <w:tcPr>
            <w:tcW w:w="3820"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center"/>
          </w:tcPr>
          <w:p>
            <w:pPr>
              <w:spacing w:before="0" w:after="0" w:line="360"/>
              <w:ind w:right="0" w:left="0" w:hanging="14"/>
              <w:jc w:val="center"/>
              <w:rPr>
                <w:color w:val="auto"/>
                <w:spacing w:val="0"/>
                <w:position w:val="0"/>
                <w:shd w:fill="auto" w:val="clear"/>
              </w:rPr>
            </w:pPr>
            <w:r>
              <w:rPr>
                <w:rFonts w:ascii="Arial" w:hAnsi="Arial" w:cs="Arial" w:eastAsia="Arial"/>
                <w:color w:val="auto"/>
                <w:spacing w:val="0"/>
                <w:position w:val="0"/>
                <w:sz w:val="24"/>
                <w:shd w:fill="auto" w:val="clear"/>
              </w:rPr>
              <w:t xml:space="preserve">Comunidades online; publicidade tradicional</w:t>
            </w:r>
          </w:p>
        </w:tc>
      </w:tr>
    </w:tbl>
    <w:p>
      <w:pPr>
        <w:spacing w:before="0" w:after="0" w:line="360"/>
        <w:ind w:right="0" w:left="0" w:firstLine="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Fonte:</w:t>
      </w:r>
      <w:r>
        <w:rPr>
          <w:rFonts w:ascii="Arial" w:hAnsi="Arial" w:cs="Arial" w:eastAsia="Arial"/>
          <w:color w:val="auto"/>
          <w:spacing w:val="0"/>
          <w:position w:val="0"/>
          <w:sz w:val="20"/>
          <w:shd w:fill="auto" w:val="clear"/>
        </w:rPr>
        <w:t xml:space="preserve"> Dados da pesquisa (2025)</w:t>
      </w:r>
    </w:p>
    <w:p>
      <w:pPr>
        <w:spacing w:before="0" w:after="0" w:line="360"/>
        <w:ind w:right="0" w:left="0" w:firstLine="709"/>
        <w:jc w:val="both"/>
        <w:rPr>
          <w:rFonts w:ascii="Inter" w:hAnsi="Inter" w:cs="Inter" w:eastAsia="Inter"/>
          <w:color w:val="000000"/>
          <w:spacing w:val="0"/>
          <w:position w:val="0"/>
          <w:sz w:val="24"/>
          <w:shd w:fill="auto" w:val="clear"/>
        </w:rPr>
      </w:pPr>
      <w:r>
        <w:rPr>
          <w:rFonts w:ascii="Inter" w:hAnsi="Inter" w:cs="Inter" w:eastAsia="Inter"/>
          <w:color w:val="000000"/>
          <w:spacing w:val="0"/>
          <w:position w:val="0"/>
          <w:sz w:val="24"/>
          <w:shd w:fill="auto" w:val="clear"/>
        </w:rPr>
        <w:t xml:space="preserve">Esse arranjo legitima o luto pet ao posicionar a empresa como mediadora sensível e tecnicamente competente, incorporando o próprio canal ao significado do serviço </w:t>
      </w:r>
      <w:r>
        <w:rPr>
          <w:rFonts w:ascii="Calibri" w:hAnsi="Calibri" w:cs="Calibri" w:eastAsia="Calibri"/>
          <w:color w:val="000000"/>
          <w:spacing w:val="0"/>
          <w:position w:val="0"/>
          <w:sz w:val="24"/>
          <w:shd w:fill="auto" w:val="clear"/>
        </w:rPr>
        <w:t xml:space="preserve">— isto </w:t>
      </w:r>
      <w:r>
        <w:rPr>
          <w:rFonts w:ascii="Inter" w:hAnsi="Inter" w:cs="Inter" w:eastAsia="Inter"/>
          <w:color w:val="000000"/>
          <w:spacing w:val="0"/>
          <w:position w:val="0"/>
          <w:sz w:val="24"/>
          <w:shd w:fill="auto" w:val="clear"/>
        </w:rPr>
        <w:t xml:space="preserve">é, a recomendação de um veterinário ou de pares atua como rito de passagem para uma decisão difícil, conforme o desenho de canais no Quadro 2. Em mercados emergentes e emotivos, a credibilidade do canal torna-se parte da experiência e funciona como salvaguarda ética e informacional, reforçando os mesmos pilares de confiança evidenciados no Quadro 1.</w:t>
      </w:r>
    </w:p>
    <w:p>
      <w:pPr>
        <w:spacing w:before="0" w:after="0" w:line="360"/>
        <w:ind w:right="0" w:left="0" w:firstLine="709"/>
        <w:jc w:val="both"/>
        <w:rPr>
          <w:rFonts w:ascii="Inter" w:hAnsi="Inter" w:cs="Inter" w:eastAsia="Inter"/>
          <w:color w:val="000000"/>
          <w:spacing w:val="0"/>
          <w:position w:val="0"/>
          <w:sz w:val="24"/>
          <w:shd w:fill="auto" w:val="clear"/>
        </w:rPr>
      </w:pPr>
    </w:p>
    <w:p>
      <w:pPr>
        <w:spacing w:before="0" w:after="0" w:line="360"/>
        <w:ind w:right="0" w:left="-30" w:firstLine="0"/>
        <w:jc w:val="left"/>
        <w:rPr>
          <w:rFonts w:ascii="Arial" w:hAnsi="Arial" w:cs="Arial" w:eastAsia="Arial"/>
          <w:color w:val="auto"/>
          <w:spacing w:val="0"/>
          <w:position w:val="0"/>
          <w:sz w:val="24"/>
          <w:shd w:fill="auto" w:val="clear"/>
        </w:rPr>
      </w:pPr>
      <w:r>
        <w:rPr>
          <w:rFonts w:ascii="Inter" w:hAnsi="Inter" w:cs="Inter" w:eastAsia="Inter"/>
          <w:b/>
          <w:color w:val="000000"/>
          <w:spacing w:val="0"/>
          <w:position w:val="0"/>
          <w:sz w:val="24"/>
          <w:shd w:fill="auto" w:val="clear"/>
        </w:rPr>
        <w:t xml:space="preserve">4.3 Valor simbólico, inovação contínua e impactos culturais</w:t>
      </w:r>
    </w:p>
    <w:p>
      <w:pPr>
        <w:spacing w:before="0" w:after="0" w:line="360"/>
        <w:ind w:right="0" w:left="0" w:firstLine="709"/>
        <w:jc w:val="both"/>
        <w:rPr>
          <w:rFonts w:ascii="Arial" w:hAnsi="Arial" w:cs="Arial" w:eastAsia="Arial"/>
          <w:b/>
          <w:color w:val="auto"/>
          <w:spacing w:val="0"/>
          <w:position w:val="0"/>
          <w:sz w:val="20"/>
          <w:shd w:fill="auto" w:val="clear"/>
        </w:rPr>
      </w:pPr>
      <w:r>
        <w:rPr>
          <w:rFonts w:ascii="Inter" w:hAnsi="Inter" w:cs="Inter" w:eastAsia="Inter"/>
          <w:color w:val="000000"/>
          <w:spacing w:val="0"/>
          <w:position w:val="0"/>
          <w:sz w:val="24"/>
          <w:shd w:fill="auto" w:val="clear"/>
        </w:rPr>
        <w:t xml:space="preserve">A mensuração do valor simbólico é predominantemente qualitativa, alternando entre ausência de métricas formais e uso de indicadores como feedback sobre significado, percepção de dignidade e sinais relacionais (p. ex., retorno quando outro pet falece), coerentes com a natureza intersubjetiva da entrega, como mostrado à esquerda do Quadro 3. No plano da operação, as organizações investem em rituais temáticos, novas parcerias, melhorias tecnológicas e campanhas educativas, evidenciando capacidades dinâmicas de sensoriamento, apreensão e reconfiguração para aprimorar continuamente a experiência emocional, o que se reflete em impactos culturais listados à direita no Quadro 3.</w:t>
      </w:r>
    </w:p>
    <w:p>
      <w:pPr>
        <w:spacing w:before="0" w:after="0" w:line="360"/>
        <w:ind w:right="0" w:left="0" w:firstLine="0"/>
        <w:jc w:val="center"/>
        <w:rPr>
          <w:rFonts w:ascii="Arial" w:hAnsi="Arial" w:cs="Arial" w:eastAsia="Arial"/>
          <w:b/>
          <w:color w:val="auto"/>
          <w:spacing w:val="0"/>
          <w:position w:val="0"/>
          <w:sz w:val="20"/>
          <w:shd w:fill="auto" w:val="clear"/>
        </w:rPr>
      </w:pPr>
    </w:p>
    <w:p>
      <w:pPr>
        <w:spacing w:before="0" w:after="0" w:line="360"/>
        <w:ind w:right="0" w:left="0" w:firstLine="0"/>
        <w:jc w:val="center"/>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Quadro 3</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w:t>
      </w:r>
      <w:r>
        <w:rPr>
          <w:rFonts w:ascii="Arial" w:hAnsi="Arial" w:cs="Arial" w:eastAsia="Arial"/>
          <w:color w:val="auto"/>
          <w:spacing w:val="0"/>
          <w:position w:val="0"/>
          <w:sz w:val="20"/>
          <w:shd w:fill="auto" w:val="clear"/>
        </w:rPr>
        <w:t xml:space="preserve">étricas de valor simbólico e impactos culturais observados</w:t>
      </w:r>
    </w:p>
    <w:tbl>
      <w:tblPr/>
      <w:tblGrid>
        <w:gridCol w:w="4536"/>
        <w:gridCol w:w="3759"/>
      </w:tblGrid>
      <w:tr>
        <w:trPr>
          <w:trHeight w:val="1" w:hRule="atLeast"/>
          <w:jc w:val="left"/>
        </w:trPr>
        <w:tc>
          <w:tcPr>
            <w:tcW w:w="4536"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top"/>
          </w:tcPr>
          <w:p>
            <w:pPr>
              <w:spacing w:before="0" w:after="0" w:line="36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Métricas de Valor Simbólico</w:t>
            </w:r>
          </w:p>
        </w:tc>
        <w:tc>
          <w:tcPr>
            <w:tcW w:w="3759"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top"/>
          </w:tcPr>
          <w:p>
            <w:pPr>
              <w:spacing w:before="0" w:after="0" w:line="36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Impactos Culturais</w:t>
            </w:r>
          </w:p>
        </w:tc>
      </w:tr>
      <w:tr>
        <w:trPr>
          <w:trHeight w:val="1" w:hRule="atLeast"/>
          <w:jc w:val="left"/>
        </w:trPr>
        <w:tc>
          <w:tcPr>
            <w:tcW w:w="4536"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bottom"/>
          </w:tcPr>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Feedback qualitativo sobre significado</w:t>
            </w:r>
          </w:p>
        </w:tc>
        <w:tc>
          <w:tcPr>
            <w:tcW w:w="3759"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bottom"/>
          </w:tcPr>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Planejamento antecipado do fim de vida</w:t>
            </w:r>
          </w:p>
        </w:tc>
      </w:tr>
      <w:tr>
        <w:trPr>
          <w:trHeight w:val="1" w:hRule="atLeast"/>
          <w:jc w:val="left"/>
        </w:trPr>
        <w:tc>
          <w:tcPr>
            <w:tcW w:w="4536"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bottom"/>
          </w:tcPr>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Satisfação em dignidade</w:t>
            </w:r>
          </w:p>
        </w:tc>
        <w:tc>
          <w:tcPr>
            <w:tcW w:w="3759"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bottom"/>
          </w:tcPr>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Normalização de rituais</w:t>
            </w:r>
          </w:p>
        </w:tc>
      </w:tr>
      <w:tr>
        <w:trPr>
          <w:trHeight w:val="1" w:hRule="atLeast"/>
          <w:jc w:val="left"/>
        </w:trPr>
        <w:tc>
          <w:tcPr>
            <w:tcW w:w="4536"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bottom"/>
          </w:tcPr>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Tempo de relacionamento; retorno para novos pets</w:t>
            </w:r>
          </w:p>
        </w:tc>
        <w:tc>
          <w:tcPr>
            <w:tcW w:w="3759" w:type="dxa"/>
            <w:tcBorders>
              <w:top w:val="single" w:color="000000" w:sz="4"/>
              <w:left w:val="single" w:color="000000" w:sz="4"/>
              <w:bottom w:val="single" w:color="000000" w:sz="6"/>
              <w:right w:val="single" w:color="000000" w:sz="6"/>
            </w:tcBorders>
            <w:shd w:color="000000" w:fill="ffffff" w:val="clear"/>
            <w:tcMar>
              <w:left w:w="120" w:type="dxa"/>
              <w:right w:w="120" w:type="dxa"/>
            </w:tcMar>
            <w:vAlign w:val="bottom"/>
          </w:tcPr>
          <w:p>
            <w:pPr>
              <w:spacing w:before="0" w:after="0" w:line="36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Demanda por serviços complementares</w:t>
            </w:r>
          </w:p>
        </w:tc>
      </w:tr>
    </w:tbl>
    <w:p>
      <w:pPr>
        <w:spacing w:before="0" w:after="0" w:line="360"/>
        <w:ind w:right="0" w:left="0" w:firstLine="0"/>
        <w:jc w:val="both"/>
        <w:rPr>
          <w:rFonts w:ascii="Arial" w:hAnsi="Arial" w:cs="Arial" w:eastAsia="Arial"/>
          <w:color w:val="auto"/>
          <w:spacing w:val="0"/>
          <w:position w:val="0"/>
          <w:sz w:val="20"/>
          <w:shd w:fill="auto" w:val="clear"/>
        </w:rPr>
      </w:pPr>
      <w:r>
        <w:rPr>
          <w:rFonts w:ascii="Arial" w:hAnsi="Arial" w:cs="Arial" w:eastAsia="Arial"/>
          <w:i/>
          <w:color w:val="auto"/>
          <w:spacing w:val="0"/>
          <w:position w:val="0"/>
          <w:sz w:val="20"/>
          <w:shd w:fill="auto" w:val="clear"/>
        </w:rPr>
        <w:t xml:space="preserve">Fonte: Dados da pesquisa (2025)</w:t>
      </w:r>
    </w:p>
    <w:p>
      <w:pPr>
        <w:spacing w:before="0" w:after="0" w:line="360"/>
        <w:ind w:right="0" w:left="0" w:firstLine="709"/>
        <w:jc w:val="both"/>
        <w:rPr>
          <w:rFonts w:ascii="Inter" w:hAnsi="Inter" w:cs="Inter" w:eastAsia="Inter"/>
          <w:color w:val="000000"/>
          <w:spacing w:val="0"/>
          <w:position w:val="0"/>
          <w:sz w:val="24"/>
          <w:shd w:fill="auto" w:val="clear"/>
        </w:rPr>
      </w:pPr>
      <w:r>
        <w:rPr>
          <w:rFonts w:ascii="Inter" w:hAnsi="Inter" w:cs="Inter" w:eastAsia="Inter"/>
          <w:color w:val="000000"/>
          <w:spacing w:val="0"/>
          <w:position w:val="0"/>
          <w:sz w:val="24"/>
          <w:shd w:fill="auto" w:val="clear"/>
        </w:rPr>
        <w:t xml:space="preserve">Os efeitos culturais </w:t>
      </w:r>
      <w:r>
        <w:rPr>
          <w:rFonts w:ascii="Calibri" w:hAnsi="Calibri" w:cs="Calibri" w:eastAsia="Calibri"/>
          <w:color w:val="000000"/>
          <w:spacing w:val="0"/>
          <w:position w:val="0"/>
          <w:sz w:val="24"/>
          <w:shd w:fill="auto" w:val="clear"/>
        </w:rPr>
        <w:t xml:space="preserve">— maior aceita</w:t>
      </w:r>
      <w:r>
        <w:rPr>
          <w:rFonts w:ascii="Inter" w:hAnsi="Inter" w:cs="Inter" w:eastAsia="Inter"/>
          <w:color w:val="000000"/>
          <w:spacing w:val="0"/>
          <w:position w:val="0"/>
          <w:sz w:val="24"/>
          <w:shd w:fill="auto" w:val="clear"/>
        </w:rPr>
        <w:t xml:space="preserve">ção social do luto, planejamento prévio, normalização de rituais e demanda por serviços complementares </w:t>
      </w:r>
      <w:r>
        <w:rPr>
          <w:rFonts w:ascii="Calibri" w:hAnsi="Calibri" w:cs="Calibri" w:eastAsia="Calibri"/>
          <w:color w:val="000000"/>
          <w:spacing w:val="0"/>
          <w:position w:val="0"/>
          <w:sz w:val="24"/>
          <w:shd w:fill="auto" w:val="clear"/>
        </w:rPr>
        <w:t xml:space="preserve">— indicam institucionaliza</w:t>
      </w:r>
      <w:r>
        <w:rPr>
          <w:rFonts w:ascii="Inter" w:hAnsi="Inter" w:cs="Inter" w:eastAsia="Inter"/>
          <w:color w:val="000000"/>
          <w:spacing w:val="0"/>
          <w:position w:val="0"/>
          <w:sz w:val="24"/>
          <w:shd w:fill="auto" w:val="clear"/>
        </w:rPr>
        <w:t xml:space="preserve">ção progressiva da despedida animal, com expansão de repertórios de cuidado e memória, tal como organizado no Quadro 3. Em síntese, a cremação pet atua simultaneamente como reflexo e motor da humanização: responde a vínculos intensos e consolida práticas e expectativas que os reforçam, em linha com as métricas e impactos apresentados no Quadro 3.</w:t>
      </w:r>
    </w:p>
    <w:p>
      <w:pPr>
        <w:spacing w:before="0" w:after="0" w:line="360"/>
        <w:ind w:right="0" w:left="0" w:firstLine="709"/>
        <w:jc w:val="both"/>
        <w:rPr>
          <w:rFonts w:ascii="Arial" w:hAnsi="Arial" w:cs="Arial" w:eastAsia="Arial"/>
          <w:color w:val="auto"/>
          <w:spacing w:val="0"/>
          <w:position w:val="0"/>
          <w:sz w:val="24"/>
          <w:shd w:fill="auto" w:val="clear"/>
        </w:rPr>
      </w:pPr>
    </w:p>
    <w:p>
      <w:pPr>
        <w:keepNext w:val="true"/>
        <w:keepLines w:val="true"/>
        <w:spacing w:before="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 Conclusão e Contribuições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Conclusivamente, a cremação de animais de estimação no Brasil reflete e acelera a humanização das relações humano-animal ao legitimar o luto como extensão familiar e converter práticas de descarte em rituais significativos orientados por experiências e confiança. Os resultados apontam a cremação como inovação disruptiva que atende demandas emocionais negligenciadas, reposicionando o setor com competências relacionais, simbólicas e técnicas de difícil imitação.</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estudo confirma que o impacto cultural central está na legitimação do luto animal, fortalecendo empatia social e simbólica, enquanto as empresas atuam como mediadoras por meio de quatro processos integrados: ritualização personalizada, tangibilização experiencial da qualidade, legitimação institucional e mediação por canais de confiança. Esses processos transformam incerteza em sentido compartilhado, estabilizando práticas e expectativas em um serviço de alta carga emocional e baixa frequência de compra.</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emergência do mercado decorre da convergência de três vetores socioculturais: mudanças demográficas urbanas (famílias menores e mais pessoas sós), novo consumo afetivo (disposição a investir em vínculos com pets) e evolução jurídica (reconhecimento de animais como seres sencientes), os quais geram demanda por rituais, suporte e transparência. Do lado organizacional, destacam-se capacidades dinâmicas que combinam sensoriamento de tendências, experimentação com rituais e parcerias e reconfiguração de ativos via melhorias tecnológicas e ações educativas.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plano teórico, as contribuições incluem a ampliação do conceito de família multiespécie para o campo do luto e da memorialização, a aplicação da inovação disruptiva ao contexto de serviços simbólicos e a articulação entre marketing de experiência e antropologia do luto para explicar a criação de valor em perdas não humanas. Propõe-se, ainda, um enquadramento integrado com dimensões social, psicológica, organizacional, simbólica e ética para compreender a cremação como manifestação de transformações sociais mais amplas.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Quanto às implicações práticas, o trabalho oferece guias para desenho de modelos de negócio, desenvolvimento de competências relacionais e estratégias de legitimação em mercados sensíveis, bem como oportunidades de parcerias estratégicas para profissionais veterinários na mediação de confiança com tutores enlutados. Há também subsídios para políticas públicas sobre padrões de qualidade, proteção de consumidores vulneráveis e reconhecimento dos vínculos humano-animal nos marcos regulatórios.</w:t>
      </w:r>
    </w:p>
    <w:p>
      <w:pPr>
        <w:spacing w:before="0" w:after="0" w:line="36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limitações incluem o foco no Brasil, a ausência de dados primários aprofundados e a ênfase em contextos urbanos, fatores que restringem generalizações e a identificação de relações causais robustas. Pesquisas futuras devem priorizar etnografias longitudinais do luto, estudos comparativos internacionais, levantamentos quantitativos representativos e análises sobre impactos econômicos, regulação ética, eficácia terapêutica dos rituais e sustentabilidade ambiental das práticas de cremação.</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b/>
          <w:color w:val="auto"/>
          <w:spacing w:val="0"/>
          <w:position w:val="0"/>
          <w:sz w:val="24"/>
          <w:shd w:fill="auto" w:val="clear"/>
        </w:rPr>
      </w:pPr>
    </w:p>
    <w:p>
      <w:pPr>
        <w:keepNext w:val="true"/>
        <w:keepLines w:val="true"/>
        <w:spacing w:before="480" w:after="0" w:line="36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Referências Bibliográficas</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CHRISTENSEN, Clayton M. </w:t>
      </w:r>
      <w:r>
        <w:rPr>
          <w:rFonts w:ascii="Arial" w:hAnsi="Arial" w:cs="Arial" w:eastAsia="Arial"/>
          <w:b/>
          <w:color w:val="auto"/>
          <w:spacing w:val="0"/>
          <w:position w:val="0"/>
          <w:sz w:val="24"/>
          <w:shd w:fill="auto" w:val="clear"/>
        </w:rPr>
        <w:t xml:space="preserve">The innovator's dilemma: when new technologies cause great firms to fail</w:t>
      </w:r>
      <w:r>
        <w:rPr>
          <w:rFonts w:ascii="Arial" w:hAnsi="Arial" w:cs="Arial" w:eastAsia="Arial"/>
          <w:color w:val="auto"/>
          <w:spacing w:val="0"/>
          <w:position w:val="0"/>
          <w:sz w:val="24"/>
          <w:shd w:fill="auto" w:val="clear"/>
        </w:rPr>
        <w:t xml:space="preserve">. Boston: Harvard Business School Press, 1997. Disponível em: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https://scholar.google.com/scholar?hl=en</w:t>
        </w:r>
        <w:r>
          <w:rPr>
            <w:rFonts w:ascii="Arial" w:hAnsi="Arial" w:cs="Arial" w:eastAsia="Arial"/>
            <w:color w:val="0000FF"/>
            <w:spacing w:val="0"/>
            <w:position w:val="0"/>
            <w:sz w:val="24"/>
            <w:u w:val="single"/>
            <w:shd w:fill="auto" w:val="clear"/>
          </w:rPr>
          <w:t xml:space="preserve"> HYPERLINK "https://scholar.google.com/scholar?hl=en&amp;as_sdt=0%2C5&amp;q=christensen+innovator%27s+dilemma+1997&amp;btnG="</w:t>
        </w:r>
        <w:r>
          <w:rPr>
            <w:rFonts w:ascii="Arial" w:hAnsi="Arial" w:cs="Arial" w:eastAsia="Arial"/>
            <w:color w:val="0000FF"/>
            <w:spacing w:val="0"/>
            <w:position w:val="0"/>
            <w:sz w:val="24"/>
            <w:u w:val="single"/>
            <w:shd w:fill="auto" w:val="clear"/>
          </w:rPr>
          <w:t xml:space="preserve">&amp;</w:t>
        </w:r>
        <w:r>
          <w:rPr>
            <w:rFonts w:ascii="Arial" w:hAnsi="Arial" w:cs="Arial" w:eastAsia="Arial"/>
            <w:color w:val="0000FF"/>
            <w:spacing w:val="0"/>
            <w:position w:val="0"/>
            <w:sz w:val="24"/>
            <w:u w:val="single"/>
            <w:shd w:fill="auto" w:val="clear"/>
          </w:rPr>
          <w:t xml:space="preserve"> HYPERLINK "https://scholar.google.com/scholar?hl=en&amp;as_sdt=0%2C5&amp;q=christensen+innovator%27s+dilemma+1997&amp;btnG="</w:t>
        </w:r>
        <w:r>
          <w:rPr>
            <w:rFonts w:ascii="Arial" w:hAnsi="Arial" w:cs="Arial" w:eastAsia="Arial"/>
            <w:color w:val="0000FF"/>
            <w:spacing w:val="0"/>
            <w:position w:val="0"/>
            <w:sz w:val="24"/>
            <w:u w:val="single"/>
            <w:shd w:fill="auto" w:val="clear"/>
          </w:rPr>
          <w:t xml:space="preserve">as_sdt=0%2C5</w:t>
        </w:r>
        <w:r>
          <w:rPr>
            <w:rFonts w:ascii="Arial" w:hAnsi="Arial" w:cs="Arial" w:eastAsia="Arial"/>
            <w:color w:val="0000FF"/>
            <w:spacing w:val="0"/>
            <w:position w:val="0"/>
            <w:sz w:val="24"/>
            <w:u w:val="single"/>
            <w:shd w:fill="auto" w:val="clear"/>
          </w:rPr>
          <w:t xml:space="preserve"> HYPERLINK "https://scholar.google.com/scholar?hl=en&amp;as_sdt=0%2C5&amp;q=christensen+innovator%27s+dilemma+1997&amp;btnG="</w:t>
        </w:r>
        <w:r>
          <w:rPr>
            <w:rFonts w:ascii="Arial" w:hAnsi="Arial" w:cs="Arial" w:eastAsia="Arial"/>
            <w:color w:val="0000FF"/>
            <w:spacing w:val="0"/>
            <w:position w:val="0"/>
            <w:sz w:val="24"/>
            <w:u w:val="single"/>
            <w:shd w:fill="auto" w:val="clear"/>
          </w:rPr>
          <w:t xml:space="preserve">&amp;</w:t>
        </w:r>
        <w:r>
          <w:rPr>
            <w:rFonts w:ascii="Arial" w:hAnsi="Arial" w:cs="Arial" w:eastAsia="Arial"/>
            <w:color w:val="0000FF"/>
            <w:spacing w:val="0"/>
            <w:position w:val="0"/>
            <w:sz w:val="24"/>
            <w:u w:val="single"/>
            <w:shd w:fill="auto" w:val="clear"/>
          </w:rPr>
          <w:t xml:space="preserve"> HYPERLINK "https://scholar.google.com/scholar?hl=en&amp;as_sdt=0%2C5&amp;q=christensen+innovator%27s+dilemma+1997&amp;btnG="</w:t>
        </w:r>
        <w:r>
          <w:rPr>
            <w:rFonts w:ascii="Arial" w:hAnsi="Arial" w:cs="Arial" w:eastAsia="Arial"/>
            <w:color w:val="0000FF"/>
            <w:spacing w:val="0"/>
            <w:position w:val="0"/>
            <w:sz w:val="24"/>
            <w:u w:val="single"/>
            <w:shd w:fill="auto" w:val="clear"/>
          </w:rPr>
          <w:t xml:space="preserve">q=christensen+innovator%27s+dilemma+1997</w:t>
        </w:r>
        <w:r>
          <w:rPr>
            <w:rFonts w:ascii="Arial" w:hAnsi="Arial" w:cs="Arial" w:eastAsia="Arial"/>
            <w:color w:val="0000FF"/>
            <w:spacing w:val="0"/>
            <w:position w:val="0"/>
            <w:sz w:val="24"/>
            <w:u w:val="single"/>
            <w:shd w:fill="auto" w:val="clear"/>
          </w:rPr>
          <w:t xml:space="preserve"> HYPERLINK "https://scholar.google.com/scholar?hl=en&amp;as_sdt=0%2C5&amp;q=christensen+innovator%27s+dilemma+1997&amp;btnG="</w:t>
        </w:r>
        <w:r>
          <w:rPr>
            <w:rFonts w:ascii="Arial" w:hAnsi="Arial" w:cs="Arial" w:eastAsia="Arial"/>
            <w:color w:val="0000FF"/>
            <w:spacing w:val="0"/>
            <w:position w:val="0"/>
            <w:sz w:val="24"/>
            <w:u w:val="single"/>
            <w:shd w:fill="auto" w:val="clear"/>
          </w:rPr>
          <w:t xml:space="preserve">&amp;</w:t>
        </w:r>
        <w:r>
          <w:rPr>
            <w:rFonts w:ascii="Arial" w:hAnsi="Arial" w:cs="Arial" w:eastAsia="Arial"/>
            <w:color w:val="0000FF"/>
            <w:spacing w:val="0"/>
            <w:position w:val="0"/>
            <w:sz w:val="24"/>
            <w:u w:val="single"/>
            <w:shd w:fill="auto" w:val="clear"/>
          </w:rPr>
          <w:t xml:space="preserve"> HYPERLINK "https://scholar.google.com/scholar?hl=en&amp;as_sdt=0%2C5&amp;q=christensen+innovator%27s+dilemma+1997&amp;btnG="</w:t>
        </w:r>
        <w:r>
          <w:rPr>
            <w:rFonts w:ascii="Arial" w:hAnsi="Arial" w:cs="Arial" w:eastAsia="Arial"/>
            <w:color w:val="0000FF"/>
            <w:spacing w:val="0"/>
            <w:position w:val="0"/>
            <w:sz w:val="24"/>
            <w:u w:val="single"/>
            <w:shd w:fill="auto" w:val="clear"/>
          </w:rPr>
          <w:t xml:space="preserve">btnG=</w:t>
        </w:r>
      </w:hyperlink>
      <w:r>
        <w:rPr>
          <w:rFonts w:ascii="Arial" w:hAnsi="Arial" w:cs="Arial" w:eastAsia="Arial"/>
          <w:color w:val="auto"/>
          <w:spacing w:val="0"/>
          <w:position w:val="0"/>
          <w:sz w:val="24"/>
          <w:shd w:fill="auto" w:val="clear"/>
        </w:rPr>
        <w:t xml:space="preserve">. Acesso em: 23 jul. 2025.</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CHRISTENSEN, Clayton M.; RAYNOR, Michael E.; McDONALD, Rory. </w:t>
      </w:r>
      <w:r>
        <w:rPr>
          <w:rFonts w:ascii="Arial" w:hAnsi="Arial" w:cs="Arial" w:eastAsia="Arial"/>
          <w:b/>
          <w:color w:val="auto"/>
          <w:spacing w:val="0"/>
          <w:position w:val="0"/>
          <w:sz w:val="24"/>
          <w:shd w:fill="auto" w:val="clear"/>
        </w:rPr>
        <w:t xml:space="preserve">What is disruptive innovation?</w:t>
      </w:r>
      <w:r>
        <w:rPr>
          <w:rFonts w:ascii="Arial" w:hAnsi="Arial" w:cs="Arial" w:eastAsia="Arial"/>
          <w:color w:val="auto"/>
          <w:spacing w:val="0"/>
          <w:position w:val="0"/>
          <w:sz w:val="24"/>
          <w:shd w:fill="auto" w:val="clear"/>
        </w:rPr>
        <w:t xml:space="preserve"> Harvard Business Review, v. 93, n. 12, p. 44-53, 2015.</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TIDD, Joe; BESSANT, John; PAVITT, Keith. </w:t>
      </w:r>
      <w:r>
        <w:rPr>
          <w:rFonts w:ascii="Arial" w:hAnsi="Arial" w:cs="Arial" w:eastAsia="Arial"/>
          <w:b/>
          <w:color w:val="auto"/>
          <w:spacing w:val="0"/>
          <w:position w:val="0"/>
          <w:sz w:val="24"/>
          <w:shd w:fill="auto" w:val="clear"/>
        </w:rPr>
        <w:t xml:space="preserve">Gestão da inovação</w:t>
      </w:r>
      <w:r>
        <w:rPr>
          <w:rFonts w:ascii="Arial" w:hAnsi="Arial" w:cs="Arial" w:eastAsia="Arial"/>
          <w:color w:val="auto"/>
          <w:spacing w:val="0"/>
          <w:position w:val="0"/>
          <w:sz w:val="24"/>
          <w:shd w:fill="auto" w:val="clear"/>
        </w:rPr>
        <w:t xml:space="preserve">. 5. ed. Porto Alegre: Bookman, 2013.</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PARASURAMAN, A.; ZEITHAML, Valarie A.; BERRY, Leonard L. </w:t>
      </w:r>
      <w:r>
        <w:rPr>
          <w:rFonts w:ascii="Arial" w:hAnsi="Arial" w:cs="Arial" w:eastAsia="Arial"/>
          <w:b/>
          <w:color w:val="auto"/>
          <w:spacing w:val="0"/>
          <w:position w:val="0"/>
          <w:sz w:val="24"/>
          <w:shd w:fill="auto" w:val="clear"/>
        </w:rPr>
        <w:t xml:space="preserve">A conceptual model of service quality and its implications for future research</w:t>
      </w:r>
      <w:r>
        <w:rPr>
          <w:rFonts w:ascii="Arial" w:hAnsi="Arial" w:cs="Arial" w:eastAsia="Arial"/>
          <w:color w:val="auto"/>
          <w:spacing w:val="0"/>
          <w:position w:val="0"/>
          <w:sz w:val="24"/>
          <w:shd w:fill="auto" w:val="clear"/>
        </w:rPr>
        <w:t xml:space="preserve">. Journal of Marketing, v. 49, n. 4, p. 41-50, 1985.</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PINE, B. Joseph; GILMORE, James H. </w:t>
      </w:r>
      <w:r>
        <w:rPr>
          <w:rFonts w:ascii="Arial" w:hAnsi="Arial" w:cs="Arial" w:eastAsia="Arial"/>
          <w:b/>
          <w:color w:val="auto"/>
          <w:spacing w:val="0"/>
          <w:position w:val="0"/>
          <w:sz w:val="24"/>
          <w:shd w:fill="auto" w:val="clear"/>
        </w:rPr>
        <w:t xml:space="preserve">Welcome to the experience economy.</w:t>
      </w:r>
      <w:r>
        <w:rPr>
          <w:rFonts w:ascii="Arial" w:hAnsi="Arial" w:cs="Arial" w:eastAsia="Arial"/>
          <w:color w:val="auto"/>
          <w:spacing w:val="0"/>
          <w:position w:val="0"/>
          <w:sz w:val="24"/>
          <w:shd w:fill="auto" w:val="clear"/>
        </w:rPr>
        <w:t xml:space="preserve"> Harvard Business Review, v. 76, n. 4, p. 97-105, 1998.</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SCHMITT, Bernd. E</w:t>
      </w:r>
      <w:r>
        <w:rPr>
          <w:rFonts w:ascii="Arial" w:hAnsi="Arial" w:cs="Arial" w:eastAsia="Arial"/>
          <w:b/>
          <w:color w:val="auto"/>
          <w:spacing w:val="0"/>
          <w:position w:val="0"/>
          <w:sz w:val="24"/>
          <w:shd w:fill="auto" w:val="clear"/>
        </w:rPr>
        <w:t xml:space="preserve">xperiential marketing: how to get customers to sense, feel, think, act, relate to your company and brands.</w:t>
      </w:r>
      <w:r>
        <w:rPr>
          <w:rFonts w:ascii="Arial" w:hAnsi="Arial" w:cs="Arial" w:eastAsia="Arial"/>
          <w:color w:val="auto"/>
          <w:spacing w:val="0"/>
          <w:position w:val="0"/>
          <w:sz w:val="24"/>
          <w:shd w:fill="auto" w:val="clear"/>
        </w:rPr>
        <w:t xml:space="preserve"> New York: Free Press, 1999.</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PORTER, Michael E</w:t>
      </w:r>
      <w:r>
        <w:rPr>
          <w:rFonts w:ascii="Arial" w:hAnsi="Arial" w:cs="Arial" w:eastAsia="Arial"/>
          <w:b/>
          <w:color w:val="auto"/>
          <w:spacing w:val="0"/>
          <w:position w:val="0"/>
          <w:sz w:val="24"/>
          <w:shd w:fill="auto" w:val="clear"/>
        </w:rPr>
        <w:t xml:space="preserve">. Competitive advantage: creating and sustaining superior performance</w:t>
      </w:r>
      <w:r>
        <w:rPr>
          <w:rFonts w:ascii="Arial" w:hAnsi="Arial" w:cs="Arial" w:eastAsia="Arial"/>
          <w:color w:val="auto"/>
          <w:spacing w:val="0"/>
          <w:position w:val="0"/>
          <w:sz w:val="24"/>
          <w:shd w:fill="auto" w:val="clear"/>
        </w:rPr>
        <w:t xml:space="preserve">. New York: Free Press, 1985.</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OSTERWALDER, Alexander; PIGNEUR, Yves. </w:t>
      </w:r>
      <w:r>
        <w:rPr>
          <w:rFonts w:ascii="Arial" w:hAnsi="Arial" w:cs="Arial" w:eastAsia="Arial"/>
          <w:b/>
          <w:color w:val="auto"/>
          <w:spacing w:val="0"/>
          <w:position w:val="0"/>
          <w:sz w:val="24"/>
          <w:shd w:fill="auto" w:val="clear"/>
        </w:rPr>
        <w:t xml:space="preserve">Business model generation: a handbook for visionaries, game changers, and challengers.</w:t>
      </w:r>
      <w:r>
        <w:rPr>
          <w:rFonts w:ascii="Arial" w:hAnsi="Arial" w:cs="Arial" w:eastAsia="Arial"/>
          <w:color w:val="auto"/>
          <w:spacing w:val="0"/>
          <w:position w:val="0"/>
          <w:sz w:val="24"/>
          <w:shd w:fill="auto" w:val="clear"/>
        </w:rPr>
        <w:t xml:space="preserve"> Hoboken: John Wiley &amp; Sons, 2010.</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TEECE, David J. </w:t>
      </w:r>
      <w:r>
        <w:rPr>
          <w:rFonts w:ascii="Arial" w:hAnsi="Arial" w:cs="Arial" w:eastAsia="Arial"/>
          <w:b/>
          <w:color w:val="auto"/>
          <w:spacing w:val="0"/>
          <w:position w:val="0"/>
          <w:sz w:val="24"/>
          <w:shd w:fill="auto" w:val="clear"/>
        </w:rPr>
        <w:t xml:space="preserve">Explicating dynamic capabilities: The nature and microfoundations of (sustainable) enterprise performance.</w:t>
      </w:r>
      <w:r>
        <w:rPr>
          <w:rFonts w:ascii="Arial" w:hAnsi="Arial" w:cs="Arial" w:eastAsia="Arial"/>
          <w:color w:val="auto"/>
          <w:spacing w:val="0"/>
          <w:position w:val="0"/>
          <w:sz w:val="24"/>
          <w:shd w:fill="auto" w:val="clear"/>
        </w:rPr>
        <w:t xml:space="preserve"> Strategic Management Journal, v. 28, n. 13, p. 1319-1350, 2007.</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HARAWAY, Donna. </w:t>
      </w:r>
      <w:r>
        <w:rPr>
          <w:rFonts w:ascii="Arial" w:hAnsi="Arial" w:cs="Arial" w:eastAsia="Arial"/>
          <w:b/>
          <w:color w:val="auto"/>
          <w:spacing w:val="0"/>
          <w:position w:val="0"/>
          <w:sz w:val="24"/>
          <w:shd w:fill="auto" w:val="clear"/>
        </w:rPr>
        <w:t xml:space="preserve">When species meet.</w:t>
      </w:r>
      <w:r>
        <w:rPr>
          <w:rFonts w:ascii="Arial" w:hAnsi="Arial" w:cs="Arial" w:eastAsia="Arial"/>
          <w:color w:val="auto"/>
          <w:spacing w:val="0"/>
          <w:position w:val="0"/>
          <w:sz w:val="24"/>
          <w:shd w:fill="auto" w:val="clear"/>
        </w:rPr>
        <w:t xml:space="preserve"> Minneapolis: University of Minnesota Press, 2008. Disponível em: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https://www.ubueditora.com.br/especies-haraway.html</w:t>
        </w:r>
      </w:hyperlink>
      <w:r>
        <w:rPr>
          <w:rFonts w:ascii="Arial" w:hAnsi="Arial" w:cs="Arial" w:eastAsia="Arial"/>
          <w:color w:val="auto"/>
          <w:spacing w:val="0"/>
          <w:position w:val="0"/>
          <w:sz w:val="24"/>
          <w:shd w:fill="auto" w:val="clear"/>
        </w:rPr>
        <w:t xml:space="preserve">. Acesso em: 4 ago. 2025.</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WORDEN, J. William. Grief </w:t>
      </w:r>
      <w:r>
        <w:rPr>
          <w:rFonts w:ascii="Arial" w:hAnsi="Arial" w:cs="Arial" w:eastAsia="Arial"/>
          <w:b/>
          <w:color w:val="auto"/>
          <w:spacing w:val="0"/>
          <w:position w:val="0"/>
          <w:sz w:val="24"/>
          <w:shd w:fill="auto" w:val="clear"/>
        </w:rPr>
        <w:t xml:space="preserve">counseling and grief therapy: a handbook for the mental health practitioner</w:t>
      </w:r>
      <w:r>
        <w:rPr>
          <w:rFonts w:ascii="Arial" w:hAnsi="Arial" w:cs="Arial" w:eastAsia="Arial"/>
          <w:color w:val="auto"/>
          <w:spacing w:val="0"/>
          <w:position w:val="0"/>
          <w:sz w:val="24"/>
          <w:shd w:fill="auto" w:val="clear"/>
        </w:rPr>
        <w:t xml:space="preserve">. 5. ed. New York: Springer, 2018.</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LEVY, Sidney J. </w:t>
      </w:r>
      <w:r>
        <w:rPr>
          <w:rFonts w:ascii="Arial" w:hAnsi="Arial" w:cs="Arial" w:eastAsia="Arial"/>
          <w:b/>
          <w:color w:val="auto"/>
          <w:spacing w:val="0"/>
          <w:position w:val="0"/>
          <w:sz w:val="24"/>
          <w:shd w:fill="auto" w:val="clear"/>
        </w:rPr>
        <w:t xml:space="preserve">Symbols for sale</w:t>
      </w:r>
      <w:r>
        <w:rPr>
          <w:rFonts w:ascii="Arial" w:hAnsi="Arial" w:cs="Arial" w:eastAsia="Arial"/>
          <w:color w:val="auto"/>
          <w:spacing w:val="0"/>
          <w:position w:val="0"/>
          <w:sz w:val="24"/>
          <w:shd w:fill="auto" w:val="clear"/>
        </w:rPr>
        <w:t xml:space="preserve">. Harvard Business Review, v. 37, n. 4, p. 117-124, 1959.</w:t>
      </w:r>
    </w:p>
    <w:p>
      <w:pPr>
        <w:spacing w:before="0" w:after="20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cholar.google.com/scholar?hl=en&amp;as_sdt=0%2C5&amp;q=christensen+innovator%27s+dilemma+1997&amp;btnG=" Id="docRId0" Type="http://schemas.openxmlformats.org/officeDocument/2006/relationships/hyperlink" /><Relationship TargetMode="External" Target="https://www.ubueditora.com.br/especies-haraway.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