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FC" w:rsidRDefault="005F28FC" w:rsidP="005F28FC">
      <w:pPr>
        <w:rPr>
          <w:rFonts w:ascii="Times New Roman" w:hAnsi="Times New Roman" w:cs="Times New Roman"/>
          <w:b/>
        </w:rPr>
      </w:pPr>
    </w:p>
    <w:p w:rsidR="003C4BB2" w:rsidRPr="003C4BB2" w:rsidRDefault="003C4BB2" w:rsidP="003C4BB2">
      <w:pPr>
        <w:pStyle w:val="Ttulo"/>
        <w:jc w:val="center"/>
      </w:pPr>
      <w:r w:rsidRPr="003C4BB2">
        <w:t xml:space="preserve">O USO DO MICROSCÓPIO COMO FERRAMENTA PARA O ESTUDO  </w:t>
      </w:r>
      <w:r w:rsidRPr="003C4BB2">
        <w:rPr>
          <w:spacing w:val="-2"/>
        </w:rPr>
        <w:t>DA HISTOLOGIA NA MONITORIA DE CIÊNCIAS MORFOLÓGICAS.</w:t>
      </w:r>
    </w:p>
    <w:p w:rsidR="005613D5" w:rsidRDefault="005613D5" w:rsidP="003C4BB2">
      <w:pPr>
        <w:pStyle w:val="Corpodetexto"/>
        <w:spacing w:after="0" w:line="360" w:lineRule="atLeast"/>
        <w:rPr>
          <w:rFonts w:ascii="Times New Roman" w:hAnsi="Times New Roman" w:cs="Times New Roman"/>
          <w:b/>
          <w:kern w:val="2"/>
        </w:rPr>
      </w:pPr>
    </w:p>
    <w:p w:rsidR="003C4BB2" w:rsidRDefault="003C4BB2" w:rsidP="005613D5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Gyovanna Soares da Silva</w:t>
      </w:r>
    </w:p>
    <w:p w:rsidR="003C4BB2" w:rsidRPr="003C4BB2" w:rsidRDefault="003C4BB2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</w:rPr>
      </w:pPr>
      <w:r w:rsidRPr="003C4BB2">
        <w:rPr>
          <w:rFonts w:ascii="Times New Roman" w:hAnsi="Times New Roman" w:cs="Times New Roman"/>
          <w:sz w:val="20"/>
        </w:rPr>
        <w:t>Discente – Centro</w:t>
      </w:r>
      <w:r>
        <w:rPr>
          <w:rFonts w:ascii="Times New Roman" w:hAnsi="Times New Roman" w:cs="Times New Roman"/>
          <w:sz w:val="20"/>
        </w:rPr>
        <w:t xml:space="preserve"> </w:t>
      </w:r>
      <w:r w:rsidRPr="003C4BB2">
        <w:rPr>
          <w:rFonts w:ascii="Times New Roman" w:hAnsi="Times New Roman" w:cs="Times New Roman"/>
          <w:sz w:val="20"/>
        </w:rPr>
        <w:t>Universitário</w:t>
      </w:r>
      <w:r>
        <w:rPr>
          <w:rFonts w:ascii="Times New Roman" w:hAnsi="Times New Roman" w:cs="Times New Roman"/>
          <w:sz w:val="20"/>
        </w:rPr>
        <w:t xml:space="preserve"> </w:t>
      </w:r>
      <w:r w:rsidRPr="003C4BB2">
        <w:rPr>
          <w:rFonts w:ascii="Times New Roman" w:hAnsi="Times New Roman" w:cs="Times New Roman"/>
          <w:sz w:val="20"/>
        </w:rPr>
        <w:t xml:space="preserve">Fametro – Unifametro </w:t>
      </w:r>
    </w:p>
    <w:p w:rsidR="005F28FC" w:rsidRDefault="003C4BB2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hyperlink r:id="rId7">
        <w:r w:rsidRPr="003C4BB2">
          <w:rPr>
            <w:rFonts w:ascii="Times New Roman" w:hAnsi="Times New Roman" w:cs="Times New Roman"/>
            <w:color w:val="0000FF"/>
            <w:spacing w:val="-2"/>
            <w:sz w:val="20"/>
            <w:u w:val="single" w:color="0000FF"/>
          </w:rPr>
          <w:t>gyovanna.silva01@aluno.unifametro.edu.br</w:t>
        </w:r>
      </w:hyperlink>
    </w:p>
    <w:p w:rsidR="003C4BB2" w:rsidRDefault="003C4BB2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Antônio Adriano da Rocha Nogueira</w:t>
      </w:r>
    </w:p>
    <w:p w:rsidR="003C4BB2" w:rsidRDefault="003C4BB2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Docente – Centro Universitário Fametro – Unifametro</w:t>
      </w:r>
    </w:p>
    <w:p w:rsidR="003C4BB2" w:rsidRDefault="003C4BB2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757955">
          <w:rPr>
            <w:rStyle w:val="Hyperlink"/>
            <w:rFonts w:ascii="Times New Roman" w:hAnsi="Times New Roman" w:cs="Times New Roman"/>
            <w:sz w:val="20"/>
            <w:szCs w:val="20"/>
          </w:rPr>
          <w:t>antonio.nogueira@professor.unifametro.edu.br</w:t>
        </w:r>
      </w:hyperlink>
    </w:p>
    <w:p w:rsidR="003C4BB2" w:rsidRPr="0019190C" w:rsidRDefault="003C4BB2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</w:p>
    <w:p w:rsidR="00BB4E49" w:rsidRDefault="00BB4E49" w:rsidP="00BB4E49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b/>
        </w:rPr>
        <w:t>Área Temática:</w:t>
      </w:r>
      <w:sdt>
        <w:sdtPr>
          <w:rPr>
            <w:rFonts w:ascii="Times New Roman" w:hAnsi="Times New Roman" w:cs="Times New Roman"/>
          </w:rPr>
          <w:alias w:val="Área temática"/>
          <w:tag w:val="Área temática"/>
          <w:id w:val="972713961"/>
          <w:placeholder>
            <w:docPart w:val="E29F9114AB174BCE908DA59CCCAC06C9"/>
          </w:placeholder>
          <w:dropDownList>
            <w:listItem w:value="Escolher um item."/>
            <w:listItem w:displayText="Alimentos, nutrição e saúde" w:value="Alimentos, nutrição e saúde"/>
            <w:listItem w:displayText="Análise e Cálculo Estrutural" w:value="Análise e Cálculo Estrutural"/>
            <w:listItem w:displayText="Análises Clínicas e Toxicológicas" w:value="Análises Clínicas e Toxicológicas"/>
            <w:listItem w:displayText="Arquitetura de interiores e design" w:value="Arquitetura de interiores e design"/>
            <w:listItem w:displayText="Assistência Farmacêutica" w:value="Assistência Farmacêutica"/>
            <w:listItem w:displayText="Auditoria nas Organizações" w:value="Auditoria nas Organizações"/>
            <w:listItem w:displayText="Bem-estar animal, medicina veterinária preventiva e saúde pública veterinária" w:value="Bem-estar animal, medicina veterinária preventiva e saúde pública veterinária"/>
            <w:listItem w:displayText="Biomecânica do movimento humano" w:value="Biomecânica do movimento humano"/>
            <w:listItem w:displayText="Business Inteligence Artificial e Sistemas de Apoio à decisão" w:value="Business Inteligence Artificial e Sistemas de Apoio à decisão"/>
            <w:listItem w:displayText="Clínica e biotecnologias aplicadas em medicina veterinária" w:value="Clínica e biotecnologias aplicadas em medicina veterinária"/>
            <w:listItem w:displayText="Clínica Odontológica, Odontologia Restauradora e Reabilitadora" w:value="Clínica Odontológica, Odontologia Restauradora e Reabilitadora"/>
            <w:listItem w:displayText="Condições de vida e saúde" w:value="Condições de vida e saúde"/>
            <w:listItem w:displayText="Constituição, Cidadania, Políticas Públicas e Efetivação de Direitos" w:value="Constituição, Cidadania, Políticas Públicas e Efetivação de Direitos"/>
            <w:listItem w:displayText="Contabilidade, Controladoria e Finanças" w:value="Contabilidade, Controladoria e Finanças"/>
            <w:listItem w:displayText="Desenvolvimento de Produtos e Projetos" w:value="Desenvolvimento de Produtos e Projetos"/>
            <w:listItem w:displayText="Direito privado, constitucionalização do direito e relações privadas" w:value="Direito privado, constitucionalização do direito e relações privadas"/>
            <w:listItem w:displayText="Direito processual, jurisdição e acesso à justiça" w:value="Direito processual, jurisdição e acesso à justiça"/>
            <w:listItem w:displayText="Direitos Fundamentais, Sustentabilidade e Democracia" w:value="Direitos Fundamentais, Sustentabilidade e Democracia"/>
            <w:listItem w:displayText="Doenças Crônicas Não-transmissíveis" w:value="Doenças Crônicas Não-transmissíveis"/>
            <w:listItem w:displayText="Engenharia de segurança e saúde do trabalho" w:value="Engenharia de segurança e saúde do trabalho"/>
            <w:listItem w:displayText="Engenharia de Software e Computação em Nuvem" w:value="Engenharia de Software e Computação em Nuvem"/>
            <w:listItem w:displayText="Ensino, Pesquisa e Extensão em Educação" w:value="Ensino, Pesquisa e Extensão em Educação"/>
            <w:listItem w:displayText="Estratégias Organizacionais" w:value="Estratégias Organizacionais"/>
            <w:listItem w:displayText="Estudos de Utilização de Medicamentos" w:value="Estudos de Utilização de Medicamentos"/>
            <w:listItem w:displayText="Exercício físico e desempenho no esporte" w:value="Exercício físico e desempenho no esporte"/>
            <w:listItem w:displayText="Farmácia Hospitalar e Clínica" w:value="Farmácia Hospitalar e Clínica"/>
            <w:listItem w:displayText="Fitoterapia" w:value="Fitoterapia"/>
            <w:listItem w:displayText="Gestão, Tecnologia, Inovação e Sustentabilidade na Construção Civil" w:value="Gestão, Tecnologia, Inovação e Sustentabilidade na Construção Civil"/>
            <w:listItem w:displayText="Hidrogênio verde e energias renováveis" w:value="Hidrogênio verde e energias renováveis"/>
            <w:listItem w:displayText="História, Patrimônio e Identidade" w:value="História, Patrimônio e Identidade"/>
            <w:listItem w:displayText="Inovação e Inteligência Artificial" w:value="Inovação e Inteligência Artificial"/>
            <w:listItem w:displayText="Lean Manufacturing e Gestão" w:value="Lean Manufacturing e Gestão"/>
            <w:listItem w:displayText="Meio Ambiente e Desenvolvimento Sustentável" w:value="Meio Ambiente e Desenvolvimento Sustentável"/>
            <w:listItem w:displayText="Movimentos Sociais, Conflito e Direitos humanos" w:value="Movimentos Sociais, Conflito e Direitos humanos"/>
            <w:listItem w:displayText="Planejamento, Modelos e Estratégias em Gestão de Pessoas" w:value="Planejamento, Modelos e Estratégias em Gestão de Pessoas"/>
            <w:listItem w:displayText="Políticas e Práticas em Saúde Mental" w:value="Políticas e Práticas em Saúde Mental"/>
            <w:listItem w:displayText="Políticas Públicas e Direitos Sociais" w:value="Políticas Públicas e Direitos Sociais"/>
            <w:listItem w:displayText="Prática docente e tecnologias educacionais" w:value="Prática docente e tecnologias educacionais"/>
            <w:listItem w:displayText="Procedimentos Físico-Químicos Utilizados em Estética" w:value="Procedimentos Físico-Químicos Utilizados em Estética"/>
            <w:listItem w:displayText="Processo de Cuidar" w:value="Processo de Cuidar"/>
            <w:listItem w:displayText="Produção do Espaço, Ocupação, Gestão e Cidadania" w:value="Produção do Espaço, Ocupação, Gestão e Cidadania"/>
            <w:listItem w:displayText="Produção e Processamento de Alimentos" w:value="Produção e Processamento de Alimentos"/>
            <w:listItem w:displayText="Produtos Naturais, Farmacológicos e Cosméticos" w:value="Produtos Naturais, Farmacológicos e Cosméticos"/>
            <w:listItem w:displayText="Projeto urbano e paisagismo" w:value="Projeto urbano e paisagismo"/>
            <w:listItem w:displayText="Promoção da Saúde e Tecnologias Aplicadas" w:value="Promoção da Saúde e Tecnologias Aplicadas"/>
            <w:listItem w:displayText="Promoção, Prevenção e Reabilitação em Fisioterapia" w:value="Promoção, Prevenção e Reabilitação em Fisioterapia"/>
            <w:listItem w:displayText="Psicologia da saúde e hospitalar" w:value="Psicologia da saúde e hospitalar"/>
            <w:listItem w:displayText="Psicologia do desenvolvimento humano" w:value="Psicologia do desenvolvimento humano"/>
            <w:listItem w:displayText="Psicologia escolar e educacional" w:value="Psicologia escolar e educacional"/>
            <w:listItem w:displayText="Psicologia jurídica" w:value="Psicologia jurídica"/>
            <w:listItem w:displayText="Psicologia organizacional e do trabalho" w:value="Psicologia organizacional e do trabalho"/>
            <w:listItem w:displayText="Psicologia social e comunitária" w:value="Psicologia social e comunitária"/>
            <w:listItem w:displayText="Qualidade e inovação em alimentos e nutrição" w:value="Qualidade e inovação em alimentos e nutrição"/>
            <w:listItem w:displayText="Saneamento Ambiental, Poluição do Ar, Recursos Hídricos e Geotecnia" w:value="Saneamento Ambiental, Poluição do Ar, Recursos Hídricos e Geotecnia"/>
            <w:listItem w:displayText="Saúde Coletiva, Promoção e Prevenção em Odontologia" w:value="Saúde Coletiva, Promoção e Prevenção em Odontologia"/>
            <w:listItem w:displayText="Saúde Mental e o processo de Adoecimento no Trabalho" w:value="Saúde Mental e o processo de Adoecimento no Trabalho"/>
            <w:listItem w:displayText="Tecnologia em Engenharia de Tráfego e Transporte" w:value="Tecnologia em Engenharia de Tráfego e Transporte"/>
            <w:listItem w:displayText="Teoria do Projeto, da Arquitetura e da Cidade" w:value="Teoria do Projeto, da Arquitetura e da Cidade"/>
            <w:listItem w:displayText="Teorias comportamentais" w:value="Teorias comportamentais"/>
            <w:listItem w:displayText="Teorias humanistas" w:value="Teorias humanistas"/>
            <w:listItem w:displayText="Teorias psicanalistas" w:value="Teorias psicanalistas"/>
          </w:dropDownList>
        </w:sdtPr>
        <w:sdtContent>
          <w:r w:rsidR="003C4BB2">
            <w:rPr>
              <w:rFonts w:ascii="Times New Roman" w:hAnsi="Times New Roman" w:cs="Times New Roman"/>
            </w:rPr>
            <w:t>Ensino, Pesquisa e Extensão em Educação</w:t>
          </w:r>
        </w:sdtContent>
      </w:sdt>
    </w:p>
    <w:p w:rsidR="00BB4E49" w:rsidRDefault="00BB4E49" w:rsidP="00BB4E49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Área de Conhecimento: </w:t>
      </w:r>
      <w:sdt>
        <w:sdtPr>
          <w:rPr>
            <w:rFonts w:ascii="Times New Roman" w:hAnsi="Times New Roman" w:cs="Times New Roman"/>
          </w:rPr>
          <w:id w:val="-1406149033"/>
          <w:placeholder>
            <w:docPart w:val="12C3A343D0E44B66AB651FC5E7FE9832"/>
          </w:placeholder>
          <w:dropDownList>
            <w:listItem w:value="Escolher um item."/>
            <w:listItem w:displayText="Ciências Tecnológicas" w:value="Ciências Tecnológicas"/>
            <w:listItem w:displayText="Ciências da Saúde" w:value="Ciências da Saúde"/>
            <w:listItem w:displayText="Ciências Sociais Aplicadas" w:value="Ciências Sociais Aplicadas"/>
          </w:dropDownList>
        </w:sdtPr>
        <w:sdtContent>
          <w:r w:rsidR="003C4BB2">
            <w:rPr>
              <w:rFonts w:ascii="Times New Roman" w:hAnsi="Times New Roman" w:cs="Times New Roman"/>
            </w:rPr>
            <w:t>Ciências da Saúde</w:t>
          </w:r>
        </w:sdtContent>
      </w:sdt>
    </w:p>
    <w:p w:rsidR="00BB4E49" w:rsidRDefault="00BB4E49" w:rsidP="00BB4E49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Encontro Científico:</w:t>
      </w:r>
      <w:sdt>
        <w:sdtPr>
          <w:rPr>
            <w:rFonts w:ascii="Times New Roman" w:hAnsi="Times New Roman" w:cs="Times New Roman"/>
            <w:bCs/>
          </w:rPr>
          <w:alias w:val="Encontro Científico"/>
          <w:tag w:val="Encontro Científico"/>
          <w:id w:val="-720978530"/>
          <w:placeholder>
            <w:docPart w:val="E29F9114AB174BCE908DA59CCCAC06C9"/>
          </w:placeholder>
          <w:dropDownList>
            <w:listItem w:value="Escolher um item."/>
            <w:listItem w:displayText="XIII Encontro de Iniciação à Pesquisa" w:value="XIII Encontro de Iniciação à Pesquisa"/>
            <w:listItem w:displayText="XIII Encontro de Monitoria" w:value="XIII Encontro de Monitoria"/>
            <w:listItem w:displayText="XV Encontro de Pós-graduação" w:value="XV Encontro de Pós-graduação"/>
            <w:listItem w:displayText="VI Encontro de Experiências Docentes" w:value="VI Encontro de Experiências Docentes"/>
          </w:dropDownList>
        </w:sdtPr>
        <w:sdtContent>
          <w:r w:rsidR="003C4BB2">
            <w:rPr>
              <w:rFonts w:ascii="Times New Roman" w:hAnsi="Times New Roman" w:cs="Times New Roman"/>
              <w:bCs/>
            </w:rPr>
            <w:t>XIII Encontro de Monitoria</w:t>
          </w:r>
        </w:sdtContent>
      </w:sdt>
    </w:p>
    <w:p w:rsidR="005F28FC" w:rsidRDefault="005F28FC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</w:rPr>
      </w:pPr>
    </w:p>
    <w:p w:rsidR="005F28FC" w:rsidRDefault="005F28FC" w:rsidP="005F28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3C4BB2" w:rsidRDefault="005613D5" w:rsidP="003C4BB2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>Introdução:</w:t>
      </w:r>
      <w:r w:rsidR="003C4BB2" w:rsidRPr="003C4BB2">
        <w:t xml:space="preserve"> </w:t>
      </w:r>
      <w:r w:rsidR="003C4BB2" w:rsidRPr="003C4BB2">
        <w:rPr>
          <w:rFonts w:ascii="Times New Roman" w:hAnsi="Times New Roman" w:cs="Times New Roman"/>
        </w:rPr>
        <w:t>O microscópio, inventado no século XVII, transformou a ciência ao permitir que estruturas invisíveis a olho nu fossem observadas. Todo esse avanço, que começou com os trabalhos de Hans e Zacharias Janssen e que teve um importante aprimoramento nas mãos de Antonie van Leeuwenhoek, foi fundamental para que a disciplina de histologia - crucial para a compreensão da estrutura e do funcionamento do corpo humano - pudesse se desenvolver. Assim, o microscópio é uma ferramenta essencial para o aprendizado da histologia, permitindo que os estudantes observem com detalhes lâminas histológicas e reforcem seus conhecimentos teóricos. Nesse contexto, a monitoria acadêmica se soma a esse processo, oferecendo um espaço de suporte à prática dos estudantes, o que fortalece sua autonomia e aperfeiçoa a compreensão dos conteúdos.</w:t>
      </w:r>
      <w:r w:rsidR="003C4BB2">
        <w:t xml:space="preserve">  </w:t>
      </w:r>
    </w:p>
    <w:p w:rsidR="003C4BB2" w:rsidRDefault="005613D5" w:rsidP="003C4B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Objetivo:</w:t>
      </w:r>
      <w:r w:rsidR="003C4BB2" w:rsidRPr="003C4BB2">
        <w:rPr>
          <w:rFonts w:ascii="Times New Roman" w:hAnsi="Times New Roman" w:cs="Times New Roman"/>
        </w:rPr>
        <w:t xml:space="preserve"> O objetivo deste trabalho é descrever a importância do uso do microscópio como ferramenta de apoio no estudo da histologia na monitoria de ciências morfológicas, destacando suas contribuições para a aprendizagem e para o desenvolvimento da autonomia dos discentes.</w:t>
      </w:r>
      <w:r w:rsidR="003C4BB2">
        <w:rPr>
          <w:rFonts w:ascii="Times New Roman" w:hAnsi="Times New Roman" w:cs="Times New Roman"/>
        </w:rPr>
        <w:t xml:space="preserve">  </w:t>
      </w:r>
    </w:p>
    <w:p w:rsidR="003C4BB2" w:rsidRDefault="005613D5" w:rsidP="003C4BB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Metodologia:</w:t>
      </w:r>
      <w:r w:rsidR="003C4BB2" w:rsidRPr="003C4BB2">
        <w:t xml:space="preserve"> </w:t>
      </w:r>
      <w:r w:rsidR="003C4BB2" w:rsidRPr="003C4BB2">
        <w:rPr>
          <w:rFonts w:ascii="Times New Roman" w:hAnsi="Times New Roman" w:cs="Times New Roman"/>
        </w:rPr>
        <w:t xml:space="preserve">Este estudo consiste em um relato de experiência das atividades de monitoria realizadas desde o primeiro semestre letivo de 2025 na disciplina de Ciências Morfológicas, com ênfase em histologia. O microscópio óptico foi o recurso didático mais utilizado. A metodologia envolveu a análise e a visualização de lâminas histológicas, priorizando a </w:t>
      </w:r>
      <w:r w:rsidR="003C4BB2" w:rsidRPr="003C4BB2">
        <w:rPr>
          <w:rFonts w:ascii="Times New Roman" w:hAnsi="Times New Roman" w:cs="Times New Roman"/>
        </w:rPr>
        <w:lastRenderedPageBreak/>
        <w:t xml:space="preserve">identificação e descrição dos tecidos e órgãos. As atividades de monitoria foram conduzidas de maneira prática, permitindo aos alunos observarem diretamente as estruturas celulares e  teciduais abordadas nas aulas teóricas, com o propósito de aprofundar a compreensão dos conteúdos. O estudo permanece em andamento, com registro contínuo das estratégias adotadas e dos resultados observados ao longo do período. </w:t>
      </w:r>
      <w:r w:rsidRPr="003C4BB2">
        <w:rPr>
          <w:rFonts w:ascii="Times New Roman" w:hAnsi="Times New Roman" w:cs="Times New Roman"/>
          <w:bCs/>
        </w:rPr>
        <w:t xml:space="preserve"> </w:t>
      </w:r>
    </w:p>
    <w:p w:rsidR="003C4BB2" w:rsidRDefault="005613D5" w:rsidP="003C4BB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Resultados e Discussão: </w:t>
      </w:r>
      <w:r w:rsidR="003C4BB2" w:rsidRPr="003C4BB2">
        <w:rPr>
          <w:rFonts w:ascii="Times New Roman" w:hAnsi="Times New Roman" w:cs="Times New Roman"/>
          <w:bCs/>
        </w:rPr>
        <w:t>A vivência com o microscópio permitiu à monitora desenvolver maior familiaridade técnica com o equipamento, desde o ajuste da iluminação até o manuseio das objetivas e a organização das lâminas. A experiência favoreceu o amadurecimento acadêmico, uma vez que exigiu disciplina, paciência e rigor metodológico na observação e descrição das estruturas. A prática contínua contribuiu também para fortalecer a segurança na utilização do microscópio e ampliar o olhar crítico frente às lâminas, estimulando reflexões sobre a importância da observação direta na área das Ciências da Saúde. Além disso, o exercício de planejar e conduzir atividades práticas fortaleceu a autonomia da monitora, que pôde experimentar novas formas de articular teoria e prática em sua própria formação.</w:t>
      </w:r>
      <w:r w:rsidR="003C4BB2">
        <w:rPr>
          <w:rFonts w:ascii="Times New Roman" w:hAnsi="Times New Roman" w:cs="Times New Roman"/>
          <w:bCs/>
        </w:rPr>
        <w:t xml:space="preserve"> </w:t>
      </w:r>
    </w:p>
    <w:p w:rsidR="003C4BB2" w:rsidRDefault="005613D5" w:rsidP="003C4BB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Considerações finais:</w:t>
      </w:r>
      <w:r>
        <w:rPr>
          <w:rFonts w:ascii="Times New Roman" w:hAnsi="Times New Roman" w:cs="Times New Roman"/>
          <w:bCs/>
        </w:rPr>
        <w:t xml:space="preserve"> </w:t>
      </w:r>
      <w:r w:rsidR="003C4BB2" w:rsidRPr="003C4BB2">
        <w:rPr>
          <w:rFonts w:ascii="Times New Roman" w:hAnsi="Times New Roman" w:cs="Times New Roman"/>
          <w:bCs/>
        </w:rPr>
        <w:t>A experiência da monitoria em Ciências Morfológicas, com foco no uso do microscópio, revelou-se significativa para a formação acadêmica da autora. O contato contínuo com o equipamento permitiu aprimorar habilidades técnicas e ampliar competências pedagógicas, reforçando o papel da monitoria como espaço de crescimento científico e pessoal. Assim, a vivência consolidou-se como oportunidade ímpar de aprendizado, preparando a monitora para enfrentar desafios futuros em sua trajetória acadêmica e profissional.</w:t>
      </w:r>
    </w:p>
    <w:p w:rsidR="003C4BB2" w:rsidRDefault="003C4BB2" w:rsidP="003C4BB2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5613D5" w:rsidRDefault="005613D5" w:rsidP="003C4BB2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Palavras-chave:</w:t>
      </w:r>
      <w:r>
        <w:rPr>
          <w:rFonts w:ascii="Times New Roman" w:hAnsi="Times New Roman" w:cs="Times New Roman"/>
          <w:bCs/>
        </w:rPr>
        <w:t xml:space="preserve"> </w:t>
      </w:r>
      <w:r w:rsidR="003C4BB2" w:rsidRPr="003C4BB2">
        <w:rPr>
          <w:rFonts w:ascii="Times New Roman" w:hAnsi="Times New Roman" w:cs="Times New Roman"/>
        </w:rPr>
        <w:t>Histologia; Monitoria; Microscópio.</w:t>
      </w:r>
    </w:p>
    <w:p w:rsidR="001711EF" w:rsidRDefault="001711EF" w:rsidP="005613D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5613D5" w:rsidRDefault="005613D5" w:rsidP="005613D5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Referências: </w:t>
      </w:r>
    </w:p>
    <w:p w:rsidR="003C4BB2" w:rsidRDefault="003C4BB2" w:rsidP="005613D5">
      <w:pPr>
        <w:spacing w:line="360" w:lineRule="auto"/>
        <w:jc w:val="both"/>
        <w:rPr>
          <w:rFonts w:ascii="Times New Roman" w:hAnsi="Times New Roman" w:cs="Times New Roman"/>
        </w:rPr>
      </w:pPr>
      <w:r w:rsidRPr="003C4BB2">
        <w:rPr>
          <w:rFonts w:ascii="Times New Roman" w:hAnsi="Times New Roman" w:cs="Times New Roman"/>
        </w:rPr>
        <w:t>FRANCO, G. P. Uma experiência acadêmica como aluno-monitor da disciplina de Morfologia: Histologia e Anatomia. Revista Gaúcha de Enfermagem (UFRGS. Impresso), Porto Alegre/RS, v. 19, n. 1, p. 66-68, 1998.</w:t>
      </w:r>
    </w:p>
    <w:p w:rsidR="003C4BB2" w:rsidRDefault="003C4BB2" w:rsidP="005613D5">
      <w:pPr>
        <w:spacing w:line="360" w:lineRule="auto"/>
        <w:jc w:val="both"/>
        <w:rPr>
          <w:rFonts w:ascii="Times New Roman" w:hAnsi="Times New Roman" w:cs="Times New Roman"/>
        </w:rPr>
      </w:pPr>
    </w:p>
    <w:p w:rsidR="003C4BB2" w:rsidRDefault="003C4BB2" w:rsidP="005613D5">
      <w:pPr>
        <w:spacing w:line="360" w:lineRule="auto"/>
        <w:jc w:val="both"/>
        <w:rPr>
          <w:rFonts w:ascii="Times New Roman" w:hAnsi="Times New Roman" w:cs="Times New Roman"/>
        </w:rPr>
      </w:pPr>
      <w:r w:rsidRPr="003C4BB2">
        <w:rPr>
          <w:rFonts w:ascii="Times New Roman" w:hAnsi="Times New Roman" w:cs="Times New Roman"/>
        </w:rPr>
        <w:t>GONÇALVES, M. C. da S.; JESUS, B. G. de. (Org.). Educação Contemporânea – Volume 23. Editora Poisson, 2021.</w:t>
      </w:r>
    </w:p>
    <w:p w:rsidR="003C4BB2" w:rsidRDefault="003C4BB2" w:rsidP="005613D5">
      <w:pPr>
        <w:spacing w:line="360" w:lineRule="auto"/>
        <w:jc w:val="both"/>
        <w:rPr>
          <w:rFonts w:ascii="Times New Roman" w:hAnsi="Times New Roman" w:cs="Times New Roman"/>
        </w:rPr>
      </w:pPr>
    </w:p>
    <w:p w:rsidR="003C4BB2" w:rsidRDefault="003C4BB2" w:rsidP="005613D5">
      <w:pPr>
        <w:spacing w:line="360" w:lineRule="auto"/>
        <w:jc w:val="both"/>
        <w:rPr>
          <w:rFonts w:ascii="Times New Roman" w:hAnsi="Times New Roman" w:cs="Times New Roman"/>
        </w:rPr>
      </w:pPr>
      <w:r w:rsidRPr="003C4BB2">
        <w:rPr>
          <w:rFonts w:ascii="Times New Roman" w:hAnsi="Times New Roman" w:cs="Times New Roman"/>
        </w:rPr>
        <w:lastRenderedPageBreak/>
        <w:t>LITERACIA CIENTÍFICA EDITORA &amp; CURSOS; SILVA, M. P. B.; MACHADO, B. A. da S. II Congresso Nacional Multiprofissional em Saúde Coletiva (IICONMUSCO): capítulos de e-book. Literacia Científica Editora &amp; Cursos, 2023.</w:t>
      </w:r>
    </w:p>
    <w:p w:rsidR="003C4BB2" w:rsidRDefault="003C4BB2" w:rsidP="005613D5">
      <w:pPr>
        <w:spacing w:line="360" w:lineRule="auto"/>
        <w:jc w:val="both"/>
        <w:rPr>
          <w:rFonts w:ascii="Times New Roman" w:hAnsi="Times New Roman" w:cs="Times New Roman"/>
        </w:rPr>
      </w:pPr>
    </w:p>
    <w:p w:rsidR="003C4BB2" w:rsidRPr="003C4BB2" w:rsidRDefault="003C4BB2" w:rsidP="005613D5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3C4BB2">
        <w:rPr>
          <w:rFonts w:ascii="Times New Roman" w:hAnsi="Times New Roman" w:cs="Times New Roman"/>
        </w:rPr>
        <w:t>SILVA, R.; BELO, M. Experiências e reflexões de monitoria: contribuição ao ensinoaprendizagem. Scientia Plena, v. 8, n. 7, 2012.</w:t>
      </w:r>
    </w:p>
    <w:p w:rsidR="005E7D8E" w:rsidRDefault="005E7D8E"/>
    <w:sectPr w:rsidR="005E7D8E" w:rsidSect="00E370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0C" w:rsidRDefault="004E600C">
      <w:r>
        <w:separator/>
      </w:r>
    </w:p>
  </w:endnote>
  <w:endnote w:type="continuationSeparator" w:id="1">
    <w:p w:rsidR="004E600C" w:rsidRDefault="004E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528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C3C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0C" w:rsidRDefault="004E600C">
      <w:r>
        <w:separator/>
      </w:r>
    </w:p>
  </w:footnote>
  <w:footnote w:type="continuationSeparator" w:id="1">
    <w:p w:rsidR="004E600C" w:rsidRDefault="004E6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0D8" w:rsidRPr="00B7618E" w:rsidRDefault="009E00FB" w:rsidP="00E370D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598" cy="720000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8-07 at 14.01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CONEXÃO UNIFAMETRO 202</w:t>
    </w:r>
    <w:r w:rsidR="00872124">
      <w:rPr>
        <w:rFonts w:ascii="Arial" w:hAnsi="Arial" w:cs="Arial"/>
        <w:b/>
        <w:bCs/>
        <w:kern w:val="24"/>
        <w:sz w:val="20"/>
        <w:szCs w:val="40"/>
      </w:rPr>
      <w:t>5</w:t>
    </w:r>
  </w:p>
  <w:p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X</w:t>
    </w:r>
    <w:r w:rsidR="009E00FB">
      <w:rPr>
        <w:rFonts w:ascii="Arial" w:hAnsi="Arial" w:cs="Arial"/>
        <w:b/>
        <w:bCs/>
        <w:kern w:val="24"/>
        <w:sz w:val="20"/>
        <w:szCs w:val="40"/>
      </w:rPr>
      <w:t>X</w:t>
    </w:r>
    <w:r w:rsidR="00872124">
      <w:rPr>
        <w:rFonts w:ascii="Arial" w:hAnsi="Arial" w:cs="Arial"/>
        <w:b/>
        <w:bCs/>
        <w:kern w:val="24"/>
        <w:sz w:val="20"/>
        <w:szCs w:val="40"/>
      </w:rPr>
      <w:t>I</w:t>
    </w:r>
    <w:r w:rsidRPr="00B7618E">
      <w:rPr>
        <w:rFonts w:ascii="Arial" w:hAnsi="Arial" w:cs="Arial"/>
        <w:b/>
        <w:bCs/>
        <w:kern w:val="24"/>
        <w:sz w:val="20"/>
        <w:szCs w:val="40"/>
      </w:rPr>
      <w:t xml:space="preserve"> SEMANA ACADÊMICA</w:t>
    </w:r>
  </w:p>
  <w:p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</w:pPr>
    <w:r w:rsidRPr="00B7618E">
      <w:rPr>
        <w:rFonts w:ascii="Arial" w:hAnsi="Arial" w:cs="Arial"/>
        <w:b/>
        <w:bCs/>
        <w:kern w:val="24"/>
        <w:sz w:val="20"/>
        <w:szCs w:val="40"/>
      </w:rPr>
      <w:t>ISSN: 2357-8645</w:t>
    </w:r>
  </w:p>
  <w:p w:rsidR="00E370D8" w:rsidRPr="00B7618E" w:rsidRDefault="00E370D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C3C" w:rsidRDefault="005F28FC" w:rsidP="00687DD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:rsidR="005F1C3C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F28FC"/>
    <w:rsid w:val="0006025D"/>
    <w:rsid w:val="00103813"/>
    <w:rsid w:val="00164E3B"/>
    <w:rsid w:val="001711EF"/>
    <w:rsid w:val="00182704"/>
    <w:rsid w:val="001857B5"/>
    <w:rsid w:val="00186AD6"/>
    <w:rsid w:val="001C5CF1"/>
    <w:rsid w:val="002C73D2"/>
    <w:rsid w:val="00326801"/>
    <w:rsid w:val="0035039F"/>
    <w:rsid w:val="003C4BB2"/>
    <w:rsid w:val="004366B2"/>
    <w:rsid w:val="00473EAA"/>
    <w:rsid w:val="004901C7"/>
    <w:rsid w:val="004A7DC4"/>
    <w:rsid w:val="004B77FA"/>
    <w:rsid w:val="004E015D"/>
    <w:rsid w:val="004E600C"/>
    <w:rsid w:val="004F0113"/>
    <w:rsid w:val="00504745"/>
    <w:rsid w:val="005518CB"/>
    <w:rsid w:val="005613D5"/>
    <w:rsid w:val="005C0C38"/>
    <w:rsid w:val="005E0099"/>
    <w:rsid w:val="005E7D8E"/>
    <w:rsid w:val="005F1C3C"/>
    <w:rsid w:val="005F28FC"/>
    <w:rsid w:val="006204D7"/>
    <w:rsid w:val="006223F8"/>
    <w:rsid w:val="00642AB1"/>
    <w:rsid w:val="00735513"/>
    <w:rsid w:val="007A279B"/>
    <w:rsid w:val="007A4126"/>
    <w:rsid w:val="007D7FC5"/>
    <w:rsid w:val="007E4969"/>
    <w:rsid w:val="00866A7F"/>
    <w:rsid w:val="00872124"/>
    <w:rsid w:val="008C7E2F"/>
    <w:rsid w:val="009D20C6"/>
    <w:rsid w:val="009E00FB"/>
    <w:rsid w:val="00A12282"/>
    <w:rsid w:val="00A163C4"/>
    <w:rsid w:val="00A70859"/>
    <w:rsid w:val="00B44349"/>
    <w:rsid w:val="00B64AA6"/>
    <w:rsid w:val="00B7618E"/>
    <w:rsid w:val="00B82B26"/>
    <w:rsid w:val="00BA226B"/>
    <w:rsid w:val="00BB4E49"/>
    <w:rsid w:val="00BC1C81"/>
    <w:rsid w:val="00C4405B"/>
    <w:rsid w:val="00C75FAC"/>
    <w:rsid w:val="00CE4222"/>
    <w:rsid w:val="00D07AF6"/>
    <w:rsid w:val="00D7048E"/>
    <w:rsid w:val="00DB7613"/>
    <w:rsid w:val="00E370D8"/>
    <w:rsid w:val="00EE07DE"/>
    <w:rsid w:val="00EE3A55"/>
    <w:rsid w:val="00F239D5"/>
    <w:rsid w:val="00F867ED"/>
    <w:rsid w:val="00FA5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4BB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BB2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Ttulo">
    <w:name w:val="Title"/>
    <w:basedOn w:val="Normal"/>
    <w:link w:val="TtuloChar"/>
    <w:uiPriority w:val="1"/>
    <w:qFormat/>
    <w:rsid w:val="003C4BB2"/>
    <w:pPr>
      <w:suppressAutoHyphens w:val="0"/>
      <w:autoSpaceDE w:val="0"/>
      <w:autoSpaceDN w:val="0"/>
      <w:ind w:left="98" w:right="229" w:firstLine="26"/>
    </w:pPr>
    <w:rPr>
      <w:rFonts w:ascii="Times New Roman" w:eastAsia="Times New Roman" w:hAnsi="Times New Roman" w:cs="Times New Roman"/>
      <w:b/>
      <w:bCs/>
      <w:kern w:val="0"/>
      <w:sz w:val="28"/>
      <w:szCs w:val="28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3C4BB2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nogueira@professor.unifametro.edu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ovanna.silva01@aluno.unifametro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9F9114AB174BCE908DA59CCCAC0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D07EC-C4CF-4969-82A1-88745E533128}"/>
      </w:docPartPr>
      <w:docPartBody>
        <w:p w:rsidR="003E547C" w:rsidRDefault="009E25CF" w:rsidP="009E25CF">
          <w:pPr>
            <w:pStyle w:val="E29F9114AB174BCE908DA59CCCAC06C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2C3A343D0E44B66AB651FC5E7FE9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BE265-CE5A-41E7-AE4B-B7031D8AF43B}"/>
      </w:docPartPr>
      <w:docPartBody>
        <w:p w:rsidR="003E547C" w:rsidRDefault="009E25CF" w:rsidP="009E25CF">
          <w:pPr>
            <w:pStyle w:val="12C3A343D0E44B66AB651FC5E7FE9832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3AF6"/>
    <w:rsid w:val="000A6FC9"/>
    <w:rsid w:val="00164E3B"/>
    <w:rsid w:val="00232C83"/>
    <w:rsid w:val="00252CB7"/>
    <w:rsid w:val="002A1A73"/>
    <w:rsid w:val="002A3AF6"/>
    <w:rsid w:val="00335A88"/>
    <w:rsid w:val="003E547C"/>
    <w:rsid w:val="00424030"/>
    <w:rsid w:val="00475335"/>
    <w:rsid w:val="005C2AF5"/>
    <w:rsid w:val="00693F67"/>
    <w:rsid w:val="007F5B3A"/>
    <w:rsid w:val="00942F21"/>
    <w:rsid w:val="009875D5"/>
    <w:rsid w:val="009A1468"/>
    <w:rsid w:val="009E25CF"/>
    <w:rsid w:val="00A25FE9"/>
    <w:rsid w:val="00AD3F91"/>
    <w:rsid w:val="00BF6CED"/>
    <w:rsid w:val="00C45ED4"/>
    <w:rsid w:val="00CE4222"/>
    <w:rsid w:val="00E4155B"/>
    <w:rsid w:val="00E90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C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6FC9"/>
    <w:rPr>
      <w:color w:val="808080"/>
    </w:rPr>
  </w:style>
  <w:style w:type="paragraph" w:customStyle="1" w:styleId="E29F9114AB174BCE908DA59CCCAC06C9">
    <w:name w:val="E29F9114AB174BCE908DA59CCCAC06C9"/>
    <w:rsid w:val="009E25CF"/>
  </w:style>
  <w:style w:type="paragraph" w:customStyle="1" w:styleId="12C3A343D0E44B66AB651FC5E7FE9832">
    <w:name w:val="12C3A343D0E44B66AB651FC5E7FE9832"/>
    <w:rsid w:val="009E25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4FA-EDB4-412A-8A72-D0CF3EAD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Ciléia Henriques</dc:creator>
  <cp:lastModifiedBy>gyova</cp:lastModifiedBy>
  <cp:revision>2</cp:revision>
  <dcterms:created xsi:type="dcterms:W3CDTF">2025-09-23T20:57:00Z</dcterms:created>
  <dcterms:modified xsi:type="dcterms:W3CDTF">2025-09-23T20:57:00Z</dcterms:modified>
</cp:coreProperties>
</file>