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ARÉA TEMÁTICA: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Ensino de Zoologia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SUBÁREA TEMÁTICA: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shd w:fill="f9f9f9" w:val="clear"/>
          <w:rtl w:val="0"/>
        </w:rPr>
        <w:t xml:space="preserve">O USO DE </w:t>
      </w:r>
      <w:r w:rsidDel="00000000" w:rsidR="00000000" w:rsidRPr="00000000">
        <w:rPr>
          <w:b w:val="1"/>
          <w:sz w:val="20"/>
          <w:szCs w:val="20"/>
          <w:shd w:fill="f9f9f9" w:val="clear"/>
          <w:rtl w:val="0"/>
        </w:rPr>
        <w:t xml:space="preserve">SEQUÊNCIA DIDÁTICA INTERATIVA SOBRE A IMPORTÂNCIA DOS  ANELÍDEOS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Rebeca Milena de Oliveiral¹, Leyla Patricia Alves da SIlval²  Vania Vieira de Santana³, Betânia Cristina  Guilherme⁴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¹ </w:t>
      </w:r>
      <w:r w:rsidDel="00000000" w:rsidR="00000000" w:rsidRPr="00000000">
        <w:rPr>
          <w:sz w:val="20"/>
          <w:szCs w:val="20"/>
          <w:rtl w:val="0"/>
        </w:rPr>
        <w:t xml:space="preserve">Universidade</w:t>
      </w:r>
      <w:r w:rsidDel="00000000" w:rsidR="00000000" w:rsidRPr="00000000">
        <w:rPr>
          <w:sz w:val="20"/>
          <w:szCs w:val="20"/>
          <w:rtl w:val="0"/>
        </w:rPr>
        <w:t xml:space="preserve"> Federal Rural de Pernambuco (UFRPE), Campus Recife. E-mail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beka140556@gmail.com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/ </w:t>
      </w:r>
      <w:r w:rsidDel="00000000" w:rsidR="00000000" w:rsidRPr="00000000">
        <w:rPr>
          <w:sz w:val="20"/>
          <w:szCs w:val="20"/>
          <w:rtl w:val="0"/>
        </w:rPr>
        <w:t xml:space="preserve">²</w:t>
      </w:r>
      <w:r w:rsidDel="00000000" w:rsidR="00000000" w:rsidRPr="00000000">
        <w:rPr>
          <w:sz w:val="20"/>
          <w:szCs w:val="20"/>
          <w:rtl w:val="0"/>
        </w:rPr>
        <w:t xml:space="preserve">Universidade</w:t>
      </w:r>
      <w:r w:rsidDel="00000000" w:rsidR="00000000" w:rsidRPr="00000000">
        <w:rPr>
          <w:sz w:val="20"/>
          <w:szCs w:val="20"/>
          <w:rtl w:val="0"/>
        </w:rPr>
        <w:t xml:space="preserve"> Federal Rural de Pernambuco (UFRPE), Campus Recife</w:t>
      </w:r>
      <w:r w:rsidDel="00000000" w:rsidR="00000000" w:rsidRPr="00000000">
        <w:rPr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E-mail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leylapatricia8679@gmail.com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/ ³ Graduada em Licenciatura em ciências biológicas, dept de biologia/ UFRPE/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vieirarocha07@hotmail.com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/ ;⁴Doutora em Ciências Biológicas, Departamento de biologia/UFRPE/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betania.cguilherme2@ufrpe.br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</w:r>
    </w:p>
    <w:p w:rsidR="00000000" w:rsidDel="00000000" w:rsidP="00000000" w:rsidRDefault="00000000" w:rsidRPr="00000000" w14:paraId="0000000D">
      <w:pPr>
        <w:spacing w:after="0" w:line="240" w:lineRule="auto"/>
        <w:ind w:firstLine="566.929133858267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sequência didática interativa (SDI) é </w:t>
      </w:r>
      <w:r w:rsidDel="00000000" w:rsidR="00000000" w:rsidRPr="00000000">
        <w:rPr>
          <w:sz w:val="20"/>
          <w:szCs w:val="20"/>
          <w:rtl w:val="0"/>
        </w:rPr>
        <w:t xml:space="preserve">um “processo</w:t>
      </w:r>
      <w:r w:rsidDel="00000000" w:rsidR="00000000" w:rsidRPr="00000000">
        <w:rPr>
          <w:sz w:val="20"/>
          <w:szCs w:val="20"/>
          <w:rtl w:val="0"/>
        </w:rPr>
        <w:t xml:space="preserve"> interativo no ensino-aprendizagem para facilitar a integração entre docente e educandos entre si, visando à construção e sistematização de um novo conhecimento</w:t>
      </w:r>
      <w:r w:rsidDel="00000000" w:rsidR="00000000" w:rsidRPr="00000000">
        <w:rPr>
          <w:sz w:val="20"/>
          <w:szCs w:val="20"/>
          <w:rtl w:val="0"/>
        </w:rPr>
        <w:t xml:space="preserve">”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sz w:val="20"/>
          <w:szCs w:val="20"/>
          <w:rtl w:val="0"/>
        </w:rPr>
        <w:t xml:space="preserve">OLIVEIRA, 2013, p.238</w:t>
      </w:r>
      <w:r w:rsidDel="00000000" w:rsidR="00000000" w:rsidRPr="00000000">
        <w:rPr>
          <w:sz w:val="20"/>
          <w:szCs w:val="20"/>
          <w:rtl w:val="0"/>
        </w:rPr>
        <w:t xml:space="preserve">). Assim, constitui-se em um conjunto de atividades e intervenções que são planejadas para atingir um ou vários objetivos didáticos acerca de um conteúdo, particularmente no ensino de biologia. Cada vez mais, vem sendo investigado a utilização de práticas pedagógicas em prol de uma aprendizagem mais efetiva, lúdica e significativa buscando despertar curiosidade nos estudantes sobre a construção de novos conceitos. Segundo </w:t>
      </w:r>
      <w:r w:rsidDel="00000000" w:rsidR="00000000" w:rsidRPr="00000000">
        <w:rPr>
          <w:sz w:val="20"/>
          <w:szCs w:val="20"/>
          <w:rtl w:val="0"/>
        </w:rPr>
        <w:t xml:space="preserve">Paulo</w:t>
      </w:r>
      <w:r w:rsidDel="00000000" w:rsidR="00000000" w:rsidRPr="00000000">
        <w:rPr>
          <w:sz w:val="20"/>
          <w:szCs w:val="20"/>
          <w:rtl w:val="0"/>
        </w:rPr>
        <w:t xml:space="preserve"> Freire (1997)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 curiosidade epistemológica é aquela que move a busca para se compreender as origens do conhecimento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Neste sentido, buscando tornar o processo de ensino e aprendizagem com temas de zoologia mais dinâmico e atrativo para facilitar a compreensão de conteúdos mais complexos, realizamos por meio de SDI ações que viabilizem uma articulação sobre os conteúdos de anelídeos. Assim, como problema iremos responder: como a sequência didática interativa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(SDI) no contexto de aulas práticas dentro do ensino de zoologia aplicadas com estudantes da educação básica influenciam no processo de ensino e aprendizagem? Tendo como objetivo investigar através da análise textual discursiva o papel da SDI no processo de ensino e aprendizagem dos estudantes sobre anelídeos.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 E MÉTODOS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SDI foi realizada com os 15 estudantes do primeiro ano “A” do ensino médio, de uma escola pública de Camaragibe/PE parceira do Programa de Iniciação à Docência (PIBID/UFRPE) núcleo Biologia, por meio de três aulas para abordagem do conteúdo sobre a ecologia dos anelídeos (Oligochaeta) e sobre a importância do seu uso para compostagem.</w:t>
      </w:r>
    </w:p>
    <w:p w:rsidR="00000000" w:rsidDel="00000000" w:rsidP="00000000" w:rsidRDefault="00000000" w:rsidRPr="00000000" w14:paraId="00000013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</w:t>
      </w:r>
      <w:r w:rsidDel="00000000" w:rsidR="00000000" w:rsidRPr="00000000">
        <w:rPr>
          <w:sz w:val="20"/>
          <w:szCs w:val="20"/>
          <w:rtl w:val="0"/>
        </w:rPr>
        <w:t xml:space="preserve"> primeira aula foram abordados os conteúdos do grupo dos </w:t>
      </w:r>
      <w:r w:rsidDel="00000000" w:rsidR="00000000" w:rsidRPr="00000000">
        <w:rPr>
          <w:sz w:val="20"/>
          <w:szCs w:val="20"/>
          <w:rtl w:val="0"/>
        </w:rPr>
        <w:t xml:space="preserve">oligoquetas</w:t>
      </w:r>
      <w:r w:rsidDel="00000000" w:rsidR="00000000" w:rsidRPr="00000000">
        <w:rPr>
          <w:sz w:val="20"/>
          <w:szCs w:val="20"/>
          <w:rtl w:val="0"/>
        </w:rPr>
        <w:t xml:space="preserve"> (minhocas), sendo apresentados suas principais características e sua importância ecológica. Em seguida os estudantes foram direcionados ao laboratório de ciências para uma aula prática e puderam  observar as características morfológicas e orientação para manejo dos mesmos (Figura 1B). No segundo momento, foi realizada uma aula expositiva sobre a compostagem e relação ecológica entre oligoquetas e compostagem. Por fim, na terceira aula foi realizado um diálogo coletivo sobre todos os conhecimentos construídos e em sequência a montagem de composteiras utilizando garrafas pet. </w:t>
      </w:r>
    </w:p>
    <w:p w:rsidR="00000000" w:rsidDel="00000000" w:rsidP="00000000" w:rsidRDefault="00000000" w:rsidRPr="00000000" w14:paraId="00000014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a construção das composteiras foram utilizados serapilheira e terra recolhidas nas proximidades da UFRPE, bem como, garrafas pet e lixo orgânico, que foram trazidas pelos estudantes. Destacamos que os exemplares de oligoquetas foram cedidos pela área  de Zoologia do Departamento de Biologia da Universidade Federal Rural de Pernambuco. Após a construção das composteiras, as mesmas foram </w:t>
      </w:r>
      <w:r w:rsidDel="00000000" w:rsidR="00000000" w:rsidRPr="00000000">
        <w:rPr>
          <w:sz w:val="20"/>
          <w:szCs w:val="20"/>
          <w:rtl w:val="0"/>
        </w:rPr>
        <w:t xml:space="preserve">acompanhadas</w:t>
      </w:r>
      <w:r w:rsidDel="00000000" w:rsidR="00000000" w:rsidRPr="00000000">
        <w:rPr>
          <w:sz w:val="20"/>
          <w:szCs w:val="20"/>
          <w:rtl w:val="0"/>
        </w:rPr>
        <w:t xml:space="preserve"> semanalmente pelos estudantes para averiguar o resultado do processo investigativo. Para acompanhar a consolidação da aprendizagem, os estudantes foram divididos em dupla para responderam cinco </w:t>
      </w:r>
      <w:r w:rsidDel="00000000" w:rsidR="00000000" w:rsidRPr="00000000">
        <w:rPr>
          <w:sz w:val="20"/>
          <w:szCs w:val="20"/>
          <w:rtl w:val="0"/>
        </w:rPr>
        <w:t xml:space="preserve">questões</w:t>
      </w:r>
      <w:r w:rsidDel="00000000" w:rsidR="00000000" w:rsidRPr="00000000">
        <w:rPr>
          <w:sz w:val="20"/>
          <w:szCs w:val="20"/>
          <w:rtl w:val="0"/>
        </w:rPr>
        <w:t xml:space="preserve"> sobre cada etapa realizada na SDI, considerando os conteúdos abordados. Destacamos que as pibidianas acompanharam os estudantes no momento em que os mesmos estavam respondendo os questionários, sanando algumas dúvidas e observando o comportamento dos educandos. Destacamos que o projeto consta com a aprovação do Comitê de Ética Humana da UFRPE (nº 4.933.983). A análise textual discursiva foi realizada através do agrupamento das respostas semelhantes.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RESULTADOS E DISCUSSÃO</w:t>
      </w:r>
    </w:p>
    <w:p w:rsidR="00000000" w:rsidDel="00000000" w:rsidP="00000000" w:rsidRDefault="00000000" w:rsidRPr="00000000" w14:paraId="00000017">
      <w:pPr>
        <w:spacing w:line="240" w:lineRule="auto"/>
        <w:ind w:left="0" w:firstLine="566.9291338582677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Durante o processo, os estudantes demonstraram bastante interesse, uma vez que as aulas continham atividades investigativas e práticas, com alto nível de participação, sendo ativos em todas as etapas propostas, como podemos observar nas Figuras 1A e 1B.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Delizoicov; Angotti (2011) descrevem a importância da aula prática para facilitar a aprendizagem de conteúdos mais complexos e que</w:t>
      </w:r>
      <w:r w:rsidDel="00000000" w:rsidR="00000000" w:rsidRPr="00000000">
        <w:rPr>
          <w:sz w:val="20"/>
          <w:szCs w:val="20"/>
          <w:rtl w:val="0"/>
        </w:rPr>
        <w:t xml:space="preserve"> indivíduo desta geração não se satisfaz apenas em receber um conhecimento, ele precisa testar, vivenciar e experimentar (MCGONICAL, 2012)</w:t>
      </w:r>
    </w:p>
    <w:p w:rsidR="00000000" w:rsidDel="00000000" w:rsidP="00000000" w:rsidRDefault="00000000" w:rsidRPr="00000000" w14:paraId="00000019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No total foram avaliadas 7 </w:t>
      </w:r>
      <w:r w:rsidDel="00000000" w:rsidR="00000000" w:rsidRPr="00000000">
        <w:rPr>
          <w:sz w:val="20"/>
          <w:szCs w:val="20"/>
          <w:rtl w:val="0"/>
        </w:rPr>
        <w:t xml:space="preserve">questionários</w:t>
      </w:r>
      <w:r w:rsidDel="00000000" w:rsidR="00000000" w:rsidRPr="00000000">
        <w:rPr>
          <w:sz w:val="20"/>
          <w:szCs w:val="20"/>
          <w:rtl w:val="0"/>
        </w:rPr>
        <w:t xml:space="preserve">, registramos o aproveitamento de 100% de </w:t>
      </w:r>
      <w:r w:rsidDel="00000000" w:rsidR="00000000" w:rsidRPr="00000000">
        <w:rPr>
          <w:sz w:val="20"/>
          <w:szCs w:val="20"/>
          <w:rtl w:val="0"/>
        </w:rPr>
        <w:t xml:space="preserve">todas as respostas </w:t>
      </w:r>
      <w:r w:rsidDel="00000000" w:rsidR="00000000" w:rsidRPr="00000000">
        <w:rPr>
          <w:sz w:val="20"/>
          <w:szCs w:val="20"/>
          <w:rtl w:val="0"/>
        </w:rPr>
        <w:t xml:space="preserve">coerentes e agrupadas através da análise textual discursiva em dois grupos. Registramos a criação do  Grupo A e B, de acordo com a semelhança dos argumentos utilizados nas respostas, </w:t>
      </w:r>
    </w:p>
    <w:p w:rsidR="00000000" w:rsidDel="00000000" w:rsidP="00000000" w:rsidRDefault="00000000" w:rsidRPr="00000000" w14:paraId="0000001A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tendo algumas respostas que apareceram tanto no grupo A, quanto no grupo B conforme apresentadas no quadro 01.</w:t>
      </w:r>
    </w:p>
    <w:p w:rsidR="00000000" w:rsidDel="00000000" w:rsidP="00000000" w:rsidRDefault="00000000" w:rsidRPr="00000000" w14:paraId="0000001B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Quadro 01: Descrição da análise textual discursiva</w:t>
      </w:r>
    </w:p>
    <w:p w:rsidR="00000000" w:rsidDel="00000000" w:rsidP="00000000" w:rsidRDefault="00000000" w:rsidRPr="00000000" w14:paraId="0000001D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590"/>
        <w:gridCol w:w="1875"/>
        <w:gridCol w:w="1545"/>
        <w:gridCol w:w="2880"/>
        <w:tblGridChange w:id="0">
          <w:tblGrid>
            <w:gridCol w:w="1860"/>
            <w:gridCol w:w="1590"/>
            <w:gridCol w:w="1875"/>
            <w:gridCol w:w="1545"/>
            <w:gridCol w:w="2880"/>
          </w:tblGrid>
        </w:tblGridChange>
      </w:tblGrid>
      <w:tr>
        <w:trPr>
          <w:cantSplit w:val="0"/>
          <w:trHeight w:val="534.960937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Perguntas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Quantidade de respostas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Grupo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Quantidade de respostas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Grupo B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 a importância das minhocas?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Importância dos anelídeos para as plantas e sobre o chorume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Importância dos anelídeos para o solo fazendo canaletas 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 a importância das composteiras?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Diminuição de lixo orgânico e decomposição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Serve para produzir o chorume que é utilizado como adubo para as plantas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Cite pelo menos duas características das minhocas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 gostam de luz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São hermafroditas </w:t>
            </w:r>
          </w:p>
        </w:tc>
      </w:tr>
      <w:tr>
        <w:trPr>
          <w:cantSplit w:val="0"/>
          <w:trHeight w:val="914.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Como funciona a reprodução das minhocas?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 é cruzada e as duas reproduzem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Só estão prontas para a reprodução após aparecer o clitelo </w:t>
            </w:r>
          </w:p>
        </w:tc>
      </w:tr>
      <w:tr>
        <w:trPr>
          <w:cantSplit w:val="0"/>
          <w:trHeight w:val="724.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 a relação das minhocas com a compostagem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Acelera o processo de decomposição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Produz o húmos </w:t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partir da análise registramos que ao final os estudantes apresentaram uma aprendizagem mais completa, alcançando os objetivos propostos tendo associado os conteúdos teóricos e práticos, uma vez que as respostas das perguntas foram respondidas de forma correta, consolidando a aprendizagem sobre Oligochaeta, principalmente após explorarmos a experimentação na busca de  uma aprendizagem mais significativa. Segundo Belotti; Faria (2010, p. 12) as aulas práticas ajudam no desenvolvimento dos conceitos científicos, permitindo que os estudantes aprendam como abordar de forma clara o seu mundo e como desenvolver soluções para os problemas complexos. </w:t>
      </w:r>
      <w:r w:rsidDel="00000000" w:rsidR="00000000" w:rsidRPr="00000000">
        <w:rPr>
          <w:sz w:val="25"/>
          <w:szCs w:val="25"/>
          <w:highlight w:val="white"/>
          <w:rtl w:val="0"/>
        </w:rPr>
        <w:t xml:space="preserve">“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[...] permitem que os alunos tenham contato direto com os fenômenos, manipulando os materiais e equipamentos e observando organismos” (KRASILCHIK 2008, p. 86). Neste sentido, destacamos </w:t>
      </w:r>
      <w:r w:rsidDel="00000000" w:rsidR="00000000" w:rsidRPr="00000000">
        <w:rPr>
          <w:sz w:val="20"/>
          <w:szCs w:val="20"/>
          <w:rtl w:val="0"/>
        </w:rPr>
        <w:t xml:space="preserve">que a SDS tendo uma etapa de aula prática pôde construir novos conceitos a partir de uma interação e investigação sobre os conteúdos abordados. Tal fato é reafirmado por Freire (1997, p.40) que  “para compreender a teoria é preciso experienciá-la”. </w:t>
      </w:r>
    </w:p>
    <w:p w:rsidR="00000000" w:rsidDel="00000000" w:rsidP="00000000" w:rsidRDefault="00000000" w:rsidRPr="00000000" w14:paraId="00000040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 relação ao experimento, registramos que após um mês a composteira já apresentava uma quantidade de chorume despertando nos estudantes mais responsabilidade pelo material orgânico que foi produzido e reutilizável para a horta da própria escola (Figura 1E) </w:t>
      </w:r>
    </w:p>
    <w:p w:rsidR="00000000" w:rsidDel="00000000" w:rsidP="00000000" w:rsidRDefault="00000000" w:rsidRPr="00000000" w14:paraId="00000041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9575" cy="2514697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9575" cy="25146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Figura 1: (A)</w:t>
      </w:r>
      <w:r w:rsidDel="00000000" w:rsidR="00000000" w:rsidRPr="00000000">
        <w:rPr>
          <w:sz w:val="16"/>
          <w:szCs w:val="16"/>
          <w:rtl w:val="0"/>
        </w:rPr>
        <w:t xml:space="preserve">Primeiro momento da aula com os estudantes sobre o grupo dos anelídeos; </w:t>
      </w:r>
      <w:r w:rsidDel="00000000" w:rsidR="00000000" w:rsidRPr="00000000">
        <w:rPr>
          <w:b w:val="1"/>
          <w:sz w:val="16"/>
          <w:szCs w:val="16"/>
          <w:rtl w:val="0"/>
        </w:rPr>
        <w:t xml:space="preserve">(b): </w:t>
      </w:r>
      <w:r w:rsidDel="00000000" w:rsidR="00000000" w:rsidRPr="00000000">
        <w:rPr>
          <w:sz w:val="16"/>
          <w:szCs w:val="16"/>
          <w:rtl w:val="0"/>
        </w:rPr>
        <w:t xml:space="preserve">Segundo momento da aula sobre anelídeos com os estudantes no laboratório de ciências para manejo  dos invertebrados; </w:t>
      </w:r>
      <w:r w:rsidDel="00000000" w:rsidR="00000000" w:rsidRPr="00000000">
        <w:rPr>
          <w:b w:val="1"/>
          <w:sz w:val="16"/>
          <w:szCs w:val="16"/>
          <w:rtl w:val="0"/>
        </w:rPr>
        <w:t xml:space="preserve">(c): </w:t>
      </w:r>
      <w:r w:rsidDel="00000000" w:rsidR="00000000" w:rsidRPr="00000000">
        <w:rPr>
          <w:sz w:val="16"/>
          <w:szCs w:val="16"/>
          <w:rtl w:val="0"/>
        </w:rPr>
        <w:t xml:space="preserve">Construção das composteiras com os estudantes; </w:t>
      </w:r>
      <w:r w:rsidDel="00000000" w:rsidR="00000000" w:rsidRPr="00000000">
        <w:rPr>
          <w:b w:val="1"/>
          <w:sz w:val="16"/>
          <w:szCs w:val="16"/>
          <w:rtl w:val="0"/>
        </w:rPr>
        <w:t xml:space="preserve">(d): </w:t>
      </w:r>
      <w:r w:rsidDel="00000000" w:rsidR="00000000" w:rsidRPr="00000000">
        <w:rPr>
          <w:sz w:val="16"/>
          <w:szCs w:val="16"/>
          <w:rtl w:val="0"/>
        </w:rPr>
        <w:t xml:space="preserve">Atividade avaliativa sobre os anelídeos e sobre a compostagem após a sequência didática; </w:t>
      </w:r>
      <w:r w:rsidDel="00000000" w:rsidR="00000000" w:rsidRPr="00000000">
        <w:rPr>
          <w:b w:val="1"/>
          <w:sz w:val="16"/>
          <w:szCs w:val="16"/>
          <w:rtl w:val="0"/>
        </w:rPr>
        <w:t xml:space="preserve">(e): </w:t>
      </w:r>
      <w:r w:rsidDel="00000000" w:rsidR="00000000" w:rsidRPr="00000000">
        <w:rPr>
          <w:sz w:val="16"/>
          <w:szCs w:val="16"/>
          <w:rtl w:val="0"/>
        </w:rPr>
        <w:t xml:space="preserve">resultado fina</w:t>
      </w:r>
      <w:r w:rsidDel="00000000" w:rsidR="00000000" w:rsidRPr="00000000">
        <w:rPr>
          <w:sz w:val="20"/>
          <w:szCs w:val="20"/>
          <w:rtl w:val="0"/>
        </w:rPr>
        <w:t xml:space="preserve">l</w:t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CONCLUSÕES</w:t>
      </w:r>
    </w:p>
    <w:p w:rsidR="00000000" w:rsidDel="00000000" w:rsidP="00000000" w:rsidRDefault="00000000" w:rsidRPr="00000000" w14:paraId="00000046">
      <w:pPr>
        <w:spacing w:line="240" w:lineRule="auto"/>
        <w:ind w:left="0" w:firstLine="566.929133858267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aulas práticas trouxeram um efeito positivo para compreensão dos estudantes sobre os conteúdos abordados durante a aplicação da SDI e que apesar das limitações de recursos é uma proposição metodológica para facilitar o processo de ensino e aprendizagem nos diferentes conteúdos de zoologia e que podem ser aplicadas com baixo custo usando-se materiais da própria natureza e reaproveitando garrafas. Apesar da aplicação de uma SDI com três aulas no decorrer de cada etapa, registramos o envolvimento dos estudantes para (re)construção de novos conceitos, bem como, o entendimento da função ecológica das minhocas, seu papel para a transformação de resíduos orgânicos em húmus. Assim, deixamos a ideia para trabalhos futuros aguçar a experiência da conexão teoria e prática, ajudando os estudantes a construírem uma consciência cognitiva da relação homem-natureza, despertando um interesse para preservação dos anelídeos. 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REFERÊNCIAS 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BELOTTI, S. H. A.; FARIA, M. A. Relação professor-aluno. Saberes da Educação, v.1 ,n. 1, p. 01-12, 2010.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DELIZOICOV, D; ANGOTTI, J. A. P. Metodologia do Ensino de Ciências. São Paulo: Cortez, 2011.</w:t>
      </w:r>
    </w:p>
    <w:p w:rsidR="00000000" w:rsidDel="00000000" w:rsidP="00000000" w:rsidRDefault="00000000" w:rsidRPr="00000000" w14:paraId="0000004C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FREIRE, P.Pedagogia da Autonomia.P.1-92.Rio de Janeiro: Paz e Terra, 1997.</w:t>
      </w:r>
    </w:p>
    <w:p w:rsidR="00000000" w:rsidDel="00000000" w:rsidP="00000000" w:rsidRDefault="00000000" w:rsidRPr="00000000" w14:paraId="0000004D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KRASILCHIK, M. Práticas no ensino de Biologia. São Paulo: Edusp, 2008</w:t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McGONICAL, J. A realidade em jogo - porque os games nos tornam melhores e como eles podem mudar o mundo. Trad. Eduardo Rieche. Rio de Janeiro: Best Seller, 2012</w:t>
      </w:r>
    </w:p>
    <w:p w:rsidR="00000000" w:rsidDel="00000000" w:rsidP="00000000" w:rsidRDefault="00000000" w:rsidRPr="00000000" w14:paraId="0000004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OLIVEIRA, M. M. Sequência didática interativa no processo de formação de professores. Petrópolis,</w:t>
      </w:r>
    </w:p>
    <w:p w:rsidR="00000000" w:rsidDel="00000000" w:rsidP="00000000" w:rsidRDefault="00000000" w:rsidRPr="00000000" w14:paraId="0000005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RJ: Vozes,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color w:val="00ff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276" w:lineRule="auto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25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tabs>
        <w:tab w:val="center" w:leader="none" w:pos="4252"/>
        <w:tab w:val="right" w:leader="none" w:pos="8504"/>
      </w:tabs>
      <w:spacing w:line="240" w:lineRule="auto"/>
      <w:rPr>
        <w:rFonts w:ascii="Roboto" w:cs="Roboto" w:eastAsia="Roboto" w:hAnsi="Roboto"/>
        <w:color w:val="444746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tabs>
        <w:tab w:val="center" w:leader="none" w:pos="4252"/>
        <w:tab w:val="right" w:leader="none" w:pos="8504"/>
      </w:tabs>
      <w:spacing w:line="360" w:lineRule="auto"/>
      <w:ind w:firstLine="566.9291338582677"/>
      <w:jc w:val="both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tabs>
        <w:tab w:val="center" w:leader="none" w:pos="4252"/>
        <w:tab w:val="right" w:leader="none" w:pos="8504"/>
      </w:tabs>
      <w:spacing w:before="708" w:line="240" w:lineRule="auto"/>
      <w:jc w:val="both"/>
      <w:rPr/>
    </w:pPr>
    <w:r w:rsidDel="00000000" w:rsidR="00000000" w:rsidRPr="00000000">
      <w:rPr>
        <w:rFonts w:ascii="Calibri" w:cs="Calibri" w:eastAsia="Calibri" w:hAnsi="Calibri"/>
        <w:color w:val="ffffff"/>
      </w:rPr>
      <w:drawing>
        <wp:inline distB="0" distT="0" distL="114300" distR="114300">
          <wp:extent cx="1776095" cy="798195"/>
          <wp:effectExtent b="0" l="0" r="0" t="0"/>
          <wp:docPr descr="Logo_CORR 1" id="6" name="image1.png"/>
          <a:graphic>
            <a:graphicData uri="http://schemas.openxmlformats.org/drawingml/2006/picture">
              <pic:pic>
                <pic:nvPicPr>
                  <pic:cNvPr descr="Logo_CORR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ffffff"/>
        <w:rtl w:val="0"/>
      </w:rPr>
      <w:t xml:space="preserve">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mailto:betania.cguilherme2@ufrpe.br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eirarocha07@hot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eka140556@gmail.com" TargetMode="External"/><Relationship Id="rId8" Type="http://schemas.openxmlformats.org/officeDocument/2006/relationships/hyperlink" Target="mailto:leylapatricia8679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7/kzq5D9YeRFh6/aN6xIQr58Ag==">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2023-04-12T17:44:00Z</dcterms:created>
  <dc:creator>jesse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