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8819" w14:textId="05D73413" w:rsidR="00D12D5A" w:rsidRPr="007356F6" w:rsidRDefault="00D12D5A" w:rsidP="007356F6">
      <w:pPr>
        <w:spacing w:after="160" w:line="360" w:lineRule="auto"/>
        <w:jc w:val="center"/>
        <w:rPr>
          <w:rFonts w:eastAsiaTheme="minorHAnsi"/>
          <w:b/>
          <w:bCs/>
          <w:kern w:val="2"/>
          <w:sz w:val="24"/>
          <w:szCs w:val="24"/>
          <w:lang w:eastAsia="en-US"/>
          <w14:ligatures w14:val="standardContextual"/>
        </w:rPr>
      </w:pPr>
      <w:r w:rsidRPr="007356F6">
        <w:rPr>
          <w:rFonts w:eastAsiaTheme="minorHAnsi"/>
          <w:b/>
          <w:bCs/>
          <w:kern w:val="2"/>
          <w:sz w:val="24"/>
          <w:szCs w:val="24"/>
          <w:lang w:eastAsia="en-US"/>
          <w14:ligatures w14:val="standardContextual"/>
        </w:rPr>
        <w:t>FISIOTERAPIA NEUROFUNCIONAL: A FISIOTERAPIA NO TRATAMENTO DE DISTÚRBIOS DE MARCHA E EQUILÍBRIO EM PACIENTES COM DOENÇA DE PARKINSON</w:t>
      </w:r>
    </w:p>
    <w:p w14:paraId="339532D3" w14:textId="0DBC7C91" w:rsidR="00FB0FAF" w:rsidRDefault="00FB0FAF" w:rsidP="00FB0FAF">
      <w:pPr>
        <w:spacing w:line="360" w:lineRule="auto"/>
        <w:ind w:firstLine="5670"/>
        <w:jc w:val="right"/>
        <w:rPr>
          <w:rFonts w:eastAsiaTheme="minorHAnsi"/>
          <w:kern w:val="2"/>
          <w:sz w:val="24"/>
          <w:szCs w:val="24"/>
          <w:lang w:eastAsia="en-US"/>
          <w14:ligatures w14:val="standardContextual"/>
        </w:rPr>
      </w:pPr>
      <w:r>
        <w:rPr>
          <w:rFonts w:eastAsiaTheme="minorHAnsi"/>
          <w:kern w:val="2"/>
          <w:sz w:val="24"/>
          <w:szCs w:val="24"/>
          <w:lang w:eastAsia="en-US"/>
          <w14:ligatures w14:val="standardContextual"/>
        </w:rPr>
        <w:t>Mirna da Silva Ramos</w:t>
      </w:r>
      <w:r w:rsidRPr="006A5510">
        <w:rPr>
          <w:rFonts w:eastAsiaTheme="minorHAnsi"/>
          <w:kern w:val="2"/>
          <w:sz w:val="24"/>
          <w:szCs w:val="24"/>
          <w:lang w:eastAsia="en-US"/>
          <w14:ligatures w14:val="standardContextual"/>
        </w:rPr>
        <w:t>¹.</w:t>
      </w:r>
    </w:p>
    <w:p w14:paraId="6C9AF58B" w14:textId="11D50107" w:rsidR="006A5510" w:rsidRPr="006A5510" w:rsidRDefault="006A5510" w:rsidP="006A5510">
      <w:pPr>
        <w:spacing w:line="360" w:lineRule="auto"/>
        <w:ind w:firstLine="5670"/>
        <w:jc w:val="right"/>
        <w:rPr>
          <w:rFonts w:eastAsiaTheme="minorHAnsi"/>
          <w:kern w:val="2"/>
          <w:sz w:val="24"/>
          <w:szCs w:val="24"/>
          <w:lang w:eastAsia="en-US"/>
          <w14:ligatures w14:val="standardContextual"/>
        </w:rPr>
      </w:pPr>
      <w:r w:rsidRPr="006A5510">
        <w:rPr>
          <w:rFonts w:eastAsiaTheme="minorHAnsi"/>
          <w:kern w:val="2"/>
          <w:sz w:val="24"/>
          <w:szCs w:val="24"/>
          <w:lang w:eastAsia="en-US"/>
          <w14:ligatures w14:val="standardContextual"/>
        </w:rPr>
        <w:t>Letícia Sales da Silva¹.</w:t>
      </w:r>
    </w:p>
    <w:p w14:paraId="0FCAD8B3" w14:textId="77777777" w:rsidR="006A5510" w:rsidRPr="006A5510" w:rsidRDefault="006A5510" w:rsidP="006A5510">
      <w:pPr>
        <w:spacing w:line="360" w:lineRule="auto"/>
        <w:ind w:firstLine="5670"/>
        <w:jc w:val="right"/>
        <w:rPr>
          <w:rFonts w:eastAsiaTheme="minorHAnsi"/>
          <w:kern w:val="2"/>
          <w:sz w:val="24"/>
          <w:szCs w:val="24"/>
          <w:lang w:eastAsia="en-US"/>
          <w14:ligatures w14:val="standardContextual"/>
        </w:rPr>
      </w:pPr>
      <w:r w:rsidRPr="006A5510">
        <w:rPr>
          <w:rFonts w:eastAsiaTheme="minorHAnsi"/>
          <w:kern w:val="2"/>
          <w:sz w:val="24"/>
          <w:szCs w:val="24"/>
          <w:lang w:eastAsia="en-US"/>
          <w14:ligatures w14:val="standardContextual"/>
        </w:rPr>
        <w:t xml:space="preserve"> Lorrane Maria de Araújo Veloso¹.</w:t>
      </w:r>
    </w:p>
    <w:p w14:paraId="73E80099" w14:textId="77777777" w:rsidR="006A5510" w:rsidRDefault="006A5510" w:rsidP="006A5510">
      <w:pPr>
        <w:spacing w:line="360" w:lineRule="auto"/>
        <w:ind w:firstLine="5670"/>
        <w:jc w:val="right"/>
        <w:rPr>
          <w:rFonts w:eastAsiaTheme="minorHAnsi"/>
          <w:kern w:val="2"/>
          <w:sz w:val="24"/>
          <w:szCs w:val="24"/>
          <w:lang w:eastAsia="en-US"/>
          <w14:ligatures w14:val="standardContextual"/>
        </w:rPr>
      </w:pPr>
      <w:r w:rsidRPr="006A5510">
        <w:rPr>
          <w:rFonts w:eastAsiaTheme="minorHAnsi"/>
          <w:kern w:val="2"/>
          <w:sz w:val="24"/>
          <w:szCs w:val="24"/>
          <w:lang w:eastAsia="en-US"/>
          <w14:ligatures w14:val="standardContextual"/>
        </w:rPr>
        <w:t>Maria Eduarda Costa de Oliveira¹.</w:t>
      </w:r>
    </w:p>
    <w:p w14:paraId="34321359" w14:textId="16C38AD8" w:rsidR="00D334AD" w:rsidRDefault="0000220A" w:rsidP="009D2C31">
      <w:pPr>
        <w:spacing w:line="360" w:lineRule="auto"/>
        <w:ind w:firstLine="5670"/>
        <w:jc w:val="right"/>
        <w:rPr>
          <w:rFonts w:eastAsiaTheme="minorHAnsi"/>
          <w:kern w:val="2"/>
          <w:sz w:val="24"/>
          <w:szCs w:val="24"/>
          <w:lang w:eastAsia="en-US"/>
          <w14:ligatures w14:val="standardContextual"/>
        </w:rPr>
      </w:pPr>
      <w:r>
        <w:rPr>
          <w:rFonts w:eastAsiaTheme="minorHAnsi"/>
          <w:kern w:val="2"/>
          <w:sz w:val="24"/>
          <w:szCs w:val="24"/>
          <w:lang w:eastAsia="en-US"/>
          <w14:ligatures w14:val="standardContextual"/>
        </w:rPr>
        <w:t>Kênia Mendes Rodrigues Castro</w:t>
      </w:r>
      <w:r w:rsidR="00396D97" w:rsidRPr="007356F6">
        <w:rPr>
          <w:rFonts w:eastAsiaTheme="minorHAnsi"/>
          <w:kern w:val="2"/>
          <w:sz w:val="24"/>
          <w:szCs w:val="24"/>
          <w:vertAlign w:val="superscript"/>
          <w:lang w:eastAsia="en-US"/>
          <w14:ligatures w14:val="standardContextual"/>
        </w:rPr>
        <w:t>2</w:t>
      </w:r>
    </w:p>
    <w:p w14:paraId="5E7281A8" w14:textId="77777777" w:rsidR="009D2C31" w:rsidRPr="009D2C31" w:rsidRDefault="009D2C31" w:rsidP="009D2C31">
      <w:pPr>
        <w:spacing w:line="360" w:lineRule="auto"/>
        <w:ind w:firstLine="5670"/>
        <w:jc w:val="right"/>
        <w:rPr>
          <w:rFonts w:eastAsiaTheme="minorHAnsi"/>
          <w:kern w:val="2"/>
          <w:sz w:val="24"/>
          <w:szCs w:val="24"/>
          <w:lang w:eastAsia="en-US"/>
          <w14:ligatures w14:val="standardContextual"/>
        </w:rPr>
      </w:pPr>
    </w:p>
    <w:p w14:paraId="34BC038D" w14:textId="54D791B1" w:rsidR="00A25086" w:rsidRPr="000F389C" w:rsidRDefault="00D02588" w:rsidP="000F389C">
      <w:pPr>
        <w:spacing w:line="360" w:lineRule="auto"/>
        <w:jc w:val="center"/>
        <w:rPr>
          <w:b/>
          <w:bCs/>
          <w:sz w:val="24"/>
          <w:szCs w:val="24"/>
        </w:rPr>
      </w:pPr>
      <w:r w:rsidRPr="000F389C">
        <w:rPr>
          <w:b/>
          <w:bCs/>
          <w:sz w:val="24"/>
          <w:szCs w:val="24"/>
        </w:rPr>
        <w:t>RESUMO</w:t>
      </w:r>
    </w:p>
    <w:p w14:paraId="2BE104F3" w14:textId="7EE475B3" w:rsidR="00A25086" w:rsidRPr="00AD728F" w:rsidRDefault="00A25086" w:rsidP="00AD728F">
      <w:pPr>
        <w:spacing w:before="100" w:beforeAutospacing="1" w:after="100" w:afterAutospacing="1" w:line="360" w:lineRule="auto"/>
        <w:jc w:val="both"/>
        <w:rPr>
          <w:rFonts w:eastAsiaTheme="minorEastAsia"/>
          <w:sz w:val="24"/>
          <w:szCs w:val="24"/>
        </w:rPr>
      </w:pPr>
      <w:r w:rsidRPr="00AD728F">
        <w:rPr>
          <w:rFonts w:eastAsiaTheme="minorEastAsia"/>
          <w:sz w:val="24"/>
          <w:szCs w:val="24"/>
        </w:rPr>
        <w:t xml:space="preserve">Trata-se de uma revisão </w:t>
      </w:r>
      <w:r w:rsidR="004678F7">
        <w:rPr>
          <w:rFonts w:eastAsiaTheme="minorEastAsia"/>
          <w:sz w:val="24"/>
          <w:szCs w:val="24"/>
        </w:rPr>
        <w:t>integrativa</w:t>
      </w:r>
      <w:r w:rsidRPr="00AD728F">
        <w:rPr>
          <w:rFonts w:eastAsiaTheme="minorEastAsia"/>
          <w:sz w:val="24"/>
          <w:szCs w:val="24"/>
        </w:rPr>
        <w:t xml:space="preserve"> da literatura, de abordagem qualitativa, desenvolvida com o objetivo de discutir, a partir de publicações científicas selecionadas sobre a temática, como as intervenções fisioterapêuticas, com ênfase no fortalecimento muscular e na reeducação postural, contribuem para a melhora da marcha e do equilíbrio em pacientes com Doença de Parkinson. A literatura consultada evidencia a importância do treino de marcha e equilíbrio, do fortalecimento muscular, da reeducação postural, dos estímulos visuais e auditivos e de tecnologias assistivas na prevenção de quedas, promoção da autonomia e melhoria da qualidade de vida.</w:t>
      </w:r>
    </w:p>
    <w:p w14:paraId="0CD0142E" w14:textId="7C68330D" w:rsidR="006C5B5C" w:rsidRPr="003A276C" w:rsidRDefault="00A25086" w:rsidP="003A276C">
      <w:pPr>
        <w:spacing w:after="160" w:line="360" w:lineRule="auto"/>
        <w:jc w:val="both"/>
        <w:rPr>
          <w:rFonts w:eastAsiaTheme="minorHAnsi"/>
          <w:kern w:val="2"/>
          <w:sz w:val="24"/>
          <w:szCs w:val="24"/>
          <w:lang w:eastAsia="en-US"/>
          <w14:ligatures w14:val="standardContextual"/>
        </w:rPr>
      </w:pPr>
      <w:r w:rsidRPr="00B54B27">
        <w:rPr>
          <w:rFonts w:eastAsiaTheme="minorHAnsi"/>
          <w:kern w:val="2"/>
          <w:sz w:val="24"/>
          <w:szCs w:val="24"/>
          <w:lang w:eastAsia="en-US"/>
          <w14:ligatures w14:val="standardContextual"/>
        </w:rPr>
        <w:t>Palavras-chave: Queda; Autonomia; Marcha; Equilíbrio</w:t>
      </w:r>
      <w:r w:rsidRPr="00AD728F">
        <w:rPr>
          <w:rFonts w:eastAsiaTheme="minorHAnsi"/>
          <w:kern w:val="2"/>
          <w:sz w:val="24"/>
          <w:szCs w:val="24"/>
          <w:lang w:eastAsia="en-US"/>
          <w14:ligatures w14:val="standardContextual"/>
        </w:rPr>
        <w:t>.</w:t>
      </w:r>
    </w:p>
    <w:p w14:paraId="3B6D8C69" w14:textId="0A6489C7" w:rsidR="005F5AC4" w:rsidRPr="005F5AC4" w:rsidRDefault="00D02588" w:rsidP="005F5AC4">
      <w:pPr>
        <w:spacing w:line="360" w:lineRule="auto"/>
        <w:jc w:val="both"/>
        <w:rPr>
          <w:b/>
          <w:bCs/>
          <w:sz w:val="24"/>
          <w:szCs w:val="24"/>
        </w:rPr>
      </w:pPr>
      <w:bookmarkStart w:id="0" w:name="f5vk82do5j7i" w:colFirst="0" w:colLast="0"/>
      <w:bookmarkEnd w:id="0"/>
      <w:r w:rsidRPr="00E55841">
        <w:rPr>
          <w:b/>
          <w:bCs/>
          <w:sz w:val="24"/>
          <w:szCs w:val="24"/>
        </w:rPr>
        <w:t>1 INTRODUÇÃO</w:t>
      </w:r>
    </w:p>
    <w:p w14:paraId="19B7F1F6" w14:textId="77777777" w:rsidR="004678F7" w:rsidRDefault="004678F7" w:rsidP="004678F7">
      <w:pPr>
        <w:spacing w:line="360" w:lineRule="auto"/>
        <w:ind w:firstLine="708"/>
        <w:jc w:val="both"/>
        <w:rPr>
          <w:rFonts w:eastAsiaTheme="minorHAnsi"/>
          <w:kern w:val="2"/>
          <w:sz w:val="24"/>
          <w:szCs w:val="24"/>
          <w:lang w:eastAsia="en-US"/>
          <w14:ligatures w14:val="standardContextual"/>
        </w:rPr>
      </w:pPr>
      <w:r w:rsidRPr="00AD728F">
        <w:rPr>
          <w:rFonts w:eastAsiaTheme="minorHAnsi"/>
          <w:kern w:val="2"/>
          <w:sz w:val="24"/>
          <w:szCs w:val="24"/>
          <w:lang w:eastAsia="en-US"/>
          <w14:ligatures w14:val="standardContextual"/>
        </w:rPr>
        <w:t>A Doença de Parkinson (DP) é um distúrbio neurológico</w:t>
      </w:r>
      <w:r>
        <w:rPr>
          <w:rFonts w:eastAsiaTheme="minorHAnsi"/>
          <w:kern w:val="2"/>
          <w:sz w:val="24"/>
          <w:szCs w:val="24"/>
          <w:lang w:eastAsia="en-US"/>
          <w14:ligatures w14:val="standardContextual"/>
        </w:rPr>
        <w:t xml:space="preserve"> crônico, c</w:t>
      </w:r>
      <w:r w:rsidRPr="00AD728F">
        <w:rPr>
          <w:rFonts w:eastAsiaTheme="minorHAnsi"/>
          <w:kern w:val="2"/>
          <w:sz w:val="24"/>
          <w:szCs w:val="24"/>
          <w:lang w:eastAsia="en-US"/>
          <w14:ligatures w14:val="standardContextual"/>
        </w:rPr>
        <w:t>aracteriza-se pela degeneração dos neurônios dopaminérgicos localizados na substância negra do mesencéfalo, levando à redução da produção de dopamina, neurotransmissor importante para o controle dos movimentos voluntários (Ferreira et al., 2021). Como consequência desse processo neurodegenerativo, surgem sinais motores clássicos, como tremor de repouso, rigidez muscular, bradicinesia (lentidão dos movimentos) e instabilidade postural, além de alterações significativas na marcha e na coordenação (Costa e Lima, 2023).</w:t>
      </w:r>
    </w:p>
    <w:p w14:paraId="40CA1CB8" w14:textId="77777777" w:rsidR="004678F7" w:rsidRDefault="004678F7" w:rsidP="004678F7">
      <w:pPr>
        <w:spacing w:line="360" w:lineRule="auto"/>
        <w:jc w:val="both"/>
        <w:rPr>
          <w:rFonts w:eastAsiaTheme="minorHAnsi"/>
          <w:kern w:val="2"/>
          <w:sz w:val="24"/>
          <w:szCs w:val="24"/>
          <w:lang w:eastAsia="en-US"/>
          <w14:ligatures w14:val="standardContextual"/>
        </w:rPr>
      </w:pPr>
      <w:r>
        <w:rPr>
          <w:rFonts w:eastAsiaTheme="minorHAnsi"/>
          <w:kern w:val="2"/>
          <w:sz w:val="24"/>
          <w:szCs w:val="24"/>
          <w:lang w:eastAsia="en-US"/>
          <w14:ligatures w14:val="standardContextual"/>
        </w:rPr>
        <w:t>________________________</w:t>
      </w:r>
    </w:p>
    <w:p w14:paraId="24BC9B15" w14:textId="77777777" w:rsidR="004678F7" w:rsidRPr="00B54B27" w:rsidRDefault="004678F7" w:rsidP="004678F7">
      <w:pPr>
        <w:pBdr>
          <w:top w:val="nil"/>
          <w:left w:val="nil"/>
          <w:bottom w:val="nil"/>
          <w:right w:val="nil"/>
          <w:between w:val="nil"/>
        </w:pBdr>
        <w:rPr>
          <w:color w:val="000000"/>
        </w:rPr>
      </w:pPr>
      <w:r w:rsidRPr="00B54B27">
        <w:rPr>
          <w:sz w:val="24"/>
          <w:szCs w:val="24"/>
          <w:vertAlign w:val="superscript"/>
        </w:rPr>
        <w:footnoteRef/>
      </w:r>
      <w:r w:rsidRPr="00B54B27">
        <w:rPr>
          <w:color w:val="000000"/>
        </w:rPr>
        <w:t xml:space="preserve"> ¹ Graduando em Fisioterapia – Centro Universitário Chrisfapi.</w:t>
      </w:r>
    </w:p>
    <w:p w14:paraId="08FFDDC8" w14:textId="4A4D6FCA" w:rsidR="004678F7" w:rsidRPr="005D543F" w:rsidRDefault="004678F7" w:rsidP="005D543F">
      <w:pPr>
        <w:spacing w:line="360" w:lineRule="auto"/>
        <w:jc w:val="both"/>
        <w:rPr>
          <w:sz w:val="24"/>
          <w:szCs w:val="24"/>
        </w:rPr>
      </w:pPr>
      <w:r>
        <w:rPr>
          <w:rStyle w:val="Refdenotaderodap"/>
        </w:rPr>
        <w:footnoteRef/>
      </w:r>
      <w:r>
        <w:t xml:space="preserve">² </w:t>
      </w:r>
      <w:r w:rsidRPr="00B54B27">
        <w:rPr>
          <w:spacing w:val="-2"/>
          <w:szCs w:val="24"/>
        </w:rPr>
        <w:t>Mestra em engenharia biomédica</w:t>
      </w:r>
      <w:r>
        <w:t xml:space="preserve"> </w:t>
      </w:r>
      <w:r w:rsidRPr="00B54B27">
        <w:rPr>
          <w:color w:val="000000"/>
        </w:rPr>
        <w:t xml:space="preserve">– </w:t>
      </w:r>
      <w:r>
        <w:t xml:space="preserve"> Docente do Centro Universitário Chrisfapi</w:t>
      </w:r>
    </w:p>
    <w:p w14:paraId="5AEBF595" w14:textId="77777777" w:rsidR="004678F7" w:rsidRPr="00AD728F" w:rsidRDefault="004678F7" w:rsidP="004678F7">
      <w:pPr>
        <w:spacing w:line="360" w:lineRule="auto"/>
        <w:ind w:firstLine="708"/>
        <w:jc w:val="both"/>
        <w:rPr>
          <w:rFonts w:eastAsiaTheme="minorHAnsi"/>
          <w:kern w:val="2"/>
          <w:sz w:val="24"/>
          <w:szCs w:val="24"/>
          <w:lang w:eastAsia="en-US"/>
          <w14:ligatures w14:val="standardContextual"/>
        </w:rPr>
      </w:pPr>
      <w:r w:rsidRPr="00AD728F">
        <w:rPr>
          <w:rFonts w:eastAsiaTheme="minorHAnsi"/>
          <w:kern w:val="2"/>
          <w:sz w:val="24"/>
          <w:szCs w:val="24"/>
          <w:lang w:eastAsia="en-US"/>
          <w14:ligatures w14:val="standardContextual"/>
        </w:rPr>
        <w:lastRenderedPageBreak/>
        <w:t xml:space="preserve">Além dos sintomas motores, a DP também apresenta uma gama de sintomas não motores, entre eles distúrbios do sono, fadiga, constipação, depressão, ansiedade e declínio cognitivo que frequentemente aparecem antes dos sinais motores e contribuem para a complexidade do quadro clínico (Mendes e Oliveira, 2022). </w:t>
      </w:r>
    </w:p>
    <w:p w14:paraId="29392A40" w14:textId="77777777" w:rsidR="004678F7" w:rsidRPr="00AD728F" w:rsidRDefault="004678F7" w:rsidP="004678F7">
      <w:pPr>
        <w:spacing w:line="360" w:lineRule="auto"/>
        <w:ind w:firstLine="708"/>
        <w:jc w:val="both"/>
        <w:rPr>
          <w:rFonts w:eastAsiaTheme="minorHAnsi"/>
          <w:kern w:val="2"/>
          <w:sz w:val="24"/>
          <w:szCs w:val="24"/>
          <w:lang w:eastAsia="en-US"/>
          <w14:ligatures w14:val="standardContextual"/>
        </w:rPr>
      </w:pPr>
      <w:r w:rsidRPr="00AD728F">
        <w:rPr>
          <w:rFonts w:eastAsiaTheme="minorHAnsi"/>
          <w:kern w:val="2"/>
          <w:sz w:val="24"/>
          <w:szCs w:val="24"/>
          <w:lang w:eastAsia="en-US"/>
          <w14:ligatures w14:val="standardContextual"/>
        </w:rPr>
        <w:t xml:space="preserve">Estima-se que, atualmente, mais de 10 milhões de pessoas no mundo vivam com a Doença de Parkinson, sendo a segunda condição neurodegenerativa mais prevalente, atrás apenas da Doença de Alzheimer (WHO, 2023). O envelhecimento populacional tem impulsionado o aumento da incidência da DP, o que impõe uma demanda crescente por serviços de reabilitação especializados e por políticas públicas de atenção integral a essa população. </w:t>
      </w:r>
    </w:p>
    <w:p w14:paraId="111699EB" w14:textId="77777777" w:rsidR="004678F7" w:rsidRPr="00AD728F" w:rsidRDefault="004678F7" w:rsidP="004678F7">
      <w:pPr>
        <w:spacing w:line="360" w:lineRule="auto"/>
        <w:ind w:firstLine="708"/>
        <w:jc w:val="both"/>
        <w:rPr>
          <w:rFonts w:eastAsiaTheme="minorHAnsi"/>
          <w:kern w:val="2"/>
          <w:sz w:val="24"/>
          <w:szCs w:val="24"/>
          <w:lang w:eastAsia="en-US"/>
          <w14:ligatures w14:val="standardContextual"/>
        </w:rPr>
      </w:pPr>
      <w:r w:rsidRPr="00AD728F">
        <w:rPr>
          <w:rFonts w:eastAsiaTheme="minorHAnsi"/>
          <w:kern w:val="2"/>
          <w:sz w:val="24"/>
          <w:szCs w:val="24"/>
          <w:lang w:eastAsia="en-US"/>
          <w14:ligatures w14:val="standardContextual"/>
        </w:rPr>
        <w:t>A contribuição da fisioterapia, nesse cenário, é particularmente relevante no manejo dos distúrbios motores que comprometem a funcionalidade e a segurança. Programas fisioterapêuticos bem estruturados são capazes de proporcionar ganhos importantes na coordenação, na marcha, no equilíbrio e na força muscular, favorecendo a reintegração social do paciente e a manutenção de sua independência nas atividades da vida diária (Silva et al., 2021).</w:t>
      </w:r>
    </w:p>
    <w:p w14:paraId="2B1B767B" w14:textId="77777777" w:rsidR="004678F7" w:rsidRPr="00AD728F" w:rsidRDefault="004678F7" w:rsidP="004678F7">
      <w:pPr>
        <w:spacing w:line="360" w:lineRule="auto"/>
        <w:ind w:firstLine="708"/>
        <w:jc w:val="both"/>
        <w:rPr>
          <w:rFonts w:eastAsiaTheme="minorHAnsi"/>
          <w:kern w:val="2"/>
          <w:sz w:val="24"/>
          <w:szCs w:val="24"/>
          <w:lang w:eastAsia="en-US"/>
          <w14:ligatures w14:val="standardContextual"/>
        </w:rPr>
      </w:pPr>
      <w:r w:rsidRPr="00AD728F">
        <w:rPr>
          <w:rFonts w:eastAsiaTheme="minorHAnsi"/>
          <w:kern w:val="2"/>
          <w:sz w:val="24"/>
          <w:szCs w:val="24"/>
          <w:lang w:eastAsia="en-US"/>
          <w14:ligatures w14:val="standardContextual"/>
        </w:rPr>
        <w:t>Nesse contexto, a fisioterapia neurológica representa uma intervenção essencial no processo de reabilitação funcional de pessoas com DP. Por meio de estratégias, como o fortalecimento muscular, a reeducação postural, o treino de marcha e equilíbrio, bem como técnicas de estimulação sensório-motora, busca-se diminuir os déficits motores e melhorar as capacidades funcionais que restaram (Barros et al., 2021). Essas intervenções são fundamentais tanto para retardar a progressão das limitações físicas impostas pela doença, como também promover maior segurança, prevenir quedas e ampliar a autonomia dos pacientes.</w:t>
      </w:r>
    </w:p>
    <w:p w14:paraId="579D29AB" w14:textId="77777777" w:rsidR="004678F7" w:rsidRPr="00AD728F" w:rsidRDefault="004678F7" w:rsidP="004678F7">
      <w:pPr>
        <w:spacing w:line="360" w:lineRule="auto"/>
        <w:ind w:firstLine="708"/>
        <w:jc w:val="both"/>
        <w:rPr>
          <w:rFonts w:eastAsiaTheme="minorHAnsi"/>
          <w:kern w:val="2"/>
          <w:sz w:val="24"/>
          <w:szCs w:val="24"/>
          <w:lang w:eastAsia="en-US"/>
          <w14:ligatures w14:val="standardContextual"/>
        </w:rPr>
      </w:pPr>
      <w:r w:rsidRPr="00AD728F">
        <w:rPr>
          <w:rFonts w:eastAsiaTheme="minorHAnsi"/>
          <w:kern w:val="2"/>
          <w:sz w:val="24"/>
          <w:szCs w:val="24"/>
          <w:lang w:eastAsia="en-US"/>
          <w14:ligatures w14:val="standardContextual"/>
        </w:rPr>
        <w:t>De acordo com Silva e Andrade (2022), programas fisioterapêuticos que integram exercícios de equilíbrio, resistência muscular e treino funcional demonstram resultados significativos na prevenção de quedas e na reabilitação motora global dos pacientes.</w:t>
      </w:r>
    </w:p>
    <w:p w14:paraId="43546EEC" w14:textId="77777777" w:rsidR="004678F7" w:rsidRPr="00AD728F" w:rsidRDefault="004678F7" w:rsidP="004678F7">
      <w:pPr>
        <w:spacing w:line="360" w:lineRule="auto"/>
        <w:ind w:firstLine="708"/>
        <w:jc w:val="both"/>
        <w:rPr>
          <w:rFonts w:eastAsiaTheme="minorHAnsi"/>
          <w:kern w:val="2"/>
          <w:sz w:val="24"/>
          <w:szCs w:val="24"/>
          <w:lang w:eastAsia="en-US"/>
          <w14:ligatures w14:val="standardContextual"/>
        </w:rPr>
      </w:pPr>
      <w:r w:rsidRPr="00AD728F">
        <w:rPr>
          <w:rFonts w:eastAsiaTheme="minorHAnsi"/>
          <w:kern w:val="2"/>
          <w:sz w:val="24"/>
          <w:szCs w:val="24"/>
          <w:lang w:eastAsia="en-US"/>
          <w14:ligatures w14:val="standardContextual"/>
        </w:rPr>
        <w:t xml:space="preserve">A atuação fisioterapêutica, portanto, vai além dos limites da recuperação física. Trata-se também de uma ferramenta de promoção da saúde, de prevenção de complicações secundárias e de fortalecimento da autonomia. </w:t>
      </w:r>
      <w:r>
        <w:rPr>
          <w:rFonts w:eastAsiaTheme="minorHAnsi"/>
          <w:kern w:val="2"/>
          <w:sz w:val="24"/>
          <w:szCs w:val="24"/>
          <w:lang w:eastAsia="en-US"/>
          <w14:ligatures w14:val="standardContextual"/>
        </w:rPr>
        <w:t xml:space="preserve">Uma </w:t>
      </w:r>
      <w:r w:rsidRPr="00AD728F">
        <w:rPr>
          <w:rFonts w:eastAsiaTheme="minorHAnsi"/>
          <w:kern w:val="2"/>
          <w:sz w:val="24"/>
          <w:szCs w:val="24"/>
          <w:lang w:eastAsia="en-US"/>
          <w14:ligatures w14:val="standardContextual"/>
        </w:rPr>
        <w:t>abordagem centrada diretamente no paciente contribui para a manutenção da qualidade de vida e da dignidade na convivência com a condição crônica (Nascimento et al., 2021).</w:t>
      </w:r>
    </w:p>
    <w:p w14:paraId="64E54E8F" w14:textId="77777777" w:rsidR="004678F7" w:rsidRPr="00AD728F" w:rsidRDefault="004678F7" w:rsidP="004678F7">
      <w:pPr>
        <w:spacing w:line="360" w:lineRule="auto"/>
        <w:ind w:firstLine="708"/>
        <w:jc w:val="both"/>
        <w:rPr>
          <w:rFonts w:eastAsiaTheme="minorHAnsi"/>
          <w:kern w:val="2"/>
          <w:sz w:val="24"/>
          <w:szCs w:val="24"/>
          <w:lang w:eastAsia="en-US"/>
          <w14:ligatures w14:val="standardContextual"/>
        </w:rPr>
      </w:pPr>
      <w:r>
        <w:rPr>
          <w:color w:val="000000" w:themeColor="text1"/>
          <w:sz w:val="24"/>
          <w:szCs w:val="24"/>
        </w:rPr>
        <w:lastRenderedPageBreak/>
        <w:t xml:space="preserve"> </w:t>
      </w:r>
      <w:r w:rsidRPr="00AD728F">
        <w:rPr>
          <w:rFonts w:eastAsiaTheme="minorHAnsi"/>
          <w:kern w:val="2"/>
          <w:sz w:val="24"/>
          <w:szCs w:val="24"/>
          <w:lang w:eastAsia="en-US"/>
          <w14:ligatures w14:val="standardContextual"/>
        </w:rPr>
        <w:t>Diante dessas considerações, emerge um questionamento central que norteia este estudo: como as intervenções fisioterapêuticas, com ênfase no fortalecimento muscular e na reeducação postural, podem contribuir para a melhora da marcha e do equilíbrio em pacientes com Doença de Parkinson? Essa reflexão se mostra pertinente diante do impacto progressivo da doença</w:t>
      </w:r>
      <w:r>
        <w:rPr>
          <w:rFonts w:eastAsiaTheme="minorHAnsi"/>
          <w:kern w:val="2"/>
          <w:sz w:val="24"/>
          <w:szCs w:val="24"/>
          <w:lang w:eastAsia="en-US"/>
          <w14:ligatures w14:val="standardContextual"/>
        </w:rPr>
        <w:t xml:space="preserve">. </w:t>
      </w:r>
    </w:p>
    <w:p w14:paraId="4C03AB80" w14:textId="77777777" w:rsidR="004678F7" w:rsidRPr="00AD728F" w:rsidRDefault="004678F7" w:rsidP="004678F7">
      <w:pPr>
        <w:pStyle w:val="p1"/>
        <w:spacing w:line="360" w:lineRule="auto"/>
        <w:ind w:firstLine="720"/>
        <w:jc w:val="both"/>
        <w:rPr>
          <w:rFonts w:ascii="Times New Roman" w:eastAsiaTheme="minorHAnsi" w:hAnsi="Times New Roman"/>
          <w:kern w:val="2"/>
          <w:sz w:val="24"/>
          <w:szCs w:val="24"/>
          <w:lang w:eastAsia="en-US"/>
          <w14:ligatures w14:val="standardContextual"/>
        </w:rPr>
      </w:pPr>
      <w:r w:rsidRPr="00AD728F">
        <w:rPr>
          <w:rFonts w:ascii="Times New Roman" w:eastAsiaTheme="minorHAnsi" w:hAnsi="Times New Roman"/>
          <w:kern w:val="2"/>
          <w:sz w:val="24"/>
          <w:szCs w:val="24"/>
          <w:lang w:eastAsia="en-US"/>
          <w14:ligatures w14:val="standardContextual"/>
        </w:rPr>
        <w:t xml:space="preserve"> Sendo assim, o presente artigo tem como objetivo discutir, por meio de uma revisão narrativa da literatura científica recente, as principais estratégias fisioterapêuticas aplicadas na reabilitação da marcha e do equilíbrio de pacientes com DP</w:t>
      </w:r>
      <w:r>
        <w:rPr>
          <w:rFonts w:ascii="Times New Roman" w:eastAsiaTheme="minorHAnsi" w:hAnsi="Times New Roman"/>
          <w:kern w:val="2"/>
          <w:sz w:val="24"/>
          <w:szCs w:val="24"/>
          <w:lang w:eastAsia="en-US"/>
          <w14:ligatures w14:val="standardContextual"/>
        </w:rPr>
        <w:t>.</w:t>
      </w:r>
    </w:p>
    <w:p w14:paraId="05267EDC" w14:textId="43D72863" w:rsidR="00BA5C12" w:rsidRPr="00AD728F" w:rsidRDefault="00BA5C12" w:rsidP="005F5AC4">
      <w:pPr>
        <w:pStyle w:val="p1"/>
        <w:spacing w:line="360" w:lineRule="auto"/>
        <w:jc w:val="both"/>
        <w:rPr>
          <w:rFonts w:ascii="Times New Roman" w:hAnsi="Times New Roman"/>
          <w:color w:val="000000" w:themeColor="text1"/>
          <w:sz w:val="24"/>
          <w:szCs w:val="24"/>
        </w:rPr>
      </w:pPr>
    </w:p>
    <w:p w14:paraId="375579D7" w14:textId="3075CDD8" w:rsidR="00E64515" w:rsidRPr="00E55841" w:rsidRDefault="00D02588" w:rsidP="00AD728F">
      <w:pPr>
        <w:spacing w:line="360" w:lineRule="auto"/>
        <w:jc w:val="both"/>
        <w:rPr>
          <w:b/>
          <w:bCs/>
          <w:sz w:val="24"/>
          <w:szCs w:val="24"/>
        </w:rPr>
      </w:pPr>
      <w:r w:rsidRPr="00E55841">
        <w:rPr>
          <w:b/>
          <w:bCs/>
          <w:sz w:val="24"/>
          <w:szCs w:val="24"/>
        </w:rPr>
        <w:t>2 OBJETIVOS</w:t>
      </w:r>
    </w:p>
    <w:p w14:paraId="5BA06CBF" w14:textId="6242415A" w:rsidR="000E6B2B" w:rsidRPr="00AD728F" w:rsidRDefault="00724FE3" w:rsidP="00AD728F">
      <w:pPr>
        <w:spacing w:line="360" w:lineRule="auto"/>
        <w:ind w:firstLine="720"/>
        <w:jc w:val="both"/>
        <w:rPr>
          <w:rFonts w:eastAsiaTheme="minorHAnsi"/>
          <w:kern w:val="2"/>
          <w:sz w:val="24"/>
          <w:szCs w:val="24"/>
          <w:lang w:eastAsia="en-US"/>
          <w14:ligatures w14:val="standardContextual"/>
        </w:rPr>
      </w:pPr>
      <w:r>
        <w:rPr>
          <w:rFonts w:eastAsiaTheme="minorHAnsi"/>
          <w:kern w:val="2"/>
          <w:sz w:val="24"/>
          <w:szCs w:val="24"/>
          <w:lang w:eastAsia="en-US"/>
          <w14:ligatures w14:val="standardContextual"/>
        </w:rPr>
        <w:t>D</w:t>
      </w:r>
      <w:r w:rsidR="00F95D30" w:rsidRPr="00AD728F">
        <w:rPr>
          <w:rFonts w:eastAsiaTheme="minorHAnsi"/>
          <w:kern w:val="2"/>
          <w:sz w:val="24"/>
          <w:szCs w:val="24"/>
          <w:lang w:eastAsia="en-US"/>
          <w14:ligatures w14:val="standardContextual"/>
        </w:rPr>
        <w:t>iscutir, por meio de uma revisão narrativa da literatura científica recente, as principais estratégias fisioterapêuticas aplicadas na reabilitação da marcha e do equilíbrio de pacientes com DP, destacando sua relevância na prevenção de quedas, na promoção da independência funcional e na melhoria da qualidade de vida.</w:t>
      </w:r>
    </w:p>
    <w:p w14:paraId="5EC650AA" w14:textId="77777777" w:rsidR="00F95D30" w:rsidRPr="00AD728F" w:rsidRDefault="00F95D30" w:rsidP="00AD728F">
      <w:pPr>
        <w:spacing w:line="360" w:lineRule="auto"/>
        <w:ind w:firstLine="720"/>
        <w:jc w:val="both"/>
        <w:rPr>
          <w:sz w:val="24"/>
          <w:szCs w:val="24"/>
        </w:rPr>
      </w:pPr>
    </w:p>
    <w:p w14:paraId="26A78CA7" w14:textId="76CB80C9" w:rsidR="00E64515" w:rsidRPr="00E55841" w:rsidRDefault="00D02588" w:rsidP="00AD728F">
      <w:pPr>
        <w:spacing w:line="360" w:lineRule="auto"/>
        <w:jc w:val="both"/>
        <w:rPr>
          <w:b/>
          <w:bCs/>
          <w:sz w:val="24"/>
          <w:szCs w:val="24"/>
        </w:rPr>
      </w:pPr>
      <w:r w:rsidRPr="00E55841">
        <w:rPr>
          <w:b/>
          <w:bCs/>
          <w:sz w:val="24"/>
          <w:szCs w:val="24"/>
        </w:rPr>
        <w:t>3 MÉTODO</w:t>
      </w:r>
    </w:p>
    <w:p w14:paraId="1BEF8D1B" w14:textId="77777777" w:rsidR="0045175B" w:rsidRPr="00914178" w:rsidRDefault="0045175B" w:rsidP="00975912">
      <w:pPr>
        <w:spacing w:line="360" w:lineRule="auto"/>
        <w:ind w:firstLine="720"/>
        <w:jc w:val="both"/>
        <w:rPr>
          <w:rFonts w:eastAsiaTheme="minorEastAsia"/>
          <w:sz w:val="24"/>
          <w:szCs w:val="24"/>
        </w:rPr>
      </w:pPr>
      <w:r w:rsidRPr="00914178">
        <w:rPr>
          <w:rFonts w:eastAsiaTheme="minorEastAsia"/>
          <w:sz w:val="24"/>
          <w:szCs w:val="24"/>
        </w:rPr>
        <w:t>Trata-se de uma revisão integrativa da literatura, de abordagem qualitativa, desenvolvida com o objetivo de reunir, analisar e sintetizar evidências científicas acerca das intervenções fisioterapêuticas utilizadas na reabilitação da marcha e do equilíbrio em pacientes com Doença de Parkinson. A revisão integrativa permite a reunião de resultados provenientes de estudos primários, possibilitando uma análise abrangente do conhecimento produzido sobre determinada temática.</w:t>
      </w:r>
    </w:p>
    <w:p w14:paraId="4709644F" w14:textId="77777777" w:rsidR="0045175B" w:rsidRPr="00914178" w:rsidRDefault="0045175B" w:rsidP="00975912">
      <w:pPr>
        <w:spacing w:line="360" w:lineRule="auto"/>
        <w:ind w:firstLine="720"/>
        <w:jc w:val="both"/>
        <w:rPr>
          <w:rFonts w:eastAsiaTheme="minorEastAsia"/>
          <w:sz w:val="24"/>
          <w:szCs w:val="24"/>
        </w:rPr>
      </w:pPr>
      <w:r w:rsidRPr="00914178">
        <w:rPr>
          <w:rFonts w:eastAsiaTheme="minorEastAsia"/>
          <w:sz w:val="24"/>
          <w:szCs w:val="24"/>
        </w:rPr>
        <w:t xml:space="preserve">A busca dos estudos foi realizada nas bases de dados PubMed e Scientific Electronic Library Online (SciELO), consideradas fontes relevantes para a identificação de produções científicas na área da saúde. Foram utilizados, de forma combinada, descritores relacionados à doença de Parkinson, fisioterapia, marcha e equilíbrio, incluindo os termos em português e seus correspondentes em inglês, tais como: </w:t>
      </w:r>
      <w:r w:rsidRPr="00914178">
        <w:rPr>
          <w:rFonts w:eastAsiaTheme="minorEastAsia"/>
          <w:i/>
          <w:iCs/>
          <w:sz w:val="24"/>
          <w:szCs w:val="24"/>
        </w:rPr>
        <w:t>Doença de Parkinson</w:t>
      </w:r>
      <w:r w:rsidRPr="00914178">
        <w:rPr>
          <w:rFonts w:eastAsiaTheme="minorEastAsia"/>
          <w:sz w:val="24"/>
          <w:szCs w:val="24"/>
        </w:rPr>
        <w:t xml:space="preserve"> (</w:t>
      </w:r>
      <w:r w:rsidRPr="00914178">
        <w:rPr>
          <w:rFonts w:eastAsiaTheme="minorEastAsia"/>
          <w:i/>
          <w:iCs/>
          <w:sz w:val="24"/>
          <w:szCs w:val="24"/>
        </w:rPr>
        <w:t>Parkinson Disease</w:t>
      </w:r>
      <w:r w:rsidRPr="00914178">
        <w:rPr>
          <w:rFonts w:eastAsiaTheme="minorEastAsia"/>
          <w:sz w:val="24"/>
          <w:szCs w:val="24"/>
        </w:rPr>
        <w:t xml:space="preserve">), </w:t>
      </w:r>
      <w:r w:rsidRPr="00914178">
        <w:rPr>
          <w:rFonts w:eastAsiaTheme="minorEastAsia"/>
          <w:i/>
          <w:iCs/>
          <w:sz w:val="24"/>
          <w:szCs w:val="24"/>
        </w:rPr>
        <w:t>Fisioterapia</w:t>
      </w:r>
      <w:r w:rsidRPr="00914178">
        <w:rPr>
          <w:rFonts w:eastAsiaTheme="minorEastAsia"/>
          <w:sz w:val="24"/>
          <w:szCs w:val="24"/>
        </w:rPr>
        <w:t xml:space="preserve"> (</w:t>
      </w:r>
      <w:r w:rsidRPr="00914178">
        <w:rPr>
          <w:rFonts w:eastAsiaTheme="minorEastAsia"/>
          <w:i/>
          <w:iCs/>
          <w:sz w:val="24"/>
          <w:szCs w:val="24"/>
        </w:rPr>
        <w:t>Physical Therapy</w:t>
      </w:r>
      <w:r w:rsidRPr="00914178">
        <w:rPr>
          <w:rFonts w:eastAsiaTheme="minorEastAsia"/>
          <w:sz w:val="24"/>
          <w:szCs w:val="24"/>
        </w:rPr>
        <w:t xml:space="preserve">), </w:t>
      </w:r>
      <w:r w:rsidRPr="00914178">
        <w:rPr>
          <w:rFonts w:eastAsiaTheme="minorEastAsia"/>
          <w:i/>
          <w:iCs/>
          <w:sz w:val="24"/>
          <w:szCs w:val="24"/>
        </w:rPr>
        <w:t>Marcha</w:t>
      </w:r>
      <w:r w:rsidRPr="00914178">
        <w:rPr>
          <w:rFonts w:eastAsiaTheme="minorEastAsia"/>
          <w:sz w:val="24"/>
          <w:szCs w:val="24"/>
        </w:rPr>
        <w:t xml:space="preserve"> (</w:t>
      </w:r>
      <w:r w:rsidRPr="00914178">
        <w:rPr>
          <w:rFonts w:eastAsiaTheme="minorEastAsia"/>
          <w:i/>
          <w:iCs/>
          <w:sz w:val="24"/>
          <w:szCs w:val="24"/>
        </w:rPr>
        <w:t>Gait</w:t>
      </w:r>
      <w:r w:rsidRPr="00914178">
        <w:rPr>
          <w:rFonts w:eastAsiaTheme="minorEastAsia"/>
          <w:sz w:val="24"/>
          <w:szCs w:val="24"/>
        </w:rPr>
        <w:t xml:space="preserve">), </w:t>
      </w:r>
      <w:r w:rsidRPr="00914178">
        <w:rPr>
          <w:rFonts w:eastAsiaTheme="minorEastAsia"/>
          <w:i/>
          <w:iCs/>
          <w:sz w:val="24"/>
          <w:szCs w:val="24"/>
        </w:rPr>
        <w:t>Equilíbrio</w:t>
      </w:r>
      <w:r w:rsidRPr="00914178">
        <w:rPr>
          <w:rFonts w:eastAsiaTheme="minorEastAsia"/>
          <w:sz w:val="24"/>
          <w:szCs w:val="24"/>
        </w:rPr>
        <w:t xml:space="preserve"> (</w:t>
      </w:r>
      <w:r w:rsidRPr="00914178">
        <w:rPr>
          <w:rFonts w:eastAsiaTheme="minorEastAsia"/>
          <w:i/>
          <w:iCs/>
          <w:sz w:val="24"/>
          <w:szCs w:val="24"/>
        </w:rPr>
        <w:t>Balance</w:t>
      </w:r>
      <w:r w:rsidRPr="00914178">
        <w:rPr>
          <w:rFonts w:eastAsiaTheme="minorEastAsia"/>
          <w:sz w:val="24"/>
          <w:szCs w:val="24"/>
        </w:rPr>
        <w:t xml:space="preserve">) e </w:t>
      </w:r>
      <w:r w:rsidRPr="00914178">
        <w:rPr>
          <w:rFonts w:eastAsiaTheme="minorEastAsia"/>
          <w:i/>
          <w:iCs/>
          <w:sz w:val="24"/>
          <w:szCs w:val="24"/>
        </w:rPr>
        <w:t>Reabilitação</w:t>
      </w:r>
      <w:r w:rsidRPr="00914178">
        <w:rPr>
          <w:rFonts w:eastAsiaTheme="minorEastAsia"/>
          <w:sz w:val="24"/>
          <w:szCs w:val="24"/>
        </w:rPr>
        <w:t xml:space="preserve"> (</w:t>
      </w:r>
      <w:r w:rsidRPr="00914178">
        <w:rPr>
          <w:rFonts w:eastAsiaTheme="minorEastAsia"/>
          <w:i/>
          <w:iCs/>
          <w:sz w:val="24"/>
          <w:szCs w:val="24"/>
        </w:rPr>
        <w:t>Rehabilitation</w:t>
      </w:r>
      <w:r w:rsidRPr="00914178">
        <w:rPr>
          <w:rFonts w:eastAsiaTheme="minorEastAsia"/>
          <w:sz w:val="24"/>
          <w:szCs w:val="24"/>
        </w:rPr>
        <w:t>). Os termos foram combinados por meio dos operadores booleanos AND e OR, conforme a estratégia de busca de cada base de dados.</w:t>
      </w:r>
    </w:p>
    <w:p w14:paraId="4E59F3C1" w14:textId="7F8AC75A" w:rsidR="0045175B" w:rsidRPr="00914178" w:rsidRDefault="0045175B" w:rsidP="00975912">
      <w:pPr>
        <w:spacing w:line="360" w:lineRule="auto"/>
        <w:ind w:firstLine="720"/>
        <w:jc w:val="both"/>
        <w:rPr>
          <w:rFonts w:eastAsiaTheme="minorEastAsia"/>
          <w:sz w:val="24"/>
          <w:szCs w:val="24"/>
        </w:rPr>
      </w:pPr>
      <w:r w:rsidRPr="00914178">
        <w:rPr>
          <w:rFonts w:eastAsiaTheme="minorEastAsia"/>
          <w:sz w:val="24"/>
          <w:szCs w:val="24"/>
        </w:rPr>
        <w:lastRenderedPageBreak/>
        <w:t xml:space="preserve">Foram estabelecidos como critérios de inclusão: artigos científicos primários, publicados entre os anos de 2020 e 2024, nos idiomas português, inglês ou espanhol, disponíveis nas bases de dados selecionadas, que apresentassem participantes com diagnóstico de Doença de Parkinson e investigassem intervenções fisioterapêuticas relacionadas à marcha, ao equilíbrio, à mobilidade funcional ou à prevenção de alterações motoras. </w:t>
      </w:r>
    </w:p>
    <w:p w14:paraId="6BE910C5" w14:textId="77777777" w:rsidR="0045175B" w:rsidRPr="00914178" w:rsidRDefault="0045175B" w:rsidP="00975912">
      <w:pPr>
        <w:spacing w:line="360" w:lineRule="auto"/>
        <w:ind w:firstLine="720"/>
        <w:jc w:val="both"/>
        <w:rPr>
          <w:rFonts w:eastAsiaTheme="minorEastAsia"/>
          <w:sz w:val="24"/>
          <w:szCs w:val="24"/>
        </w:rPr>
      </w:pPr>
      <w:r w:rsidRPr="00914178">
        <w:rPr>
          <w:rFonts w:eastAsiaTheme="minorEastAsia"/>
          <w:sz w:val="24"/>
          <w:szCs w:val="24"/>
        </w:rPr>
        <w:t>Foram excluídos artigos de revisão sistemática, revisão integrativa, revisão narrativa ou revisão de literatura, relatos de caso, séries de casos, trabalhos de conclusão de curso, dissertações, teses, editoriais, cartas ao editor, estudos duplicados entre as bases de dados e publicações que não apresentassem relação direta com a temática investigada.</w:t>
      </w:r>
    </w:p>
    <w:p w14:paraId="16D2831E" w14:textId="2962A8BD" w:rsidR="00975912" w:rsidRPr="00914178" w:rsidRDefault="0045175B" w:rsidP="00C74232">
      <w:pPr>
        <w:spacing w:line="360" w:lineRule="auto"/>
        <w:ind w:firstLine="720"/>
        <w:jc w:val="both"/>
        <w:rPr>
          <w:rFonts w:eastAsiaTheme="minorEastAsia"/>
          <w:sz w:val="24"/>
          <w:szCs w:val="24"/>
        </w:rPr>
      </w:pPr>
      <w:r w:rsidRPr="00914178">
        <w:rPr>
          <w:rFonts w:eastAsiaTheme="minorEastAsia"/>
          <w:sz w:val="24"/>
          <w:szCs w:val="24"/>
        </w:rPr>
        <w:t>Por se tratar de uma revisão integrativa baseada exclusivamente em dados provenientes de estudos científicos publicados e disponíveis em bases de dados, não houve contato direto com seres humanos nem coleta de dados primários. Dessa forma, não foi necessária a submissão do estudo ao Comitê de Ética em Pesquisa.</w:t>
      </w:r>
    </w:p>
    <w:p w14:paraId="4D87CC97" w14:textId="67AEE900" w:rsidR="003625FC" w:rsidRPr="00E55841" w:rsidRDefault="00D02588" w:rsidP="00AD728F">
      <w:pPr>
        <w:spacing w:line="360" w:lineRule="auto"/>
        <w:jc w:val="both"/>
        <w:rPr>
          <w:b/>
          <w:bCs/>
          <w:sz w:val="24"/>
          <w:szCs w:val="24"/>
        </w:rPr>
      </w:pPr>
      <w:r w:rsidRPr="00E55841">
        <w:rPr>
          <w:b/>
          <w:bCs/>
          <w:sz w:val="24"/>
          <w:szCs w:val="24"/>
        </w:rPr>
        <w:t>4 RESULTADOS E DISCUSSÃO</w:t>
      </w:r>
    </w:p>
    <w:p w14:paraId="7467DDF1" w14:textId="018FA9B3" w:rsidR="003E0724" w:rsidRPr="00466430" w:rsidRDefault="003E0724" w:rsidP="00483184">
      <w:pPr>
        <w:spacing w:after="100" w:afterAutospacing="1"/>
        <w:rPr>
          <w:rFonts w:eastAsiaTheme="minorEastAsia"/>
          <w:sz w:val="24"/>
          <w:szCs w:val="24"/>
        </w:rPr>
      </w:pPr>
      <w:r w:rsidRPr="00466430">
        <w:rPr>
          <w:rFonts w:eastAsiaTheme="minorEastAsia"/>
          <w:b/>
          <w:bCs/>
          <w:sz w:val="24"/>
          <w:szCs w:val="24"/>
        </w:rPr>
        <w:t>Quadro 1 – Caracterização dos estudos primários selecionados</w:t>
      </w:r>
      <w:r w:rsidR="004678F7">
        <w:rPr>
          <w:rFonts w:eastAsiaTheme="minorEastAsia"/>
          <w:b/>
          <w:bCs/>
          <w:sz w:val="24"/>
          <w:szCs w:val="24"/>
        </w:rPr>
        <w:t>.</w:t>
      </w:r>
    </w:p>
    <w:tbl>
      <w:tblPr>
        <w:tblStyle w:val="Tabelacomgrade"/>
        <w:tblW w:w="0" w:type="auto"/>
        <w:tblLook w:val="04A0" w:firstRow="1" w:lastRow="0" w:firstColumn="1" w:lastColumn="0" w:noHBand="0" w:noVBand="1"/>
      </w:tblPr>
      <w:tblGrid>
        <w:gridCol w:w="1510"/>
        <w:gridCol w:w="1950"/>
        <w:gridCol w:w="1683"/>
        <w:gridCol w:w="1536"/>
        <w:gridCol w:w="1969"/>
      </w:tblGrid>
      <w:tr w:rsidR="00320545" w:rsidRPr="004F0F2C" w14:paraId="53B2D0A4" w14:textId="77777777" w:rsidTr="004F0F2C">
        <w:trPr>
          <w:trHeight w:val="567"/>
        </w:trPr>
        <w:tc>
          <w:tcPr>
            <w:tcW w:w="1510" w:type="dxa"/>
          </w:tcPr>
          <w:p w14:paraId="64F763AA" w14:textId="13D5453A" w:rsidR="00320545" w:rsidRPr="004F0F2C" w:rsidRDefault="00320545" w:rsidP="004F0F2C">
            <w:pPr>
              <w:jc w:val="center"/>
              <w:rPr>
                <w:b/>
                <w:bCs/>
                <w:sz w:val="24"/>
                <w:szCs w:val="24"/>
              </w:rPr>
            </w:pPr>
            <w:r w:rsidRPr="004F0F2C">
              <w:rPr>
                <w:b/>
                <w:bCs/>
                <w:sz w:val="24"/>
                <w:szCs w:val="24"/>
              </w:rPr>
              <w:t>Autor/ano</w:t>
            </w:r>
          </w:p>
        </w:tc>
        <w:tc>
          <w:tcPr>
            <w:tcW w:w="1950" w:type="dxa"/>
          </w:tcPr>
          <w:p w14:paraId="01B76161" w14:textId="3B687EB8" w:rsidR="00320545" w:rsidRPr="004F0F2C" w:rsidRDefault="00320545" w:rsidP="004F0F2C">
            <w:pPr>
              <w:jc w:val="center"/>
              <w:rPr>
                <w:b/>
                <w:bCs/>
                <w:sz w:val="24"/>
                <w:szCs w:val="24"/>
              </w:rPr>
            </w:pPr>
            <w:r w:rsidRPr="004F0F2C">
              <w:rPr>
                <w:b/>
                <w:bCs/>
                <w:sz w:val="24"/>
                <w:szCs w:val="24"/>
              </w:rPr>
              <w:t>Título</w:t>
            </w:r>
          </w:p>
        </w:tc>
        <w:tc>
          <w:tcPr>
            <w:tcW w:w="1590" w:type="dxa"/>
          </w:tcPr>
          <w:p w14:paraId="731F79F0" w14:textId="32D23695" w:rsidR="00320545" w:rsidRPr="009712E9" w:rsidRDefault="00320545" w:rsidP="004F0F2C">
            <w:pPr>
              <w:jc w:val="center"/>
              <w:rPr>
                <w:b/>
                <w:bCs/>
                <w:sz w:val="24"/>
                <w:szCs w:val="24"/>
              </w:rPr>
            </w:pPr>
            <w:r w:rsidRPr="009712E9">
              <w:rPr>
                <w:b/>
                <w:bCs/>
                <w:sz w:val="24"/>
                <w:szCs w:val="24"/>
              </w:rPr>
              <w:t>Revista</w:t>
            </w:r>
          </w:p>
        </w:tc>
        <w:tc>
          <w:tcPr>
            <w:tcW w:w="1536" w:type="dxa"/>
          </w:tcPr>
          <w:p w14:paraId="1995D2C5" w14:textId="1203F55C" w:rsidR="00320545" w:rsidRPr="004F0F2C" w:rsidRDefault="00320545" w:rsidP="004F0F2C">
            <w:pPr>
              <w:jc w:val="center"/>
              <w:rPr>
                <w:b/>
                <w:bCs/>
                <w:sz w:val="24"/>
                <w:szCs w:val="24"/>
              </w:rPr>
            </w:pPr>
            <w:r w:rsidRPr="004F0F2C">
              <w:rPr>
                <w:b/>
                <w:bCs/>
                <w:sz w:val="24"/>
                <w:szCs w:val="24"/>
              </w:rPr>
              <w:t>Tipo de estudo</w:t>
            </w:r>
          </w:p>
        </w:tc>
        <w:tc>
          <w:tcPr>
            <w:tcW w:w="1969" w:type="dxa"/>
          </w:tcPr>
          <w:p w14:paraId="23C38D3C" w14:textId="4584AE85" w:rsidR="00320545" w:rsidRPr="004F0F2C" w:rsidRDefault="00320545" w:rsidP="004F0F2C">
            <w:pPr>
              <w:jc w:val="center"/>
              <w:rPr>
                <w:b/>
                <w:bCs/>
                <w:sz w:val="24"/>
                <w:szCs w:val="24"/>
              </w:rPr>
            </w:pPr>
            <w:r w:rsidRPr="004F0F2C">
              <w:rPr>
                <w:b/>
                <w:bCs/>
                <w:sz w:val="24"/>
                <w:szCs w:val="24"/>
              </w:rPr>
              <w:t>Principais resultados</w:t>
            </w:r>
          </w:p>
        </w:tc>
      </w:tr>
      <w:tr w:rsidR="00320545" w:rsidRPr="00466430" w14:paraId="23E179B4" w14:textId="77777777" w:rsidTr="004F0F2C">
        <w:trPr>
          <w:trHeight w:val="2268"/>
        </w:trPr>
        <w:tc>
          <w:tcPr>
            <w:tcW w:w="1510" w:type="dxa"/>
          </w:tcPr>
          <w:p w14:paraId="77DFA785" w14:textId="77777777" w:rsidR="005B64D1" w:rsidRPr="00466430" w:rsidRDefault="005B64D1" w:rsidP="00483184">
            <w:pPr>
              <w:pStyle w:val="p1"/>
              <w:rPr>
                <w:rFonts w:ascii="Times New Roman" w:hAnsi="Times New Roman"/>
                <w:sz w:val="24"/>
                <w:szCs w:val="24"/>
              </w:rPr>
            </w:pPr>
            <w:r w:rsidRPr="00466430">
              <w:rPr>
                <w:rFonts w:ascii="Times New Roman" w:hAnsi="Times New Roman"/>
                <w:b/>
                <w:bCs/>
                <w:sz w:val="24"/>
                <w:szCs w:val="24"/>
              </w:rPr>
              <w:t>Capato et al. (2020)</w:t>
            </w:r>
          </w:p>
          <w:p w14:paraId="0DFAFE65" w14:textId="77777777" w:rsidR="00320545" w:rsidRPr="00466430" w:rsidRDefault="00320545" w:rsidP="00483184">
            <w:pPr>
              <w:jc w:val="both"/>
              <w:rPr>
                <w:sz w:val="24"/>
                <w:szCs w:val="24"/>
              </w:rPr>
            </w:pPr>
          </w:p>
        </w:tc>
        <w:tc>
          <w:tcPr>
            <w:tcW w:w="1950" w:type="dxa"/>
          </w:tcPr>
          <w:p w14:paraId="70FE21DC" w14:textId="162A8040" w:rsidR="00320545" w:rsidRPr="00466430" w:rsidRDefault="002823AC" w:rsidP="00483184">
            <w:pPr>
              <w:pStyle w:val="p1"/>
              <w:rPr>
                <w:rFonts w:ascii="Times New Roman" w:hAnsi="Times New Roman"/>
                <w:sz w:val="24"/>
                <w:szCs w:val="24"/>
              </w:rPr>
            </w:pPr>
            <w:r w:rsidRPr="00466430">
              <w:rPr>
                <w:rFonts w:ascii="Times New Roman" w:hAnsi="Times New Roman"/>
                <w:i/>
                <w:iCs/>
                <w:sz w:val="24"/>
                <w:szCs w:val="24"/>
              </w:rPr>
              <w:t>Multimodal Balance Training Supported by Rhythmical Auditory Stimuli in Parkinson’s Disease: A Randomized Clinical Trial</w:t>
            </w:r>
          </w:p>
        </w:tc>
        <w:tc>
          <w:tcPr>
            <w:tcW w:w="1590" w:type="dxa"/>
          </w:tcPr>
          <w:p w14:paraId="6065E576" w14:textId="1B7608F5" w:rsidR="00320545" w:rsidRPr="009712E9" w:rsidRDefault="008B6E82" w:rsidP="00483184">
            <w:pPr>
              <w:pStyle w:val="p1"/>
              <w:rPr>
                <w:rFonts w:ascii="Times New Roman" w:hAnsi="Times New Roman"/>
                <w:b/>
                <w:bCs/>
                <w:sz w:val="24"/>
                <w:szCs w:val="24"/>
              </w:rPr>
            </w:pPr>
            <w:r w:rsidRPr="009712E9">
              <w:rPr>
                <w:rFonts w:ascii="Times New Roman" w:hAnsi="Times New Roman"/>
                <w:b/>
                <w:bCs/>
                <w:sz w:val="24"/>
                <w:szCs w:val="24"/>
              </w:rPr>
              <w:t>Journal of Parkinson’s Disease</w:t>
            </w:r>
          </w:p>
        </w:tc>
        <w:tc>
          <w:tcPr>
            <w:tcW w:w="1536" w:type="dxa"/>
          </w:tcPr>
          <w:p w14:paraId="4020D954" w14:textId="2FF9177D" w:rsidR="00320545" w:rsidRPr="00466430" w:rsidRDefault="00B31672" w:rsidP="00483184">
            <w:pPr>
              <w:pStyle w:val="p1"/>
              <w:rPr>
                <w:rFonts w:ascii="Times New Roman" w:hAnsi="Times New Roman"/>
                <w:sz w:val="24"/>
                <w:szCs w:val="24"/>
              </w:rPr>
            </w:pPr>
            <w:r w:rsidRPr="00466430">
              <w:rPr>
                <w:rFonts w:ascii="Times New Roman" w:hAnsi="Times New Roman"/>
                <w:sz w:val="24"/>
                <w:szCs w:val="24"/>
              </w:rPr>
              <w:t>Ensaio clínico randomizado; 154 participantes</w:t>
            </w:r>
          </w:p>
        </w:tc>
        <w:tc>
          <w:tcPr>
            <w:tcW w:w="1969" w:type="dxa"/>
          </w:tcPr>
          <w:p w14:paraId="473E2FDA" w14:textId="2C18FAF6" w:rsidR="00320545" w:rsidRPr="00466430" w:rsidRDefault="00C445C5" w:rsidP="00483184">
            <w:pPr>
              <w:pStyle w:val="p1"/>
              <w:rPr>
                <w:rFonts w:ascii="Times New Roman" w:hAnsi="Times New Roman"/>
                <w:sz w:val="24"/>
                <w:szCs w:val="24"/>
              </w:rPr>
            </w:pPr>
            <w:r w:rsidRPr="00466430">
              <w:rPr>
                <w:rFonts w:ascii="Times New Roman" w:hAnsi="Times New Roman"/>
                <w:sz w:val="24"/>
                <w:szCs w:val="24"/>
              </w:rPr>
              <w:t>Os grupos submetidos ao treinamento apresentaram melhora do equilíbrio, com resultados mais expressivos e sustentados no grupo que recebeu estímulos auditivos rítmicos.</w:t>
            </w:r>
          </w:p>
        </w:tc>
      </w:tr>
      <w:tr w:rsidR="00320545" w:rsidRPr="00466430" w14:paraId="7F72FDAA" w14:textId="77777777" w:rsidTr="004F0F2C">
        <w:trPr>
          <w:trHeight w:val="2268"/>
        </w:trPr>
        <w:tc>
          <w:tcPr>
            <w:tcW w:w="1510" w:type="dxa"/>
          </w:tcPr>
          <w:p w14:paraId="01A78CBD" w14:textId="77777777" w:rsidR="001768D5" w:rsidRPr="00466430" w:rsidRDefault="001768D5" w:rsidP="00483184">
            <w:pPr>
              <w:pStyle w:val="p1"/>
              <w:rPr>
                <w:rFonts w:ascii="Times New Roman" w:hAnsi="Times New Roman"/>
                <w:sz w:val="24"/>
                <w:szCs w:val="24"/>
              </w:rPr>
            </w:pPr>
            <w:r w:rsidRPr="00466430">
              <w:rPr>
                <w:rFonts w:ascii="Times New Roman" w:hAnsi="Times New Roman"/>
                <w:b/>
                <w:bCs/>
                <w:sz w:val="24"/>
                <w:szCs w:val="24"/>
              </w:rPr>
              <w:t>Biebl et al. (2022)</w:t>
            </w:r>
          </w:p>
          <w:p w14:paraId="1C06C430" w14:textId="77777777" w:rsidR="00320545" w:rsidRPr="00466430" w:rsidRDefault="00320545" w:rsidP="00483184">
            <w:pPr>
              <w:jc w:val="both"/>
              <w:rPr>
                <w:sz w:val="24"/>
                <w:szCs w:val="24"/>
              </w:rPr>
            </w:pPr>
          </w:p>
        </w:tc>
        <w:tc>
          <w:tcPr>
            <w:tcW w:w="1950" w:type="dxa"/>
          </w:tcPr>
          <w:p w14:paraId="4AA11817" w14:textId="6D74AB36" w:rsidR="00320545" w:rsidRPr="00466430" w:rsidRDefault="00D15336" w:rsidP="00483184">
            <w:pPr>
              <w:pStyle w:val="p1"/>
              <w:rPr>
                <w:rFonts w:ascii="Times New Roman" w:hAnsi="Times New Roman"/>
                <w:sz w:val="24"/>
                <w:szCs w:val="24"/>
              </w:rPr>
            </w:pPr>
            <w:r w:rsidRPr="00466430">
              <w:rPr>
                <w:rFonts w:ascii="Times New Roman" w:hAnsi="Times New Roman"/>
                <w:i/>
                <w:iCs/>
                <w:sz w:val="24"/>
                <w:szCs w:val="24"/>
              </w:rPr>
              <w:t xml:space="preserve">Resistance Training Combined with Balance or Gait Training for Patients with Parkinson’s Disease: A Randomized </w:t>
            </w:r>
            <w:r w:rsidRPr="00466430">
              <w:rPr>
                <w:rFonts w:ascii="Times New Roman" w:hAnsi="Times New Roman"/>
                <w:i/>
                <w:iCs/>
                <w:sz w:val="24"/>
                <w:szCs w:val="24"/>
              </w:rPr>
              <w:lastRenderedPageBreak/>
              <w:t>Controlled Pilot Study</w:t>
            </w:r>
          </w:p>
        </w:tc>
        <w:tc>
          <w:tcPr>
            <w:tcW w:w="1590" w:type="dxa"/>
          </w:tcPr>
          <w:p w14:paraId="1B2EA02F" w14:textId="77777777" w:rsidR="007E746F" w:rsidRPr="009712E9" w:rsidRDefault="007E746F" w:rsidP="00483184">
            <w:pPr>
              <w:pStyle w:val="p1"/>
              <w:rPr>
                <w:rFonts w:ascii="Times New Roman" w:hAnsi="Times New Roman"/>
                <w:b/>
                <w:bCs/>
                <w:sz w:val="24"/>
                <w:szCs w:val="24"/>
              </w:rPr>
            </w:pPr>
            <w:r w:rsidRPr="009712E9">
              <w:rPr>
                <w:rFonts w:ascii="Times New Roman" w:hAnsi="Times New Roman"/>
                <w:b/>
                <w:bCs/>
                <w:sz w:val="24"/>
                <w:szCs w:val="24"/>
              </w:rPr>
              <w:lastRenderedPageBreak/>
              <w:t>BioMed Research International</w:t>
            </w:r>
          </w:p>
          <w:p w14:paraId="2125FC1B" w14:textId="77777777" w:rsidR="00320545" w:rsidRPr="009712E9" w:rsidRDefault="00320545" w:rsidP="00483184">
            <w:pPr>
              <w:jc w:val="both"/>
              <w:rPr>
                <w:b/>
                <w:bCs/>
                <w:sz w:val="24"/>
                <w:szCs w:val="24"/>
              </w:rPr>
            </w:pPr>
          </w:p>
        </w:tc>
        <w:tc>
          <w:tcPr>
            <w:tcW w:w="1536" w:type="dxa"/>
          </w:tcPr>
          <w:p w14:paraId="494551CE" w14:textId="6170B445" w:rsidR="00320545" w:rsidRPr="00466430" w:rsidRDefault="00660A44" w:rsidP="00483184">
            <w:pPr>
              <w:pStyle w:val="p1"/>
              <w:rPr>
                <w:rFonts w:ascii="Times New Roman" w:hAnsi="Times New Roman"/>
                <w:sz w:val="24"/>
                <w:szCs w:val="24"/>
              </w:rPr>
            </w:pPr>
            <w:r w:rsidRPr="00466430">
              <w:rPr>
                <w:rFonts w:ascii="Times New Roman" w:hAnsi="Times New Roman"/>
                <w:sz w:val="24"/>
                <w:szCs w:val="24"/>
              </w:rPr>
              <w:t>Ensaio clínico randomizado piloto; 26 participantes</w:t>
            </w:r>
          </w:p>
        </w:tc>
        <w:tc>
          <w:tcPr>
            <w:tcW w:w="1969" w:type="dxa"/>
          </w:tcPr>
          <w:p w14:paraId="036015F2" w14:textId="207EB734" w:rsidR="00320545" w:rsidRPr="00466430" w:rsidRDefault="00F1699D" w:rsidP="00483184">
            <w:pPr>
              <w:pStyle w:val="p1"/>
              <w:rPr>
                <w:rFonts w:ascii="Times New Roman" w:hAnsi="Times New Roman"/>
                <w:sz w:val="24"/>
                <w:szCs w:val="24"/>
              </w:rPr>
            </w:pPr>
            <w:r w:rsidRPr="00466430">
              <w:rPr>
                <w:rFonts w:ascii="Times New Roman" w:hAnsi="Times New Roman"/>
                <w:sz w:val="24"/>
                <w:szCs w:val="24"/>
              </w:rPr>
              <w:t xml:space="preserve">A associação do treinamento resistido à marcha favoreceu parâmetros locomotores, enquanto a associação ao equilíbrio </w:t>
            </w:r>
            <w:r w:rsidRPr="00466430">
              <w:rPr>
                <w:rFonts w:ascii="Times New Roman" w:hAnsi="Times New Roman"/>
                <w:sz w:val="24"/>
                <w:szCs w:val="24"/>
              </w:rPr>
              <w:lastRenderedPageBreak/>
              <w:t>apresentou benefícios sobre força e algumas medidas funcionais.</w:t>
            </w:r>
          </w:p>
        </w:tc>
      </w:tr>
      <w:tr w:rsidR="00320545" w:rsidRPr="00466430" w14:paraId="6BF18DAE" w14:textId="77777777" w:rsidTr="004F0F2C">
        <w:trPr>
          <w:trHeight w:val="2268"/>
        </w:trPr>
        <w:tc>
          <w:tcPr>
            <w:tcW w:w="1510" w:type="dxa"/>
          </w:tcPr>
          <w:p w14:paraId="553E0C01" w14:textId="77777777" w:rsidR="00A12B50" w:rsidRPr="00466430" w:rsidRDefault="00A12B50" w:rsidP="00483184">
            <w:pPr>
              <w:pStyle w:val="p1"/>
              <w:rPr>
                <w:rFonts w:ascii="Times New Roman" w:hAnsi="Times New Roman"/>
                <w:sz w:val="24"/>
                <w:szCs w:val="24"/>
              </w:rPr>
            </w:pPr>
            <w:r w:rsidRPr="00466430">
              <w:rPr>
                <w:rFonts w:ascii="Times New Roman" w:hAnsi="Times New Roman"/>
                <w:b/>
                <w:bCs/>
                <w:sz w:val="24"/>
                <w:szCs w:val="24"/>
              </w:rPr>
              <w:lastRenderedPageBreak/>
              <w:t>Gaßner et al. (2022)</w:t>
            </w:r>
          </w:p>
          <w:p w14:paraId="797A5565" w14:textId="77777777" w:rsidR="00320545" w:rsidRPr="00466430" w:rsidRDefault="00320545" w:rsidP="00483184">
            <w:pPr>
              <w:jc w:val="both"/>
              <w:rPr>
                <w:sz w:val="24"/>
                <w:szCs w:val="24"/>
              </w:rPr>
            </w:pPr>
          </w:p>
        </w:tc>
        <w:tc>
          <w:tcPr>
            <w:tcW w:w="1950" w:type="dxa"/>
          </w:tcPr>
          <w:p w14:paraId="652B0072" w14:textId="4D603FF6" w:rsidR="00320545" w:rsidRPr="00466430" w:rsidRDefault="0054422D" w:rsidP="00483184">
            <w:pPr>
              <w:pStyle w:val="p1"/>
              <w:rPr>
                <w:rFonts w:ascii="Times New Roman" w:hAnsi="Times New Roman"/>
                <w:sz w:val="24"/>
                <w:szCs w:val="24"/>
              </w:rPr>
            </w:pPr>
            <w:r w:rsidRPr="00466430">
              <w:rPr>
                <w:rFonts w:ascii="Times New Roman" w:hAnsi="Times New Roman"/>
                <w:i/>
                <w:iCs/>
                <w:sz w:val="24"/>
                <w:szCs w:val="24"/>
              </w:rPr>
              <w:t>Treadmill Training and Physiotherapy Similarly Improve Dual Task Gait Performance: A Randomized-Controlled Trial in Parkinson’s Disease</w:t>
            </w:r>
          </w:p>
        </w:tc>
        <w:tc>
          <w:tcPr>
            <w:tcW w:w="1590" w:type="dxa"/>
          </w:tcPr>
          <w:p w14:paraId="3DBCFFE3" w14:textId="409F2851" w:rsidR="00320545" w:rsidRPr="009712E9" w:rsidRDefault="00AC67AF" w:rsidP="00483184">
            <w:pPr>
              <w:pStyle w:val="p1"/>
              <w:rPr>
                <w:rFonts w:ascii="Times New Roman" w:hAnsi="Times New Roman"/>
                <w:b/>
                <w:bCs/>
                <w:sz w:val="24"/>
                <w:szCs w:val="24"/>
              </w:rPr>
            </w:pPr>
            <w:r w:rsidRPr="009712E9">
              <w:rPr>
                <w:rFonts w:ascii="Times New Roman" w:hAnsi="Times New Roman"/>
                <w:b/>
                <w:bCs/>
                <w:sz w:val="24"/>
                <w:szCs w:val="24"/>
              </w:rPr>
              <w:t>Journal of Neural Transmission</w:t>
            </w:r>
          </w:p>
        </w:tc>
        <w:tc>
          <w:tcPr>
            <w:tcW w:w="1536" w:type="dxa"/>
          </w:tcPr>
          <w:p w14:paraId="16B18594" w14:textId="2C0D4548" w:rsidR="00320545" w:rsidRPr="00466430" w:rsidRDefault="00F80ADB" w:rsidP="00483184">
            <w:pPr>
              <w:pStyle w:val="p1"/>
              <w:rPr>
                <w:rFonts w:ascii="Times New Roman" w:hAnsi="Times New Roman"/>
                <w:sz w:val="24"/>
                <w:szCs w:val="24"/>
              </w:rPr>
            </w:pPr>
            <w:r w:rsidRPr="00466430">
              <w:rPr>
                <w:rFonts w:ascii="Times New Roman" w:hAnsi="Times New Roman"/>
                <w:sz w:val="24"/>
                <w:szCs w:val="24"/>
              </w:rPr>
              <w:t>Ensaio clínico randomizado; 105 participantes</w:t>
            </w:r>
          </w:p>
        </w:tc>
        <w:tc>
          <w:tcPr>
            <w:tcW w:w="1969" w:type="dxa"/>
          </w:tcPr>
          <w:p w14:paraId="335E37A3" w14:textId="0C5055A7" w:rsidR="00320545" w:rsidRPr="00466430" w:rsidRDefault="00E55F78" w:rsidP="00483184">
            <w:pPr>
              <w:pStyle w:val="p1"/>
              <w:rPr>
                <w:rFonts w:ascii="Times New Roman" w:hAnsi="Times New Roman"/>
                <w:sz w:val="24"/>
                <w:szCs w:val="24"/>
              </w:rPr>
            </w:pPr>
            <w:r w:rsidRPr="00466430">
              <w:rPr>
                <w:rFonts w:ascii="Times New Roman" w:hAnsi="Times New Roman"/>
                <w:sz w:val="24"/>
                <w:szCs w:val="24"/>
              </w:rPr>
              <w:t>Ambas as intervenções promoveram melhora da marcha em dupla tarefa, além de efeitos positivos sobre parâmetros da marcha, equilíbrio e capacidade de caminhada.</w:t>
            </w:r>
          </w:p>
        </w:tc>
      </w:tr>
      <w:tr w:rsidR="00320545" w:rsidRPr="00466430" w14:paraId="6BED2F2D" w14:textId="77777777" w:rsidTr="004F0F2C">
        <w:trPr>
          <w:trHeight w:val="2268"/>
        </w:trPr>
        <w:tc>
          <w:tcPr>
            <w:tcW w:w="1510" w:type="dxa"/>
          </w:tcPr>
          <w:p w14:paraId="2845146F" w14:textId="77777777" w:rsidR="00DA6078" w:rsidRPr="00466430" w:rsidRDefault="00DA6078" w:rsidP="00483184">
            <w:pPr>
              <w:pStyle w:val="p1"/>
              <w:rPr>
                <w:rFonts w:ascii="Times New Roman" w:hAnsi="Times New Roman"/>
                <w:sz w:val="24"/>
                <w:szCs w:val="24"/>
              </w:rPr>
            </w:pPr>
            <w:r w:rsidRPr="00466430">
              <w:rPr>
                <w:rFonts w:ascii="Times New Roman" w:hAnsi="Times New Roman"/>
                <w:b/>
                <w:bCs/>
                <w:sz w:val="24"/>
                <w:szCs w:val="24"/>
              </w:rPr>
              <w:t>Eldemir et al. (2024)</w:t>
            </w:r>
          </w:p>
          <w:p w14:paraId="2CD53569" w14:textId="77777777" w:rsidR="00320545" w:rsidRPr="00466430" w:rsidRDefault="00320545" w:rsidP="00483184">
            <w:pPr>
              <w:jc w:val="both"/>
              <w:rPr>
                <w:sz w:val="24"/>
                <w:szCs w:val="24"/>
              </w:rPr>
            </w:pPr>
          </w:p>
        </w:tc>
        <w:tc>
          <w:tcPr>
            <w:tcW w:w="1950" w:type="dxa"/>
          </w:tcPr>
          <w:p w14:paraId="0A6ED7E3" w14:textId="63298D2D" w:rsidR="00320545" w:rsidRPr="00466430" w:rsidRDefault="00F90134" w:rsidP="00483184">
            <w:pPr>
              <w:pStyle w:val="p1"/>
              <w:rPr>
                <w:rFonts w:ascii="Times New Roman" w:hAnsi="Times New Roman"/>
                <w:sz w:val="24"/>
                <w:szCs w:val="24"/>
              </w:rPr>
            </w:pPr>
            <w:r w:rsidRPr="00466430">
              <w:rPr>
                <w:rFonts w:ascii="Times New Roman" w:hAnsi="Times New Roman"/>
                <w:i/>
                <w:iCs/>
                <w:sz w:val="24"/>
                <w:szCs w:val="24"/>
              </w:rPr>
              <w:t>The Effects of Standard and Modified LSVT BIG Therapy Protocols on Balance and Gait in Parkinson’s Disease: A Randomized Controlled Trial</w:t>
            </w:r>
          </w:p>
        </w:tc>
        <w:tc>
          <w:tcPr>
            <w:tcW w:w="1590" w:type="dxa"/>
          </w:tcPr>
          <w:p w14:paraId="595CD1AA" w14:textId="2C581AEA" w:rsidR="00320545" w:rsidRPr="009712E9" w:rsidRDefault="0097113E" w:rsidP="00483184">
            <w:pPr>
              <w:pStyle w:val="p1"/>
              <w:rPr>
                <w:rFonts w:ascii="Times New Roman" w:hAnsi="Times New Roman"/>
                <w:b/>
                <w:bCs/>
                <w:sz w:val="24"/>
                <w:szCs w:val="24"/>
              </w:rPr>
            </w:pPr>
            <w:r w:rsidRPr="009712E9">
              <w:rPr>
                <w:rFonts w:ascii="Times New Roman" w:hAnsi="Times New Roman"/>
                <w:b/>
                <w:bCs/>
                <w:sz w:val="24"/>
                <w:szCs w:val="24"/>
              </w:rPr>
              <w:t>Brain and Behavior</w:t>
            </w:r>
          </w:p>
        </w:tc>
        <w:tc>
          <w:tcPr>
            <w:tcW w:w="1536" w:type="dxa"/>
          </w:tcPr>
          <w:p w14:paraId="58E45B6C" w14:textId="48467337" w:rsidR="00320545" w:rsidRPr="00466430" w:rsidRDefault="003E64CE" w:rsidP="00483184">
            <w:pPr>
              <w:pStyle w:val="p1"/>
              <w:rPr>
                <w:rFonts w:ascii="Times New Roman" w:hAnsi="Times New Roman"/>
                <w:sz w:val="24"/>
                <w:szCs w:val="24"/>
              </w:rPr>
            </w:pPr>
            <w:r w:rsidRPr="00466430">
              <w:rPr>
                <w:rFonts w:ascii="Times New Roman" w:hAnsi="Times New Roman"/>
                <w:sz w:val="24"/>
                <w:szCs w:val="24"/>
              </w:rPr>
              <w:t>Ensaio clínico randomizado; 16 participantes</w:t>
            </w:r>
          </w:p>
        </w:tc>
        <w:tc>
          <w:tcPr>
            <w:tcW w:w="1969" w:type="dxa"/>
          </w:tcPr>
          <w:p w14:paraId="4B9410F4" w14:textId="12650DB6" w:rsidR="00320545" w:rsidRPr="00466430" w:rsidRDefault="005810EF" w:rsidP="00483184">
            <w:pPr>
              <w:pStyle w:val="p1"/>
              <w:rPr>
                <w:rFonts w:ascii="Times New Roman" w:hAnsi="Times New Roman"/>
                <w:sz w:val="24"/>
                <w:szCs w:val="24"/>
              </w:rPr>
            </w:pPr>
            <w:r w:rsidRPr="00466430">
              <w:rPr>
                <w:rFonts w:ascii="Times New Roman" w:hAnsi="Times New Roman"/>
                <w:sz w:val="24"/>
                <w:szCs w:val="24"/>
              </w:rPr>
              <w:t>Os dois protocolos melhoraram estabilidade postural, velocidade da marcha, sintomas motores e mobilidade funcional; o protocolo padrão apresentou vantagem em algumas medidas.</w:t>
            </w:r>
          </w:p>
        </w:tc>
      </w:tr>
      <w:tr w:rsidR="00320545" w:rsidRPr="00466430" w14:paraId="4F9FBFC5" w14:textId="77777777" w:rsidTr="004F0F2C">
        <w:trPr>
          <w:trHeight w:val="2268"/>
        </w:trPr>
        <w:tc>
          <w:tcPr>
            <w:tcW w:w="1510" w:type="dxa"/>
          </w:tcPr>
          <w:p w14:paraId="03D803BF" w14:textId="77777777" w:rsidR="000E62B9" w:rsidRPr="00466430" w:rsidRDefault="000E62B9" w:rsidP="00483184">
            <w:pPr>
              <w:pStyle w:val="p1"/>
              <w:rPr>
                <w:rFonts w:ascii="Times New Roman" w:hAnsi="Times New Roman"/>
                <w:sz w:val="24"/>
                <w:szCs w:val="24"/>
              </w:rPr>
            </w:pPr>
            <w:r w:rsidRPr="00466430">
              <w:rPr>
                <w:rFonts w:ascii="Times New Roman" w:hAnsi="Times New Roman"/>
                <w:b/>
                <w:bCs/>
                <w:sz w:val="24"/>
                <w:szCs w:val="24"/>
              </w:rPr>
              <w:t>Aytutuldu et al. (2024)</w:t>
            </w:r>
          </w:p>
          <w:p w14:paraId="0537C8B6" w14:textId="77777777" w:rsidR="00320545" w:rsidRPr="00466430" w:rsidRDefault="00320545" w:rsidP="00483184">
            <w:pPr>
              <w:jc w:val="both"/>
              <w:rPr>
                <w:sz w:val="24"/>
                <w:szCs w:val="24"/>
              </w:rPr>
            </w:pPr>
          </w:p>
        </w:tc>
        <w:tc>
          <w:tcPr>
            <w:tcW w:w="1950" w:type="dxa"/>
          </w:tcPr>
          <w:p w14:paraId="481BAF3B" w14:textId="1BD2199C" w:rsidR="00320545" w:rsidRPr="00466430" w:rsidRDefault="008874F0" w:rsidP="00483184">
            <w:pPr>
              <w:pStyle w:val="p1"/>
              <w:rPr>
                <w:rFonts w:ascii="Times New Roman" w:hAnsi="Times New Roman"/>
                <w:sz w:val="24"/>
                <w:szCs w:val="24"/>
              </w:rPr>
            </w:pPr>
            <w:r w:rsidRPr="00466430">
              <w:rPr>
                <w:rFonts w:ascii="Times New Roman" w:hAnsi="Times New Roman"/>
                <w:i/>
                <w:iCs/>
                <w:sz w:val="24"/>
                <w:szCs w:val="24"/>
              </w:rPr>
              <w:t>LSVT® BIG versus Progressive Structured Mobility Training through Synchronous Telerehabilitation in Parkinson’s Disease: A Randomized Controlled Trial</w:t>
            </w:r>
          </w:p>
        </w:tc>
        <w:tc>
          <w:tcPr>
            <w:tcW w:w="1590" w:type="dxa"/>
          </w:tcPr>
          <w:p w14:paraId="44956239" w14:textId="77777777" w:rsidR="000A6141" w:rsidRPr="009712E9" w:rsidRDefault="000A6141" w:rsidP="00483184">
            <w:pPr>
              <w:pStyle w:val="p1"/>
              <w:rPr>
                <w:rFonts w:ascii="Times New Roman" w:hAnsi="Times New Roman"/>
                <w:b/>
                <w:bCs/>
                <w:sz w:val="24"/>
                <w:szCs w:val="24"/>
              </w:rPr>
            </w:pPr>
            <w:r w:rsidRPr="009712E9">
              <w:rPr>
                <w:rFonts w:ascii="Times New Roman" w:hAnsi="Times New Roman"/>
                <w:b/>
                <w:bCs/>
                <w:sz w:val="24"/>
                <w:szCs w:val="24"/>
              </w:rPr>
              <w:t>Neurological Sciences</w:t>
            </w:r>
          </w:p>
          <w:p w14:paraId="691E3E5A" w14:textId="77777777" w:rsidR="00320545" w:rsidRPr="009712E9" w:rsidRDefault="00320545" w:rsidP="00483184">
            <w:pPr>
              <w:jc w:val="both"/>
              <w:rPr>
                <w:b/>
                <w:bCs/>
                <w:sz w:val="24"/>
                <w:szCs w:val="24"/>
              </w:rPr>
            </w:pPr>
          </w:p>
        </w:tc>
        <w:tc>
          <w:tcPr>
            <w:tcW w:w="1536" w:type="dxa"/>
          </w:tcPr>
          <w:p w14:paraId="484AED51" w14:textId="7A1B4EEC" w:rsidR="00320545" w:rsidRPr="00466430" w:rsidRDefault="00C51684" w:rsidP="00483184">
            <w:pPr>
              <w:pStyle w:val="p1"/>
              <w:rPr>
                <w:rFonts w:ascii="Times New Roman" w:hAnsi="Times New Roman"/>
                <w:sz w:val="24"/>
                <w:szCs w:val="24"/>
              </w:rPr>
            </w:pPr>
            <w:r w:rsidRPr="00466430">
              <w:rPr>
                <w:rFonts w:ascii="Times New Roman" w:hAnsi="Times New Roman"/>
                <w:sz w:val="24"/>
                <w:szCs w:val="24"/>
              </w:rPr>
              <w:t>Ensaio clínico randomizado; 32 participantes</w:t>
            </w:r>
          </w:p>
        </w:tc>
        <w:tc>
          <w:tcPr>
            <w:tcW w:w="1969" w:type="dxa"/>
          </w:tcPr>
          <w:p w14:paraId="7D7F2878" w14:textId="599CE98F" w:rsidR="00320545" w:rsidRPr="00466430" w:rsidRDefault="00806EE0" w:rsidP="00483184">
            <w:pPr>
              <w:pStyle w:val="p1"/>
              <w:rPr>
                <w:rFonts w:ascii="Times New Roman" w:hAnsi="Times New Roman"/>
                <w:sz w:val="24"/>
                <w:szCs w:val="24"/>
              </w:rPr>
            </w:pPr>
            <w:r w:rsidRPr="00466430">
              <w:rPr>
                <w:rFonts w:ascii="Times New Roman" w:hAnsi="Times New Roman"/>
                <w:sz w:val="24"/>
                <w:szCs w:val="24"/>
              </w:rPr>
              <w:t xml:space="preserve">Ambos os programas apresentaram efeitos positivos sobre marcha, mobilidade e qualidade de vida, com vantagens do LSVT BIG em determinadas medidas de equilíbrio </w:t>
            </w:r>
            <w:r w:rsidRPr="00466430">
              <w:rPr>
                <w:rFonts w:ascii="Times New Roman" w:hAnsi="Times New Roman"/>
                <w:sz w:val="24"/>
                <w:szCs w:val="24"/>
              </w:rPr>
              <w:lastRenderedPageBreak/>
              <w:t>dinâmico e confiança.</w:t>
            </w:r>
          </w:p>
        </w:tc>
      </w:tr>
      <w:tr w:rsidR="00320545" w:rsidRPr="00466430" w14:paraId="0E75D0A1" w14:textId="77777777" w:rsidTr="004F0F2C">
        <w:trPr>
          <w:trHeight w:val="2268"/>
        </w:trPr>
        <w:tc>
          <w:tcPr>
            <w:tcW w:w="1510" w:type="dxa"/>
          </w:tcPr>
          <w:p w14:paraId="2ECDBE5B" w14:textId="77777777" w:rsidR="00CF49FA" w:rsidRPr="00466430" w:rsidRDefault="00CF49FA" w:rsidP="00483184">
            <w:pPr>
              <w:pStyle w:val="p1"/>
              <w:rPr>
                <w:rFonts w:ascii="Times New Roman" w:hAnsi="Times New Roman"/>
                <w:sz w:val="24"/>
                <w:szCs w:val="24"/>
              </w:rPr>
            </w:pPr>
            <w:r w:rsidRPr="00466430">
              <w:rPr>
                <w:rFonts w:ascii="Times New Roman" w:hAnsi="Times New Roman"/>
                <w:b/>
                <w:bCs/>
                <w:sz w:val="24"/>
                <w:szCs w:val="24"/>
              </w:rPr>
              <w:lastRenderedPageBreak/>
              <w:t>Mak et al. (2024)</w:t>
            </w:r>
          </w:p>
          <w:p w14:paraId="3E8CCC12" w14:textId="77777777" w:rsidR="00320545" w:rsidRPr="00466430" w:rsidRDefault="00320545" w:rsidP="00483184">
            <w:pPr>
              <w:jc w:val="both"/>
              <w:rPr>
                <w:sz w:val="24"/>
                <w:szCs w:val="24"/>
              </w:rPr>
            </w:pPr>
          </w:p>
        </w:tc>
        <w:tc>
          <w:tcPr>
            <w:tcW w:w="1950" w:type="dxa"/>
          </w:tcPr>
          <w:p w14:paraId="3A7DB0C5" w14:textId="0E55BCB9" w:rsidR="00320545" w:rsidRPr="00466430" w:rsidRDefault="00A534D3" w:rsidP="00483184">
            <w:pPr>
              <w:pStyle w:val="p1"/>
              <w:rPr>
                <w:rFonts w:ascii="Times New Roman" w:hAnsi="Times New Roman"/>
                <w:sz w:val="24"/>
                <w:szCs w:val="24"/>
              </w:rPr>
            </w:pPr>
            <w:r w:rsidRPr="00466430">
              <w:rPr>
                <w:rFonts w:ascii="Times New Roman" w:hAnsi="Times New Roman"/>
                <w:i/>
                <w:iCs/>
                <w:sz w:val="24"/>
                <w:szCs w:val="24"/>
              </w:rPr>
              <w:t>Effectiveness of Balance Exercise and Brisk Walking on Alleviating Nonmotor and Motor Symptoms in People With Mild-to-Moderate Parkinson Disease: A Randomized Clinical Trial With 6-Month Follow-up</w:t>
            </w:r>
          </w:p>
        </w:tc>
        <w:tc>
          <w:tcPr>
            <w:tcW w:w="1590" w:type="dxa"/>
          </w:tcPr>
          <w:p w14:paraId="4B64E1B7" w14:textId="77777777" w:rsidR="00994950" w:rsidRPr="009712E9" w:rsidRDefault="00994950" w:rsidP="00483184">
            <w:pPr>
              <w:pStyle w:val="p1"/>
              <w:rPr>
                <w:rFonts w:ascii="Times New Roman" w:hAnsi="Times New Roman"/>
                <w:b/>
                <w:bCs/>
                <w:sz w:val="24"/>
                <w:szCs w:val="24"/>
              </w:rPr>
            </w:pPr>
            <w:r w:rsidRPr="009712E9">
              <w:rPr>
                <w:rFonts w:ascii="Times New Roman" w:hAnsi="Times New Roman"/>
                <w:b/>
                <w:bCs/>
                <w:sz w:val="24"/>
                <w:szCs w:val="24"/>
              </w:rPr>
              <w:t>Archives of Physical Medicine and Rehabilitation</w:t>
            </w:r>
          </w:p>
          <w:p w14:paraId="02F3546E" w14:textId="77777777" w:rsidR="00320545" w:rsidRPr="009712E9" w:rsidRDefault="00320545" w:rsidP="00483184">
            <w:pPr>
              <w:jc w:val="both"/>
              <w:rPr>
                <w:b/>
                <w:bCs/>
                <w:sz w:val="24"/>
                <w:szCs w:val="24"/>
              </w:rPr>
            </w:pPr>
          </w:p>
        </w:tc>
        <w:tc>
          <w:tcPr>
            <w:tcW w:w="1536" w:type="dxa"/>
          </w:tcPr>
          <w:p w14:paraId="76554433" w14:textId="77777777" w:rsidR="00FC2902" w:rsidRPr="00466430" w:rsidRDefault="00FC2902" w:rsidP="00483184">
            <w:pPr>
              <w:pStyle w:val="p1"/>
              <w:rPr>
                <w:rFonts w:ascii="Times New Roman" w:hAnsi="Times New Roman"/>
                <w:sz w:val="24"/>
                <w:szCs w:val="24"/>
              </w:rPr>
            </w:pPr>
            <w:r w:rsidRPr="00466430">
              <w:rPr>
                <w:rFonts w:ascii="Times New Roman" w:hAnsi="Times New Roman"/>
                <w:sz w:val="24"/>
                <w:szCs w:val="24"/>
              </w:rPr>
              <w:t>Ensaio clínico randomizado; 99 participantes</w:t>
            </w:r>
          </w:p>
          <w:p w14:paraId="4BFAB1CA" w14:textId="77777777" w:rsidR="00320545" w:rsidRPr="00466430" w:rsidRDefault="00320545" w:rsidP="00483184">
            <w:pPr>
              <w:jc w:val="both"/>
              <w:rPr>
                <w:sz w:val="24"/>
                <w:szCs w:val="24"/>
              </w:rPr>
            </w:pPr>
          </w:p>
        </w:tc>
        <w:tc>
          <w:tcPr>
            <w:tcW w:w="1969" w:type="dxa"/>
          </w:tcPr>
          <w:p w14:paraId="6B836434" w14:textId="1025C35C" w:rsidR="00320545" w:rsidRPr="00466430" w:rsidRDefault="003A16FF" w:rsidP="00483184">
            <w:pPr>
              <w:pStyle w:val="p1"/>
              <w:rPr>
                <w:rFonts w:ascii="Times New Roman" w:hAnsi="Times New Roman"/>
                <w:sz w:val="24"/>
                <w:szCs w:val="24"/>
              </w:rPr>
            </w:pPr>
            <w:r w:rsidRPr="00466430">
              <w:rPr>
                <w:rFonts w:ascii="Times New Roman" w:hAnsi="Times New Roman"/>
                <w:sz w:val="24"/>
                <w:szCs w:val="24"/>
              </w:rPr>
              <w:t>Foram observadas melhorias no equilíbrio, marcha, capacidade de caminhada e sintomas motores, com manutenção de parte dos benefícios durante o acompanhamento.</w:t>
            </w:r>
          </w:p>
        </w:tc>
      </w:tr>
    </w:tbl>
    <w:p w14:paraId="1355FA54" w14:textId="49536276" w:rsidR="003625FC" w:rsidRPr="00466430" w:rsidRDefault="003625FC" w:rsidP="00483184">
      <w:pPr>
        <w:jc w:val="both"/>
        <w:rPr>
          <w:sz w:val="24"/>
          <w:szCs w:val="24"/>
        </w:rPr>
      </w:pPr>
    </w:p>
    <w:p w14:paraId="7FFB44C3" w14:textId="255E960C" w:rsidR="0037335D" w:rsidRPr="00466430" w:rsidRDefault="0037335D" w:rsidP="00483184">
      <w:pPr>
        <w:spacing w:after="100" w:afterAutospacing="1"/>
        <w:rPr>
          <w:rFonts w:eastAsiaTheme="minorEastAsia"/>
          <w:sz w:val="24"/>
          <w:szCs w:val="24"/>
        </w:rPr>
      </w:pPr>
      <w:r w:rsidRPr="00466430">
        <w:rPr>
          <w:rFonts w:eastAsiaTheme="minorEastAsia"/>
          <w:b/>
          <w:bCs/>
          <w:sz w:val="24"/>
          <w:szCs w:val="24"/>
        </w:rPr>
        <w:t>Fonte:</w:t>
      </w:r>
      <w:r w:rsidRPr="00466430">
        <w:rPr>
          <w:rFonts w:eastAsiaTheme="minorEastAsia"/>
          <w:sz w:val="24"/>
          <w:szCs w:val="24"/>
        </w:rPr>
        <w:t xml:space="preserve"> Elaborado pelos autores com base nos estudos primários selecionados para a revisão integrativa</w:t>
      </w:r>
      <w:r w:rsidR="004678F7">
        <w:rPr>
          <w:rFonts w:eastAsiaTheme="minorEastAsia"/>
          <w:sz w:val="24"/>
          <w:szCs w:val="24"/>
        </w:rPr>
        <w:t xml:space="preserve"> (2026).</w:t>
      </w:r>
    </w:p>
    <w:p w14:paraId="7BD52804" w14:textId="77777777"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A análise dos estudos primários selecionados evidencia que a fisioterapia neurofuncional apresenta efeitos relevantes sobre os déficits motores associados à Doença de Parkinson (DP), especialmente aqueles relacionados à marcha, ao equilíbrio, à mobilidade funcional e ao controle postural. Os trabalhos analisados utilizaram predominantemente delineamentos experimentais e ensaios clínicos randomizados, permitindo comparar diferentes estratégias fisioterapêuticas e seus efeitos sobre a funcionalidade dos indivíduos com DP. Entre as intervenções investigadas destacaram-se o treinamento de equilíbrio, o treino de marcha, exercícios resistidos, treinamento em esteira, estímulos auditivos rítmicos, protocolos LSVT BIG e modalidades de telereabilitação.</w:t>
      </w:r>
    </w:p>
    <w:p w14:paraId="3B6D263A" w14:textId="5C139061" w:rsidR="00283BCF" w:rsidRPr="00BD2342" w:rsidRDefault="00283BCF" w:rsidP="005D543F">
      <w:pPr>
        <w:spacing w:line="360" w:lineRule="auto"/>
        <w:ind w:firstLine="142"/>
        <w:jc w:val="both"/>
        <w:outlineLvl w:val="2"/>
        <w:rPr>
          <w:b/>
          <w:bCs/>
          <w:sz w:val="24"/>
          <w:szCs w:val="24"/>
        </w:rPr>
      </w:pPr>
      <w:r w:rsidRPr="00BD2342">
        <w:rPr>
          <w:b/>
          <w:bCs/>
          <w:sz w:val="24"/>
          <w:szCs w:val="24"/>
        </w:rPr>
        <w:t>4.1 Efeitos da fisioterapia sobre a marcha e o equilíbrio</w:t>
      </w:r>
      <w:r w:rsidR="005D543F">
        <w:rPr>
          <w:b/>
          <w:bCs/>
          <w:sz w:val="24"/>
          <w:szCs w:val="24"/>
        </w:rPr>
        <w:t>.</w:t>
      </w:r>
    </w:p>
    <w:p w14:paraId="656053D0" w14:textId="3BA6409D"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 xml:space="preserve">Os resultados demonstram que programas fisioterapêuticos direcionados especificamente ao equilíbrio e à marcha são capazes de produzir mudanças positivas na funcionalidade de pessoas com DP. Em ensaio clínico randomizado envolvendo 99 indivíduos </w:t>
      </w:r>
      <w:r w:rsidRPr="00BD2342">
        <w:rPr>
          <w:rFonts w:eastAsiaTheme="minorEastAsia"/>
          <w:sz w:val="24"/>
          <w:szCs w:val="24"/>
        </w:rPr>
        <w:lastRenderedPageBreak/>
        <w:t xml:space="preserve">com DP leve a moderada, Mak et al. (2024) compararam um programa composto por exercícios de equilíbrio associados à caminhada rápida com uma intervenção controle. Os participantes submetidos ao programa fisioterapêutico apresentaram melhora no equilíbrio, na velocidade da marcha, na capacidade de caminhada e no desempenho em tarefas de mobilidade, sendo observada ainda manutenção de parte dos benefícios durante o acompanhamento. O resultado é particularmente relevante porque demonstra que a combinação de diferentes componentes do treinamento pode produzir efeitos que permanecem após o período inicial de intervenção. </w:t>
      </w:r>
    </w:p>
    <w:p w14:paraId="3B7C3D1C" w14:textId="057C0237"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A importância do treinamento direcionado à marcha também foi observada por Gaßner et al. (2022), que avaliaram 105 indivíduos com DP submetidos a treinamento em esteira ou fisioterapia individualizada. Após as intervenções, ambos os grupos apresentaram melhora significativa da velocidade da marcha durante tarefas de dupla tarefa, além de melhorias em diferentes parâmetros espaço-temporais da marcha, capacidade de caminhada, desempenho motor e equilíbrio. Entretanto, não foram observadas diferenças significativas que demonstrassem superioridade da esteira em relação à fisioterapia individualizada. Esses resultados sugerem que a utilização de equipamentos específicos pode ser útil, mas não necessariamente substitui a importância de um programa fisioterapêutico individualizado e orientado às necessidades funcionais do paciente.</w:t>
      </w:r>
    </w:p>
    <w:p w14:paraId="28414040" w14:textId="77777777"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A melhora observada durante tarefas de dupla tarefa apresenta importância clínica, uma vez que atividades cotidianas frequentemente exigem que o indivíduo caminhe simultaneamente à realização de outras tarefas cognitivas ou motoras. Dessa maneira, a fisioterapia não deve limitar-se ao treinamento da marcha em condições simples, mas também incorporar situações que reproduzam as demandas funcionais do cotidiano. A melhora da marcha em dupla tarefa observada por Gaßner et al. (2022) reforça a necessidade de intervenções que considerem a interação entre controle motor, equilíbrio e demandas cognitivas.</w:t>
      </w:r>
    </w:p>
    <w:p w14:paraId="6A4AB25C" w14:textId="3D339A80" w:rsidR="00283BCF" w:rsidRPr="00BD2342" w:rsidRDefault="00283BCF" w:rsidP="005D543F">
      <w:pPr>
        <w:spacing w:line="360" w:lineRule="auto"/>
        <w:jc w:val="both"/>
        <w:outlineLvl w:val="2"/>
        <w:rPr>
          <w:b/>
          <w:bCs/>
          <w:sz w:val="24"/>
          <w:szCs w:val="24"/>
        </w:rPr>
      </w:pPr>
      <w:r w:rsidRPr="00BD2342">
        <w:rPr>
          <w:b/>
          <w:bCs/>
          <w:sz w:val="24"/>
          <w:szCs w:val="24"/>
        </w:rPr>
        <w:t>4.2 Treinamento resistido associado à marcha e ao equilíbrio</w:t>
      </w:r>
      <w:r w:rsidR="004678F7">
        <w:rPr>
          <w:b/>
          <w:bCs/>
          <w:sz w:val="24"/>
          <w:szCs w:val="24"/>
        </w:rPr>
        <w:t>.</w:t>
      </w:r>
    </w:p>
    <w:p w14:paraId="4EA96ED4" w14:textId="7041ECF0"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 xml:space="preserve">Outro achado importante da literatura analisada refere-se à associação entre fortalecimento muscular e treinamento específico de marcha ou equilíbrio. Biebl et al. (2022) realizaram um ensaio clínico randomizado piloto com 26 pacientes com DP, comparando treinamento resistido associado ao treino de marcha com treinamento resistido associado ao treino de equilíbrio. Os dois grupos apresentaram melhora no alcance funcional, indicando </w:t>
      </w:r>
      <w:r w:rsidRPr="00BD2342">
        <w:rPr>
          <w:rFonts w:eastAsiaTheme="minorEastAsia"/>
          <w:sz w:val="24"/>
          <w:szCs w:val="24"/>
        </w:rPr>
        <w:lastRenderedPageBreak/>
        <w:t>benefício sobre o equilíbrio. Entretanto, o grupo submetido à combinação de treinamento resistido e marcha apresentou aumento significativo do comprimento da passada, além de melhora em diferentes parâmetros da marcha e na capacidade de caminhada. Por outro lado, o grupo que combinou treinamento resistido e equilíbrio apresentou maior benefício em medidas relacionadas à força de extensão do joelho e ao teste Timed Up and Go.</w:t>
      </w:r>
    </w:p>
    <w:p w14:paraId="550D9B13" w14:textId="77777777"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Esses resultados demonstram que diferentes combinações de exercícios podem produzir efeitos distintos e complementares. Enquanto a associação entre força e treino de marcha parece favorecer principalmente parâmetros relacionados à locomoção, a associação entre força e treinamento de equilíbrio pode produzir maior impacto sobre o controle postural e a capacidade funcional. Dessa forma, os achados apoiam uma abordagem fisioterapêutica multimodal, na qual os exercícios são selecionados de acordo com as limitações predominantes de cada paciente, em vez da utilização de um único método de tratamento.</w:t>
      </w:r>
    </w:p>
    <w:p w14:paraId="0602FC80" w14:textId="3DA50212" w:rsidR="00283BCF" w:rsidRDefault="00283BCF" w:rsidP="00BD2342">
      <w:pPr>
        <w:spacing w:line="360" w:lineRule="auto"/>
        <w:ind w:firstLine="720"/>
        <w:jc w:val="both"/>
        <w:rPr>
          <w:rFonts w:eastAsiaTheme="minorEastAsia"/>
          <w:sz w:val="24"/>
          <w:szCs w:val="24"/>
        </w:rPr>
      </w:pPr>
      <w:r w:rsidRPr="00BD2342">
        <w:rPr>
          <w:rFonts w:eastAsiaTheme="minorEastAsia"/>
          <w:sz w:val="24"/>
          <w:szCs w:val="24"/>
        </w:rPr>
        <w:t>Resultados semelhantes foram encontrados em estudo randomizado que avaliou 74 indivíduos com DP submetidos a diferentes modalidades de treinamento resistido. A intervenção foi estruturada com exercícios utilizando aparelhos de musculação ou pesos livres e faixas elásticas, sendo comparada a um grupo controle. O estudo investigou alterações no controle postural, equilíbrio funcional, desempenho motor e qualidade de vida, demonstrando a relevância do treinamento resistido como componente da reabilitação neurofuncional. Assim, o fortalecimento muscular pode ser compreendido não apenas como estratégia para aumento de força, mas também como recurso complementar para melhorar a estabilidade corporal e a capacidade de realização das atividades funcionais.</w:t>
      </w:r>
    </w:p>
    <w:p w14:paraId="1A3EF691" w14:textId="77777777" w:rsidR="005D543F" w:rsidRPr="00BD2342" w:rsidRDefault="005D543F" w:rsidP="00BD2342">
      <w:pPr>
        <w:spacing w:line="360" w:lineRule="auto"/>
        <w:ind w:firstLine="720"/>
        <w:jc w:val="both"/>
        <w:rPr>
          <w:rFonts w:eastAsiaTheme="minorEastAsia"/>
          <w:sz w:val="24"/>
          <w:szCs w:val="24"/>
        </w:rPr>
      </w:pPr>
    </w:p>
    <w:p w14:paraId="3B9D70C0" w14:textId="5EDF725F" w:rsidR="00283BCF" w:rsidRPr="00BD2342" w:rsidRDefault="00283BCF" w:rsidP="005D543F">
      <w:pPr>
        <w:spacing w:line="360" w:lineRule="auto"/>
        <w:jc w:val="both"/>
        <w:outlineLvl w:val="2"/>
        <w:rPr>
          <w:b/>
          <w:bCs/>
          <w:sz w:val="24"/>
          <w:szCs w:val="24"/>
        </w:rPr>
      </w:pPr>
      <w:r w:rsidRPr="00BD2342">
        <w:rPr>
          <w:b/>
          <w:bCs/>
          <w:sz w:val="24"/>
          <w:szCs w:val="24"/>
        </w:rPr>
        <w:t>4.3 LSVT BIG e estratégias fisioterapêuticas orientadas à funcionalidade</w:t>
      </w:r>
      <w:r w:rsidR="004678F7">
        <w:rPr>
          <w:b/>
          <w:bCs/>
          <w:sz w:val="24"/>
          <w:szCs w:val="24"/>
        </w:rPr>
        <w:t>.</w:t>
      </w:r>
    </w:p>
    <w:p w14:paraId="21FB3CB6" w14:textId="0FF53345"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 xml:space="preserve">Entre as estratégias específicas de fisioterapia analisadas, o protocolo Lee Silverman Voice Treatment BIG (LSVT BIG) apresentou resultados positivos sobre marcha, equilíbrio e mobilidade funcional. Eldemir et al. (2024) realizaram um ensaio clínico randomizado com 16 indivíduos com DP, comparando o protocolo convencional, realizado quatro vezes por semana durante quatro semanas, com uma versão modificada que combinava sessões presenciais e exercícios domiciliares. Ambos os grupos apresentaram melhora da estabilidade postural, velocidade da marcha, sintomas motores e mobilidade funcional. </w:t>
      </w:r>
    </w:p>
    <w:p w14:paraId="554148FC" w14:textId="1D9D6096" w:rsidR="00283BCF" w:rsidRDefault="00283BCF" w:rsidP="00BD2342">
      <w:pPr>
        <w:spacing w:line="360" w:lineRule="auto"/>
        <w:ind w:firstLine="720"/>
        <w:jc w:val="both"/>
        <w:rPr>
          <w:rFonts w:eastAsiaTheme="minorEastAsia"/>
          <w:sz w:val="24"/>
          <w:szCs w:val="24"/>
        </w:rPr>
      </w:pPr>
      <w:r w:rsidRPr="00BD2342">
        <w:rPr>
          <w:rFonts w:eastAsiaTheme="minorEastAsia"/>
          <w:sz w:val="24"/>
          <w:szCs w:val="24"/>
        </w:rPr>
        <w:lastRenderedPageBreak/>
        <w:t>Essa perspectiva também foi observada por Aytutuldu et al. (2024), que compararam o LSVT BIG com um programa estruturado de mobilidade progressiva realizado por telereabilitação síncrona. O estudo incluiu 32 indivíduos com DP e demonstrou que ambos os protocolos produziram melhorias na mobilidade, parâmetros da marcha e qualidade de vida. Entretanto, o grupo submetido ao LSVT BIG apresentou resultados superiores em medidas de equilíbrio dinâmico, confiança para realização de atividades e nível de atividade. Os autores destacam, contudo, que estudos com amostras maiores e metodologia mais robusta são necessários para confirmar a superioridade observada.</w:t>
      </w:r>
    </w:p>
    <w:p w14:paraId="30DF9FFD" w14:textId="77777777" w:rsidR="005D543F" w:rsidRPr="00BD2342" w:rsidRDefault="005D543F" w:rsidP="00BD2342">
      <w:pPr>
        <w:spacing w:line="360" w:lineRule="auto"/>
        <w:ind w:firstLine="720"/>
        <w:jc w:val="both"/>
        <w:rPr>
          <w:rFonts w:eastAsiaTheme="minorEastAsia"/>
          <w:sz w:val="24"/>
          <w:szCs w:val="24"/>
        </w:rPr>
      </w:pPr>
    </w:p>
    <w:p w14:paraId="4499CE74" w14:textId="7FBB013B" w:rsidR="00283BCF" w:rsidRPr="00BD2342" w:rsidRDefault="00283BCF" w:rsidP="005D543F">
      <w:pPr>
        <w:spacing w:line="360" w:lineRule="auto"/>
        <w:jc w:val="both"/>
        <w:outlineLvl w:val="2"/>
        <w:rPr>
          <w:b/>
          <w:bCs/>
          <w:sz w:val="24"/>
          <w:szCs w:val="24"/>
        </w:rPr>
      </w:pPr>
      <w:r w:rsidRPr="00BD2342">
        <w:rPr>
          <w:b/>
          <w:bCs/>
          <w:sz w:val="24"/>
          <w:szCs w:val="24"/>
        </w:rPr>
        <w:t>4.4 Estímulos externos e treinamento do equilíbrio</w:t>
      </w:r>
      <w:r w:rsidR="004678F7">
        <w:rPr>
          <w:b/>
          <w:bCs/>
          <w:sz w:val="24"/>
          <w:szCs w:val="24"/>
        </w:rPr>
        <w:t>.</w:t>
      </w:r>
    </w:p>
    <w:p w14:paraId="5B9208FD" w14:textId="5304949B" w:rsidR="00283BCF" w:rsidRPr="00BD2342" w:rsidRDefault="00283BCF" w:rsidP="00BD2342">
      <w:pPr>
        <w:spacing w:line="360" w:lineRule="auto"/>
        <w:ind w:firstLine="720"/>
        <w:jc w:val="both"/>
        <w:rPr>
          <w:rFonts w:eastAsiaTheme="minorEastAsia"/>
          <w:sz w:val="24"/>
          <w:szCs w:val="24"/>
        </w:rPr>
      </w:pPr>
      <w:r w:rsidRPr="00BD2342">
        <w:rPr>
          <w:rFonts w:eastAsiaTheme="minorEastAsia"/>
          <w:sz w:val="24"/>
          <w:szCs w:val="24"/>
        </w:rPr>
        <w:t>Os estímulos externos também demonstraram potencial para ampliar os efeitos do treinamento fisioterapêutico. Capato et al. (2020), em ensaio clínico randomizado com 154 participantes, compararam treinamento multimodal de equilíbrio com e sem estímulos auditivos rítmicos. Os dois grupos submetidos ao treinamento ativo apresentaram melhora do equilíbrio em comparação ao grupo controle. Entretanto, o grupo que recebeu estímulos auditivos rítmicos apresentou melhora mais expressiva e sustentada, mantendo os benefícios até seis meses após a intervenção.</w:t>
      </w:r>
    </w:p>
    <w:p w14:paraId="60EC69E4" w14:textId="27340147" w:rsidR="002765D1" w:rsidRDefault="00283BCF" w:rsidP="009B7D8C">
      <w:pPr>
        <w:spacing w:line="360" w:lineRule="auto"/>
        <w:ind w:firstLine="720"/>
        <w:jc w:val="both"/>
        <w:rPr>
          <w:rFonts w:eastAsiaTheme="minorEastAsia"/>
          <w:sz w:val="24"/>
          <w:szCs w:val="24"/>
        </w:rPr>
      </w:pPr>
      <w:r w:rsidRPr="00BD2342">
        <w:rPr>
          <w:rFonts w:eastAsiaTheme="minorEastAsia"/>
          <w:sz w:val="24"/>
          <w:szCs w:val="24"/>
        </w:rPr>
        <w:t>A utilização de estímulos auditivos pode ser particularmente relevante na DP porque alterações no processamento e na execução dos movimentos podem comprometer a regularidade e a organização da marcha. O uso de pistas rítmicas oferece uma referência externa capaz de auxiliar a organização temporal do movimento. Os resultados encontrados por Capato et al. (2020) sugerem, portanto, que estratégias de estimulação externa podem ser incorporadas ao treinamento convencional, principalmente quando o objetivo é melhorar o controle postural e a execução de movimentos funcionais.</w:t>
      </w:r>
    </w:p>
    <w:p w14:paraId="56BCB957" w14:textId="77777777" w:rsidR="009B7D8C" w:rsidRPr="00BD2342" w:rsidRDefault="009B7D8C" w:rsidP="009B7D8C">
      <w:pPr>
        <w:spacing w:line="360" w:lineRule="auto"/>
        <w:ind w:firstLine="720"/>
        <w:jc w:val="both"/>
        <w:rPr>
          <w:rFonts w:eastAsiaTheme="minorEastAsia"/>
          <w:sz w:val="24"/>
          <w:szCs w:val="24"/>
        </w:rPr>
      </w:pPr>
    </w:p>
    <w:p w14:paraId="65967FB5" w14:textId="77777777" w:rsidR="00913518" w:rsidRDefault="00D02588" w:rsidP="00913518">
      <w:pPr>
        <w:spacing w:line="360" w:lineRule="auto"/>
        <w:jc w:val="both"/>
        <w:rPr>
          <w:b/>
          <w:bCs/>
          <w:sz w:val="24"/>
          <w:szCs w:val="24"/>
        </w:rPr>
      </w:pPr>
      <w:r w:rsidRPr="00E55841">
        <w:rPr>
          <w:b/>
          <w:bCs/>
          <w:sz w:val="24"/>
          <w:szCs w:val="24"/>
        </w:rPr>
        <w:t>5 CONSIDERAÇÕES FINAIS</w:t>
      </w:r>
    </w:p>
    <w:p w14:paraId="4599A8F6" w14:textId="5826DA6D" w:rsidR="00D22E0E" w:rsidRPr="00913518" w:rsidRDefault="00D22E0E" w:rsidP="004678F7">
      <w:pPr>
        <w:spacing w:line="360" w:lineRule="auto"/>
        <w:ind w:firstLine="709"/>
        <w:jc w:val="both"/>
        <w:rPr>
          <w:b/>
          <w:bCs/>
          <w:sz w:val="24"/>
          <w:szCs w:val="24"/>
        </w:rPr>
      </w:pPr>
      <w:r w:rsidRPr="00AD728F">
        <w:rPr>
          <w:sz w:val="24"/>
          <w:szCs w:val="24"/>
        </w:rPr>
        <w:t xml:space="preserve">A partir da análise da literatura desenvolvida neste estudo, torna-se evidente que a atuação fisioterapêutica na Doença de Parkinson transcende a abordagem mecânica do movimento humano, assumindo uma função integrativa, humanizadora e multidimensional. É importante ressaltar ainda que além de ajudar a devolver a autonomia, o profissional de fisioterapia também mostra o lado humano e ajuda na promoção e aceitabilidade do tratamento </w:t>
      </w:r>
      <w:r w:rsidRPr="00AD728F">
        <w:rPr>
          <w:sz w:val="24"/>
          <w:szCs w:val="24"/>
        </w:rPr>
        <w:lastRenderedPageBreak/>
        <w:t>para esses pacientes, demonstrando empatia e paciência e o ajudando a se sentir motivado em cada pequena conquista.</w:t>
      </w:r>
    </w:p>
    <w:p w14:paraId="39C68D0E" w14:textId="1E0DBC15" w:rsidR="00D22E0E" w:rsidRPr="00AD728F" w:rsidRDefault="00D22E0E" w:rsidP="00AD728F">
      <w:pPr>
        <w:spacing w:line="360" w:lineRule="auto"/>
        <w:ind w:firstLine="708"/>
        <w:jc w:val="both"/>
        <w:rPr>
          <w:sz w:val="24"/>
          <w:szCs w:val="24"/>
        </w:rPr>
      </w:pPr>
      <w:r w:rsidRPr="00AD728F">
        <w:rPr>
          <w:sz w:val="24"/>
          <w:szCs w:val="24"/>
        </w:rPr>
        <w:t xml:space="preserve">Reforça-se, portanto, a importância de adotar uma abordagem centrada na pessoa, conforme preconizado pela Organização Mundial da Saúde (WHO, 2021), na qual o paciente é reconhecido como sujeito ativo no processo de cuidado e protagonista das decisões que envolvem os cuidados com a própria saúde. </w:t>
      </w:r>
    </w:p>
    <w:p w14:paraId="111E2EA0" w14:textId="4629B442" w:rsidR="00D22E0E" w:rsidRPr="00AD728F" w:rsidRDefault="00D22E0E" w:rsidP="00AD728F">
      <w:pPr>
        <w:spacing w:line="360" w:lineRule="auto"/>
        <w:ind w:firstLine="708"/>
        <w:jc w:val="both"/>
        <w:rPr>
          <w:sz w:val="24"/>
          <w:szCs w:val="24"/>
        </w:rPr>
      </w:pPr>
      <w:r w:rsidRPr="00AD728F">
        <w:rPr>
          <w:sz w:val="24"/>
          <w:szCs w:val="24"/>
        </w:rPr>
        <w:t xml:space="preserve">Por fim, este trabalho recomenda o aprofundamento das pesquisas clínicas que avaliem os efeitos a longo prazo das diversas intervenções fisioterapêuticas, bem como a sistematização e padronização de protocolos terapêuticos baseados em evidências, que possam ser aplicados de forma ampla e acessível nos serviços públicos e privados de saúde, além da promoção do profissional de fisioterapia no tratamento desses pacientes. </w:t>
      </w:r>
    </w:p>
    <w:p w14:paraId="4DEF701D" w14:textId="77777777" w:rsidR="00D22E0E" w:rsidRPr="00AD728F" w:rsidRDefault="00D22E0E" w:rsidP="00AD728F">
      <w:pPr>
        <w:spacing w:line="360" w:lineRule="auto"/>
        <w:ind w:firstLine="708"/>
        <w:jc w:val="both"/>
        <w:rPr>
          <w:sz w:val="24"/>
          <w:szCs w:val="24"/>
        </w:rPr>
      </w:pPr>
    </w:p>
    <w:p w14:paraId="75ACE704" w14:textId="77777777" w:rsidR="00D22E0E" w:rsidRPr="001742E5" w:rsidRDefault="00D22E0E" w:rsidP="00AD728F">
      <w:pPr>
        <w:spacing w:line="360" w:lineRule="auto"/>
        <w:jc w:val="center"/>
        <w:rPr>
          <w:rFonts w:eastAsiaTheme="minorHAnsi"/>
          <w:b/>
          <w:bCs/>
          <w:kern w:val="2"/>
          <w:sz w:val="24"/>
          <w:szCs w:val="24"/>
          <w:lang w:eastAsia="en-US"/>
          <w14:ligatures w14:val="standardContextual"/>
        </w:rPr>
      </w:pPr>
      <w:r w:rsidRPr="001742E5">
        <w:rPr>
          <w:rFonts w:eastAsiaTheme="minorHAnsi"/>
          <w:b/>
          <w:bCs/>
          <w:kern w:val="2"/>
          <w:sz w:val="24"/>
          <w:szCs w:val="24"/>
          <w:lang w:eastAsia="en-US"/>
          <w14:ligatures w14:val="standardContextual"/>
        </w:rPr>
        <w:t>REFERÊNCIAS</w:t>
      </w:r>
    </w:p>
    <w:p w14:paraId="6490A9BC" w14:textId="4694D0DA"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AYTUTULDU, G. K.; ERSOZ HUSEYINSINOGLU, B.; KARAGOZ SAKALLI, N.; SEN, A.; YELDAN, I. LSVT® BIG versus progressive structured mobility training through synchronous telerehabilitation in Parkinson’s disease: a randomized controlled trial. </w:t>
      </w:r>
      <w:r w:rsidRPr="006526B6">
        <w:rPr>
          <w:rFonts w:eastAsiaTheme="minorEastAsia"/>
          <w:b/>
          <w:bCs/>
          <w:i/>
          <w:iCs/>
          <w:color w:val="000000" w:themeColor="text1"/>
          <w:sz w:val="24"/>
          <w:szCs w:val="24"/>
        </w:rPr>
        <w:t>Neurological Sciences</w:t>
      </w:r>
      <w:r w:rsidRPr="009D282C">
        <w:rPr>
          <w:rFonts w:eastAsiaTheme="minorEastAsia"/>
          <w:color w:val="000000" w:themeColor="text1"/>
          <w:sz w:val="24"/>
          <w:szCs w:val="24"/>
        </w:rPr>
        <w:t>, v. 45, n. 7, p. 3163–3172, 2024. DOI: 10.1007/s10072-024-07322-0. Disponível em: https://doi.org/10.1007/s10072-024-07322-0. Acesso em: 8 set. 2026.</w:t>
      </w:r>
    </w:p>
    <w:p w14:paraId="1CCC6D3D" w14:textId="1F885668"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BARROS, K. A.; FERNANDES, R. M.; OLIVEIRA, C. M. de. Abordagem fisioterapêutica na doença de Parkinson: uma revisão integrativa. </w:t>
      </w:r>
      <w:r w:rsidRPr="006526B6">
        <w:rPr>
          <w:rFonts w:eastAsiaTheme="minorEastAsia"/>
          <w:b/>
          <w:bCs/>
          <w:i/>
          <w:iCs/>
          <w:color w:val="000000" w:themeColor="text1"/>
          <w:sz w:val="24"/>
          <w:szCs w:val="24"/>
        </w:rPr>
        <w:t>Revista Eletrônica Acervo Saúde</w:t>
      </w:r>
      <w:r w:rsidRPr="009D282C">
        <w:rPr>
          <w:rFonts w:eastAsiaTheme="minorEastAsia"/>
          <w:color w:val="000000" w:themeColor="text1"/>
          <w:sz w:val="24"/>
          <w:szCs w:val="24"/>
        </w:rPr>
        <w:t xml:space="preserve">, v. 13, n. 6, p. e7794, 2021. Disponível em: https://acervomais.com.br/index.php/saude/article/view/7794. Acesso em: </w:t>
      </w:r>
      <w:r w:rsidR="00B9572B">
        <w:rPr>
          <w:rFonts w:eastAsiaTheme="minorEastAsia"/>
          <w:color w:val="000000" w:themeColor="text1"/>
          <w:sz w:val="24"/>
          <w:szCs w:val="24"/>
        </w:rPr>
        <w:t>1</w:t>
      </w:r>
      <w:r w:rsidRPr="009D282C">
        <w:rPr>
          <w:rFonts w:eastAsiaTheme="minorEastAsia"/>
          <w:color w:val="000000" w:themeColor="text1"/>
          <w:sz w:val="24"/>
          <w:szCs w:val="24"/>
        </w:rPr>
        <w:t xml:space="preserve"> set. 2026.</w:t>
      </w:r>
    </w:p>
    <w:p w14:paraId="69876BC3" w14:textId="6B23043B"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BIEBL, J. T.; AZQUETA-GAVALDON, M.; WANIA, C.; ZETTL, O.; WOICZINSKI, M.; BAUER, L.; STORZ, C.; BÖTZEL, K.; KRAFT, E. Resistance training combined with balance or gait training for patients with Parkinson’s disease: a randomized controlled pilot study. </w:t>
      </w:r>
      <w:r w:rsidRPr="006526B6">
        <w:rPr>
          <w:rFonts w:eastAsiaTheme="minorEastAsia"/>
          <w:b/>
          <w:bCs/>
          <w:i/>
          <w:iCs/>
          <w:color w:val="000000" w:themeColor="text1"/>
          <w:sz w:val="24"/>
          <w:szCs w:val="24"/>
        </w:rPr>
        <w:t>Parkinson’s Disease</w:t>
      </w:r>
      <w:r w:rsidRPr="006526B6">
        <w:rPr>
          <w:rFonts w:eastAsiaTheme="minorEastAsia"/>
          <w:b/>
          <w:bCs/>
          <w:color w:val="000000" w:themeColor="text1"/>
          <w:sz w:val="24"/>
          <w:szCs w:val="24"/>
        </w:rPr>
        <w:t>,</w:t>
      </w:r>
      <w:r w:rsidRPr="009D282C">
        <w:rPr>
          <w:rFonts w:eastAsiaTheme="minorEastAsia"/>
          <w:color w:val="000000" w:themeColor="text1"/>
          <w:sz w:val="24"/>
          <w:szCs w:val="24"/>
        </w:rPr>
        <w:t xml:space="preserve"> v. 2022, p. 9574516, 2022. DOI: 10.1155/2022/9574516. Disponível em: https://doi.org/10.1155/2022/9574516. Acesso em: </w:t>
      </w:r>
      <w:r w:rsidR="00B9572B">
        <w:rPr>
          <w:rFonts w:eastAsiaTheme="minorEastAsia"/>
          <w:color w:val="000000" w:themeColor="text1"/>
          <w:sz w:val="24"/>
          <w:szCs w:val="24"/>
        </w:rPr>
        <w:t>23 de ago</w:t>
      </w:r>
      <w:r w:rsidRPr="009D282C">
        <w:rPr>
          <w:rFonts w:eastAsiaTheme="minorEastAsia"/>
          <w:color w:val="000000" w:themeColor="text1"/>
          <w:sz w:val="24"/>
          <w:szCs w:val="24"/>
        </w:rPr>
        <w:t>. 2026.</w:t>
      </w:r>
    </w:p>
    <w:p w14:paraId="0B3E174C" w14:textId="1A144C18"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CAPATO, T. T. C.; DE VRIES, N. M.; INTHOUT, J.; BARBOSA, E. R.; NONNEKES, J.; BLOEM, B. R. Multimodal balance training supported by rhythmical auditory stimuli in Parkinson’s disease: a randomized clinical trial. </w:t>
      </w:r>
      <w:r w:rsidRPr="00421E14">
        <w:rPr>
          <w:rFonts w:eastAsiaTheme="minorEastAsia"/>
          <w:b/>
          <w:bCs/>
          <w:color w:val="000000" w:themeColor="text1"/>
          <w:sz w:val="24"/>
          <w:szCs w:val="24"/>
        </w:rPr>
        <w:t>Journal of Parkinson’s Disease</w:t>
      </w:r>
      <w:r w:rsidRPr="009D282C">
        <w:rPr>
          <w:rFonts w:eastAsiaTheme="minorEastAsia"/>
          <w:color w:val="000000" w:themeColor="text1"/>
          <w:sz w:val="24"/>
          <w:szCs w:val="24"/>
        </w:rPr>
        <w:t xml:space="preserve">, v. 10, n. 1, p. 333–346, 2020. DOI: 10.3233/JPD-191752. Disponível em: https://doi.org/10.3233/JPD-191752. Acesso em: </w:t>
      </w:r>
      <w:r w:rsidR="009A5923">
        <w:rPr>
          <w:rFonts w:eastAsiaTheme="minorEastAsia"/>
          <w:color w:val="000000" w:themeColor="text1"/>
          <w:sz w:val="24"/>
          <w:szCs w:val="24"/>
        </w:rPr>
        <w:t>1</w:t>
      </w:r>
      <w:r w:rsidRPr="009D282C">
        <w:rPr>
          <w:rFonts w:eastAsiaTheme="minorEastAsia"/>
          <w:color w:val="000000" w:themeColor="text1"/>
          <w:sz w:val="24"/>
          <w:szCs w:val="24"/>
        </w:rPr>
        <w:t xml:space="preserve"> set. 2026.</w:t>
      </w:r>
    </w:p>
    <w:p w14:paraId="681070F6" w14:textId="77777777"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COSTA, T. R.; LIMA, L. J. Efeitos de um programa de exercícios na marcha e equilíbrio de idosos com Doença de Parkinson. </w:t>
      </w:r>
      <w:r w:rsidRPr="003D7D49">
        <w:rPr>
          <w:rFonts w:eastAsiaTheme="minorEastAsia"/>
          <w:b/>
          <w:bCs/>
          <w:i/>
          <w:iCs/>
          <w:color w:val="000000" w:themeColor="text1"/>
          <w:sz w:val="24"/>
          <w:szCs w:val="24"/>
        </w:rPr>
        <w:t>Revista Brasileira de Geriatria e Gerontologia</w:t>
      </w:r>
      <w:r w:rsidRPr="003D7D49">
        <w:rPr>
          <w:rFonts w:eastAsiaTheme="minorEastAsia"/>
          <w:b/>
          <w:bCs/>
          <w:color w:val="000000" w:themeColor="text1"/>
          <w:sz w:val="24"/>
          <w:szCs w:val="24"/>
        </w:rPr>
        <w:t>,</w:t>
      </w:r>
      <w:r w:rsidRPr="009D282C">
        <w:rPr>
          <w:rFonts w:eastAsiaTheme="minorEastAsia"/>
          <w:color w:val="000000" w:themeColor="text1"/>
          <w:sz w:val="24"/>
          <w:szCs w:val="24"/>
        </w:rPr>
        <w:t xml:space="preserve"> Rio de Janeiro, v. 26, n. 1, p. 1–10, 2023. DOI: 10.1590/1981-22562023026.1.</w:t>
      </w:r>
    </w:p>
    <w:p w14:paraId="59CA699A" w14:textId="4501EDB7"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lastRenderedPageBreak/>
        <w:t xml:space="preserve">ELDEMIR, S.; ELDEMIR, K.; SAYGILI, F.; OZKUL, C.; YILMAZ, R.; AKBOSTANCI, M. C.; GUCLU-GUNDUZ, A. The effects of standard and modified LSVT BIG therapy protocols on balance and gait in Parkinson’s disease: a randomized controlled trial. </w:t>
      </w:r>
      <w:r w:rsidRPr="003D7D49">
        <w:rPr>
          <w:rFonts w:eastAsiaTheme="minorEastAsia"/>
          <w:b/>
          <w:bCs/>
          <w:i/>
          <w:iCs/>
          <w:color w:val="000000" w:themeColor="text1"/>
          <w:sz w:val="24"/>
          <w:szCs w:val="24"/>
        </w:rPr>
        <w:t>Brain and Behavior</w:t>
      </w:r>
      <w:r w:rsidRPr="003D7D49">
        <w:rPr>
          <w:rFonts w:eastAsiaTheme="minorEastAsia"/>
          <w:b/>
          <w:bCs/>
          <w:color w:val="000000" w:themeColor="text1"/>
          <w:sz w:val="24"/>
          <w:szCs w:val="24"/>
        </w:rPr>
        <w:t>,</w:t>
      </w:r>
      <w:r w:rsidRPr="009D282C">
        <w:rPr>
          <w:rFonts w:eastAsiaTheme="minorEastAsia"/>
          <w:color w:val="000000" w:themeColor="text1"/>
          <w:sz w:val="24"/>
          <w:szCs w:val="24"/>
        </w:rPr>
        <w:t xml:space="preserve"> v. 14, n. 3, e3458, 2024. DOI: 10.1002/brb3.3458. Disponível em: https://doi.org/10.1002/brb3.3458. Acesso em: 8 set. 2026.</w:t>
      </w:r>
    </w:p>
    <w:p w14:paraId="454229CA" w14:textId="77777777"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FERREIRA, C. P.; ANDRADE, T. R.; MENEZES, A. P. Revisão dos aspectos clínicos da doença de Parkinson. </w:t>
      </w:r>
      <w:r w:rsidRPr="003D7D49">
        <w:rPr>
          <w:rFonts w:eastAsiaTheme="minorEastAsia"/>
          <w:b/>
          <w:bCs/>
          <w:i/>
          <w:iCs/>
          <w:color w:val="000000" w:themeColor="text1"/>
          <w:sz w:val="24"/>
          <w:szCs w:val="24"/>
        </w:rPr>
        <w:t>Revista Ciências em Saúde</w:t>
      </w:r>
      <w:r w:rsidRPr="009D282C">
        <w:rPr>
          <w:rFonts w:eastAsiaTheme="minorEastAsia"/>
          <w:color w:val="000000" w:themeColor="text1"/>
          <w:sz w:val="24"/>
          <w:szCs w:val="24"/>
        </w:rPr>
        <w:t>, v. 11, n. 2, p. 58–65, 2021.</w:t>
      </w:r>
    </w:p>
    <w:p w14:paraId="1649F2FE" w14:textId="1B3FAAF8"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GAßNER, H.; TRUTT, E.; SEIFFERTH, S.; FRIEDRICH, J.; ZUCKER, D.; SALHANI, Z.; ADLER, W.; WINKLER, J.; JOST, W. H. Treadmill training and physiotherapy similarly improve dual task gait performance: a randomized-controlled trial in Parkinson’s disease. </w:t>
      </w:r>
      <w:r w:rsidRPr="003D7D49">
        <w:rPr>
          <w:rFonts w:eastAsiaTheme="minorEastAsia"/>
          <w:b/>
          <w:bCs/>
          <w:i/>
          <w:iCs/>
          <w:color w:val="000000" w:themeColor="text1"/>
          <w:sz w:val="24"/>
          <w:szCs w:val="24"/>
        </w:rPr>
        <w:t>Journal of Neural Transmission</w:t>
      </w:r>
      <w:r w:rsidRPr="009D282C">
        <w:rPr>
          <w:rFonts w:eastAsiaTheme="minorEastAsia"/>
          <w:color w:val="000000" w:themeColor="text1"/>
          <w:sz w:val="24"/>
          <w:szCs w:val="24"/>
        </w:rPr>
        <w:t>, v. 129, n. 9, p. 1189–1200, 2022. DOI: 10.1007/s00702-022-02514-4. Disponível em: https://doi.org/10.1007/s00702-022-02514-4. Acesso em: 8 set. 2026.</w:t>
      </w:r>
    </w:p>
    <w:p w14:paraId="2DFBAE20" w14:textId="7803D391"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MAK, M. K. Y.; WONG-YU, I. S. K.; CHEUNG, R. T. H.; HO, S. L. Effectiveness of balance exercise and brisk walking on alleviating nonmotor and motor symptoms in people with mild-to-moderate Parkinson disease: a randomized clinical trial with 6-month follow-up. </w:t>
      </w:r>
      <w:r w:rsidRPr="00A53C44">
        <w:rPr>
          <w:rFonts w:eastAsiaTheme="minorEastAsia"/>
          <w:b/>
          <w:bCs/>
          <w:i/>
          <w:iCs/>
          <w:color w:val="000000" w:themeColor="text1"/>
          <w:sz w:val="24"/>
          <w:szCs w:val="24"/>
        </w:rPr>
        <w:t>Archives of Physical Medicine and Rehabilitation</w:t>
      </w:r>
      <w:r w:rsidRPr="009D282C">
        <w:rPr>
          <w:rFonts w:eastAsiaTheme="minorEastAsia"/>
          <w:color w:val="000000" w:themeColor="text1"/>
          <w:sz w:val="24"/>
          <w:szCs w:val="24"/>
        </w:rPr>
        <w:t xml:space="preserve">, v. 105, n. 10, p. 1890–1899, 2024. DOI: 10.1016/j.apmr.2024.05.031. Disponível em: https://doi.org/10.1016/j.apmr.2024.05.031. Acesso em: </w:t>
      </w:r>
      <w:r w:rsidR="009A5923">
        <w:rPr>
          <w:rFonts w:eastAsiaTheme="minorEastAsia"/>
          <w:color w:val="000000" w:themeColor="text1"/>
          <w:sz w:val="24"/>
          <w:szCs w:val="24"/>
        </w:rPr>
        <w:t>13 de ago</w:t>
      </w:r>
      <w:r w:rsidRPr="009D282C">
        <w:rPr>
          <w:rFonts w:eastAsiaTheme="minorEastAsia"/>
          <w:color w:val="000000" w:themeColor="text1"/>
          <w:sz w:val="24"/>
          <w:szCs w:val="24"/>
        </w:rPr>
        <w:t>. 2026.</w:t>
      </w:r>
    </w:p>
    <w:p w14:paraId="2B53CFC7" w14:textId="77777777"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MENDES, L. B.; OLIVEIRA, A. M. Sintomas não motores da doença de Parkinson: implicações para a reabilitação. </w:t>
      </w:r>
      <w:r w:rsidRPr="00A53C44">
        <w:rPr>
          <w:rFonts w:eastAsiaTheme="minorEastAsia"/>
          <w:b/>
          <w:bCs/>
          <w:i/>
          <w:iCs/>
          <w:color w:val="000000" w:themeColor="text1"/>
          <w:sz w:val="24"/>
          <w:szCs w:val="24"/>
        </w:rPr>
        <w:t>Revista Científica da Faculdade de Medicina de Jundiaí</w:t>
      </w:r>
      <w:r w:rsidRPr="009D282C">
        <w:rPr>
          <w:rFonts w:eastAsiaTheme="minorEastAsia"/>
          <w:color w:val="000000" w:themeColor="text1"/>
          <w:sz w:val="24"/>
          <w:szCs w:val="24"/>
        </w:rPr>
        <w:t>, v. 6, n. 1, p. 23–30, 2022. Disponível em: https://revistamedicajundiai.com.br/2022/06. Acesso em: 8 set. 2026.</w:t>
      </w:r>
    </w:p>
    <w:p w14:paraId="4956CA14" w14:textId="77777777"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NASCIMENTO, A. L.; SILVA, J. M.; OLIVEIRA, R. P. Reabilitação fisioterapêutica na doença de Parkinson: uma abordagem centrada no paciente. </w:t>
      </w:r>
      <w:r w:rsidRPr="00A53C44">
        <w:rPr>
          <w:rFonts w:eastAsiaTheme="minorEastAsia"/>
          <w:b/>
          <w:bCs/>
          <w:i/>
          <w:iCs/>
          <w:color w:val="000000" w:themeColor="text1"/>
          <w:sz w:val="24"/>
          <w:szCs w:val="24"/>
        </w:rPr>
        <w:t>Revista Brasileira de Neurologia e Psiquiatria</w:t>
      </w:r>
      <w:r w:rsidRPr="00A53C44">
        <w:rPr>
          <w:rFonts w:eastAsiaTheme="minorEastAsia"/>
          <w:b/>
          <w:bCs/>
          <w:color w:val="000000" w:themeColor="text1"/>
          <w:sz w:val="24"/>
          <w:szCs w:val="24"/>
        </w:rPr>
        <w:t>,</w:t>
      </w:r>
      <w:r w:rsidRPr="009D282C">
        <w:rPr>
          <w:rFonts w:eastAsiaTheme="minorEastAsia"/>
          <w:color w:val="000000" w:themeColor="text1"/>
          <w:sz w:val="24"/>
          <w:szCs w:val="24"/>
        </w:rPr>
        <w:t xml:space="preserve"> v. 29, n. 3, p. 47–53, 2021. Disponível em: https://revneuropsiq.com.br/2021/artigo29. Acesso em: 8 set. 2026.</w:t>
      </w:r>
    </w:p>
    <w:p w14:paraId="2193315E" w14:textId="77777777"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SILVA, L. M. et al. Fisioterapia e envelhecimento: atuação no controle dos déficits motores da doença de Parkinson. </w:t>
      </w:r>
      <w:r w:rsidRPr="00B63A59">
        <w:rPr>
          <w:rFonts w:eastAsiaTheme="minorEastAsia"/>
          <w:b/>
          <w:bCs/>
          <w:i/>
          <w:iCs/>
          <w:color w:val="000000" w:themeColor="text1"/>
          <w:sz w:val="24"/>
          <w:szCs w:val="24"/>
        </w:rPr>
        <w:t>Revista Saúde e Movimento</w:t>
      </w:r>
      <w:r w:rsidRPr="00B63A59">
        <w:rPr>
          <w:rFonts w:eastAsiaTheme="minorEastAsia"/>
          <w:b/>
          <w:bCs/>
          <w:color w:val="000000" w:themeColor="text1"/>
          <w:sz w:val="24"/>
          <w:szCs w:val="24"/>
        </w:rPr>
        <w:t>,</w:t>
      </w:r>
      <w:r w:rsidRPr="009D282C">
        <w:rPr>
          <w:rFonts w:eastAsiaTheme="minorEastAsia"/>
          <w:color w:val="000000" w:themeColor="text1"/>
          <w:sz w:val="24"/>
          <w:szCs w:val="24"/>
        </w:rPr>
        <w:t xml:space="preserve"> v. 17, n. 2, p. 112–118, 2021.</w:t>
      </w:r>
    </w:p>
    <w:p w14:paraId="26D99D4B" w14:textId="77777777" w:rsidR="00234795"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SILVA, L. A.; ANDRADE, F. F. Intervenções fisioterapêuticas para equilíbrio e prevenção de quedas em idosos com Parkinson. </w:t>
      </w:r>
      <w:r w:rsidRPr="00B63A59">
        <w:rPr>
          <w:rFonts w:eastAsiaTheme="minorEastAsia"/>
          <w:b/>
          <w:bCs/>
          <w:i/>
          <w:iCs/>
          <w:color w:val="000000" w:themeColor="text1"/>
          <w:sz w:val="24"/>
          <w:szCs w:val="24"/>
        </w:rPr>
        <w:t>Revista Saúde e Desenvolvimento</w:t>
      </w:r>
      <w:r w:rsidRPr="00B63A59">
        <w:rPr>
          <w:rFonts w:eastAsiaTheme="minorEastAsia"/>
          <w:b/>
          <w:bCs/>
          <w:color w:val="000000" w:themeColor="text1"/>
          <w:sz w:val="24"/>
          <w:szCs w:val="24"/>
        </w:rPr>
        <w:t>,</w:t>
      </w:r>
      <w:r w:rsidRPr="009D282C">
        <w:rPr>
          <w:rFonts w:eastAsiaTheme="minorEastAsia"/>
          <w:color w:val="000000" w:themeColor="text1"/>
          <w:sz w:val="24"/>
          <w:szCs w:val="24"/>
        </w:rPr>
        <w:t xml:space="preserve"> v. 16, n. 9, p. 55–63, 2022. Disponível em: https://revistasaude.fmr.edu.br/index.php/sd/article/view/1549. Acesso em: 8 set. 2026.</w:t>
      </w:r>
    </w:p>
    <w:p w14:paraId="3B80C2CF" w14:textId="13F9B1C0" w:rsidR="006C5B5C" w:rsidRPr="009D282C" w:rsidRDefault="00234795" w:rsidP="009D282C">
      <w:pPr>
        <w:spacing w:after="240"/>
        <w:rPr>
          <w:rFonts w:eastAsiaTheme="minorEastAsia"/>
          <w:color w:val="000000" w:themeColor="text1"/>
          <w:sz w:val="24"/>
          <w:szCs w:val="24"/>
        </w:rPr>
      </w:pPr>
      <w:r w:rsidRPr="009D282C">
        <w:rPr>
          <w:rFonts w:eastAsiaTheme="minorEastAsia"/>
          <w:color w:val="000000" w:themeColor="text1"/>
          <w:sz w:val="24"/>
          <w:szCs w:val="24"/>
        </w:rPr>
        <w:t xml:space="preserve">WORLD HEALTH ORGANIZATION (WHO). Parkinson disease: key facts. </w:t>
      </w:r>
      <w:r w:rsidRPr="00B63A59">
        <w:rPr>
          <w:rFonts w:eastAsiaTheme="minorEastAsia"/>
          <w:b/>
          <w:bCs/>
          <w:color w:val="000000" w:themeColor="text1"/>
          <w:sz w:val="24"/>
          <w:szCs w:val="24"/>
        </w:rPr>
        <w:t>Geneva: World Health Organization</w:t>
      </w:r>
      <w:r w:rsidRPr="009D282C">
        <w:rPr>
          <w:rFonts w:eastAsiaTheme="minorEastAsia"/>
          <w:color w:val="000000" w:themeColor="text1"/>
          <w:sz w:val="24"/>
          <w:szCs w:val="24"/>
        </w:rPr>
        <w:t xml:space="preserve">, 2023. Disponível em: https://www.who.int/news-room/fact-sheets/detail/parkinson-disease. Acesso em: </w:t>
      </w:r>
      <w:r w:rsidR="002F44CC">
        <w:rPr>
          <w:rFonts w:eastAsiaTheme="minorEastAsia"/>
          <w:color w:val="000000" w:themeColor="text1"/>
          <w:sz w:val="24"/>
          <w:szCs w:val="24"/>
        </w:rPr>
        <w:t>1</w:t>
      </w:r>
      <w:r w:rsidRPr="009D282C">
        <w:rPr>
          <w:rFonts w:eastAsiaTheme="minorEastAsia"/>
          <w:color w:val="000000" w:themeColor="text1"/>
          <w:sz w:val="24"/>
          <w:szCs w:val="24"/>
        </w:rPr>
        <w:t xml:space="preserve"> set. 2026.</w:t>
      </w:r>
    </w:p>
    <w:sectPr w:rsidR="006C5B5C" w:rsidRPr="009D282C" w:rsidSect="000E6B2B">
      <w:headerReference w:type="default" r:id="rId7"/>
      <w:footerReference w:type="default" r:id="rId8"/>
      <w:pgSz w:w="11906" w:h="16840"/>
      <w:pgMar w:top="2268"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E9FD4" w14:textId="77777777" w:rsidR="003965C0" w:rsidRDefault="003965C0">
      <w:r>
        <w:separator/>
      </w:r>
    </w:p>
  </w:endnote>
  <w:endnote w:type="continuationSeparator" w:id="0">
    <w:p w14:paraId="24378016" w14:textId="77777777" w:rsidR="003965C0" w:rsidRDefault="00396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DFDE77A-375B-4AC4-86D2-3176683944FD}"/>
  </w:font>
  <w:font w:name=".AppleSystemUIFont">
    <w:altName w:val="Cambria"/>
    <w:charset w:val="00"/>
    <w:family w:val="roman"/>
    <w:pitch w:val="default"/>
  </w:font>
  <w:font w:name="UICTFontTextStyleBody">
    <w:altName w:val="Cambria"/>
    <w:charset w:val="00"/>
    <w:family w:val="roman"/>
    <w:pitch w:val="default"/>
  </w:font>
  <w:font w:name="UICTFontTextStyleEmphasizedBody">
    <w:altName w:val="Cambria"/>
    <w:charset w:val="00"/>
    <w:family w:val="roman"/>
    <w:pitch w:val="default"/>
  </w:font>
  <w:font w:name="Cambria">
    <w:panose1 w:val="02040503050406030204"/>
    <w:charset w:val="00"/>
    <w:family w:val="roman"/>
    <w:pitch w:val="variable"/>
    <w:sig w:usb0="E00006FF" w:usb1="420024FF" w:usb2="02000000" w:usb3="00000000" w:csb0="0000019F" w:csb1="00000000"/>
    <w:embedRegular r:id="rId2" w:fontKey="{D8EAF9EA-1D4B-4D0F-A73E-375D671BBE92}"/>
    <w:embedBold r:id="rId3" w:fontKey="{BFCAC9A8-72B5-4F25-ADE3-5E36E06A0EE2}"/>
  </w:font>
  <w:font w:name="Calibri">
    <w:panose1 w:val="020F0502020204030204"/>
    <w:charset w:val="00"/>
    <w:family w:val="swiss"/>
    <w:pitch w:val="variable"/>
    <w:sig w:usb0="E4002EFF" w:usb1="C200247B" w:usb2="00000009" w:usb3="00000000" w:csb0="000001FF" w:csb1="00000000"/>
    <w:embedRegular r:id="rId4" w:fontKey="{296D7FBF-34D3-4095-9778-8D35F360C9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2AE9" w14:textId="77777777" w:rsidR="006C5B5C" w:rsidRDefault="00D02588">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8241" behindDoc="1" locked="0" layoutInCell="1" hidden="0" allowOverlap="1" wp14:anchorId="22BE30A3" wp14:editId="755C9BED">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703EDF25" w14:textId="77777777" w:rsidR="006C5B5C" w:rsidRDefault="006C5B5C">
    <w:pPr>
      <w:pBdr>
        <w:top w:val="nil"/>
        <w:left w:val="nil"/>
        <w:bottom w:val="nil"/>
        <w:right w:val="nil"/>
        <w:between w:val="nil"/>
      </w:pBdr>
      <w:tabs>
        <w:tab w:val="center" w:pos="4252"/>
        <w:tab w:val="right" w:pos="8504"/>
      </w:tabs>
      <w:ind w:hanging="1418"/>
      <w:rPr>
        <w:color w:val="000000"/>
      </w:rPr>
    </w:pPr>
  </w:p>
  <w:p w14:paraId="3703789E" w14:textId="77777777" w:rsidR="006C5B5C" w:rsidRDefault="006C5B5C">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23327" w14:textId="77777777" w:rsidR="003965C0" w:rsidRDefault="003965C0">
      <w:r>
        <w:separator/>
      </w:r>
    </w:p>
  </w:footnote>
  <w:footnote w:type="continuationSeparator" w:id="0">
    <w:p w14:paraId="6EEC84A7" w14:textId="77777777" w:rsidR="003965C0" w:rsidRDefault="00396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986E" w14:textId="77777777" w:rsidR="006C5B5C" w:rsidRDefault="00D02588">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23513B1A" wp14:editId="7E55201F">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4D0"/>
    <w:multiLevelType w:val="multilevel"/>
    <w:tmpl w:val="FFFFFFFF"/>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494CC3"/>
    <w:multiLevelType w:val="multilevel"/>
    <w:tmpl w:val="FFFFFFFF"/>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E84EDE"/>
    <w:multiLevelType w:val="multilevel"/>
    <w:tmpl w:val="FFFFFFFF"/>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8568696">
    <w:abstractNumId w:val="0"/>
  </w:num>
  <w:num w:numId="2" w16cid:durableId="1889758288">
    <w:abstractNumId w:val="2"/>
  </w:num>
  <w:num w:numId="3" w16cid:durableId="160389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B5C"/>
    <w:rsid w:val="00000177"/>
    <w:rsid w:val="00001A57"/>
    <w:rsid w:val="0000220A"/>
    <w:rsid w:val="00005B2E"/>
    <w:rsid w:val="00015241"/>
    <w:rsid w:val="00032636"/>
    <w:rsid w:val="00071B31"/>
    <w:rsid w:val="0007445C"/>
    <w:rsid w:val="00076077"/>
    <w:rsid w:val="000A6141"/>
    <w:rsid w:val="000B1E68"/>
    <w:rsid w:val="000B541F"/>
    <w:rsid w:val="000C473B"/>
    <w:rsid w:val="000D4641"/>
    <w:rsid w:val="000E0B9D"/>
    <w:rsid w:val="000E62B9"/>
    <w:rsid w:val="000E6B2B"/>
    <w:rsid w:val="000F11F5"/>
    <w:rsid w:val="000F389C"/>
    <w:rsid w:val="00100C8D"/>
    <w:rsid w:val="00106B91"/>
    <w:rsid w:val="00126C33"/>
    <w:rsid w:val="00130E1E"/>
    <w:rsid w:val="00137BC5"/>
    <w:rsid w:val="00141916"/>
    <w:rsid w:val="00144F86"/>
    <w:rsid w:val="001547FE"/>
    <w:rsid w:val="001742E5"/>
    <w:rsid w:val="001768D5"/>
    <w:rsid w:val="00180226"/>
    <w:rsid w:val="00196158"/>
    <w:rsid w:val="00197F57"/>
    <w:rsid w:val="001A3EC3"/>
    <w:rsid w:val="001C5F9D"/>
    <w:rsid w:val="001E6BAD"/>
    <w:rsid w:val="00200FE2"/>
    <w:rsid w:val="00210ECB"/>
    <w:rsid w:val="00234795"/>
    <w:rsid w:val="00246329"/>
    <w:rsid w:val="00253842"/>
    <w:rsid w:val="0025750E"/>
    <w:rsid w:val="00257F4F"/>
    <w:rsid w:val="002633D5"/>
    <w:rsid w:val="0027311C"/>
    <w:rsid w:val="002765D1"/>
    <w:rsid w:val="00276A80"/>
    <w:rsid w:val="00280E7B"/>
    <w:rsid w:val="002811D1"/>
    <w:rsid w:val="002823AC"/>
    <w:rsid w:val="00283BCF"/>
    <w:rsid w:val="00291762"/>
    <w:rsid w:val="002943B6"/>
    <w:rsid w:val="002A513D"/>
    <w:rsid w:val="002B22C4"/>
    <w:rsid w:val="002D5BF8"/>
    <w:rsid w:val="002E39B6"/>
    <w:rsid w:val="002F0A66"/>
    <w:rsid w:val="002F44CC"/>
    <w:rsid w:val="002F758D"/>
    <w:rsid w:val="00304286"/>
    <w:rsid w:val="00320545"/>
    <w:rsid w:val="003244BB"/>
    <w:rsid w:val="0033683D"/>
    <w:rsid w:val="0035472A"/>
    <w:rsid w:val="0035601F"/>
    <w:rsid w:val="003625FC"/>
    <w:rsid w:val="0037335D"/>
    <w:rsid w:val="00376476"/>
    <w:rsid w:val="00394010"/>
    <w:rsid w:val="003965C0"/>
    <w:rsid w:val="00396D97"/>
    <w:rsid w:val="003A0079"/>
    <w:rsid w:val="003A16FF"/>
    <w:rsid w:val="003A276C"/>
    <w:rsid w:val="003A493D"/>
    <w:rsid w:val="003A6E8C"/>
    <w:rsid w:val="003B1853"/>
    <w:rsid w:val="003B606E"/>
    <w:rsid w:val="003C0C32"/>
    <w:rsid w:val="003C299D"/>
    <w:rsid w:val="003C4D04"/>
    <w:rsid w:val="003D7D49"/>
    <w:rsid w:val="003E0724"/>
    <w:rsid w:val="003E64CE"/>
    <w:rsid w:val="003E6D58"/>
    <w:rsid w:val="0040037E"/>
    <w:rsid w:val="00421E14"/>
    <w:rsid w:val="00442765"/>
    <w:rsid w:val="0044755F"/>
    <w:rsid w:val="0045175B"/>
    <w:rsid w:val="00466430"/>
    <w:rsid w:val="004668B2"/>
    <w:rsid w:val="004678F7"/>
    <w:rsid w:val="00483184"/>
    <w:rsid w:val="00483AD8"/>
    <w:rsid w:val="004A0F86"/>
    <w:rsid w:val="004A6BFB"/>
    <w:rsid w:val="004F0F2C"/>
    <w:rsid w:val="004F1013"/>
    <w:rsid w:val="00500645"/>
    <w:rsid w:val="00501D6B"/>
    <w:rsid w:val="00506A9E"/>
    <w:rsid w:val="005127BD"/>
    <w:rsid w:val="005329D5"/>
    <w:rsid w:val="00532EFE"/>
    <w:rsid w:val="00536C10"/>
    <w:rsid w:val="00537434"/>
    <w:rsid w:val="0054422D"/>
    <w:rsid w:val="00546027"/>
    <w:rsid w:val="0055610F"/>
    <w:rsid w:val="00566EDD"/>
    <w:rsid w:val="005710F7"/>
    <w:rsid w:val="005765AA"/>
    <w:rsid w:val="005810EF"/>
    <w:rsid w:val="00582EED"/>
    <w:rsid w:val="005B574F"/>
    <w:rsid w:val="005B64D1"/>
    <w:rsid w:val="005C76CD"/>
    <w:rsid w:val="005D543F"/>
    <w:rsid w:val="005E4016"/>
    <w:rsid w:val="005F5AC4"/>
    <w:rsid w:val="006013D3"/>
    <w:rsid w:val="00603012"/>
    <w:rsid w:val="00605BFC"/>
    <w:rsid w:val="00620A4A"/>
    <w:rsid w:val="00634112"/>
    <w:rsid w:val="00641822"/>
    <w:rsid w:val="0064408C"/>
    <w:rsid w:val="006504C2"/>
    <w:rsid w:val="006526B6"/>
    <w:rsid w:val="00660A44"/>
    <w:rsid w:val="00692DA4"/>
    <w:rsid w:val="006A5510"/>
    <w:rsid w:val="006C1EAC"/>
    <w:rsid w:val="006C5B5C"/>
    <w:rsid w:val="006C5DD4"/>
    <w:rsid w:val="006E74B1"/>
    <w:rsid w:val="006F1C81"/>
    <w:rsid w:val="00701D28"/>
    <w:rsid w:val="00703424"/>
    <w:rsid w:val="007235EE"/>
    <w:rsid w:val="00724FE3"/>
    <w:rsid w:val="00727949"/>
    <w:rsid w:val="007356F6"/>
    <w:rsid w:val="00745818"/>
    <w:rsid w:val="007466FE"/>
    <w:rsid w:val="00754E9F"/>
    <w:rsid w:val="007559A8"/>
    <w:rsid w:val="007625A2"/>
    <w:rsid w:val="0076575C"/>
    <w:rsid w:val="00765B55"/>
    <w:rsid w:val="007734DE"/>
    <w:rsid w:val="00783506"/>
    <w:rsid w:val="00792DC2"/>
    <w:rsid w:val="00793A12"/>
    <w:rsid w:val="007C15E8"/>
    <w:rsid w:val="007D1718"/>
    <w:rsid w:val="007E018A"/>
    <w:rsid w:val="007E4EDF"/>
    <w:rsid w:val="007E746F"/>
    <w:rsid w:val="007F1EA2"/>
    <w:rsid w:val="00800EB9"/>
    <w:rsid w:val="00805C98"/>
    <w:rsid w:val="00806EE0"/>
    <w:rsid w:val="00816818"/>
    <w:rsid w:val="00816AF9"/>
    <w:rsid w:val="00820EAB"/>
    <w:rsid w:val="00827507"/>
    <w:rsid w:val="00836523"/>
    <w:rsid w:val="00852100"/>
    <w:rsid w:val="00861F42"/>
    <w:rsid w:val="00862E3B"/>
    <w:rsid w:val="00882621"/>
    <w:rsid w:val="008874F0"/>
    <w:rsid w:val="008925E4"/>
    <w:rsid w:val="008A0451"/>
    <w:rsid w:val="008A419B"/>
    <w:rsid w:val="008A45E7"/>
    <w:rsid w:val="008A75E8"/>
    <w:rsid w:val="008B6E82"/>
    <w:rsid w:val="008E61D0"/>
    <w:rsid w:val="00913518"/>
    <w:rsid w:val="00914178"/>
    <w:rsid w:val="0092293C"/>
    <w:rsid w:val="00923392"/>
    <w:rsid w:val="0092471C"/>
    <w:rsid w:val="00940832"/>
    <w:rsid w:val="009435F5"/>
    <w:rsid w:val="00964EE6"/>
    <w:rsid w:val="00967C70"/>
    <w:rsid w:val="0097113E"/>
    <w:rsid w:val="009712E9"/>
    <w:rsid w:val="00975912"/>
    <w:rsid w:val="00983096"/>
    <w:rsid w:val="009907D3"/>
    <w:rsid w:val="00994950"/>
    <w:rsid w:val="00995D56"/>
    <w:rsid w:val="00996BD7"/>
    <w:rsid w:val="009A5923"/>
    <w:rsid w:val="009B710C"/>
    <w:rsid w:val="009B7D8C"/>
    <w:rsid w:val="009D282C"/>
    <w:rsid w:val="009D2C31"/>
    <w:rsid w:val="009E09F1"/>
    <w:rsid w:val="009E7FB5"/>
    <w:rsid w:val="009F3F4E"/>
    <w:rsid w:val="00A02663"/>
    <w:rsid w:val="00A02ABA"/>
    <w:rsid w:val="00A103F8"/>
    <w:rsid w:val="00A12B50"/>
    <w:rsid w:val="00A24F54"/>
    <w:rsid w:val="00A25086"/>
    <w:rsid w:val="00A259B3"/>
    <w:rsid w:val="00A33FBD"/>
    <w:rsid w:val="00A47996"/>
    <w:rsid w:val="00A47A64"/>
    <w:rsid w:val="00A534D3"/>
    <w:rsid w:val="00A53C44"/>
    <w:rsid w:val="00A91777"/>
    <w:rsid w:val="00A95C3A"/>
    <w:rsid w:val="00AA76E7"/>
    <w:rsid w:val="00AC67AF"/>
    <w:rsid w:val="00AD327E"/>
    <w:rsid w:val="00AD387E"/>
    <w:rsid w:val="00AD728F"/>
    <w:rsid w:val="00AE7EC2"/>
    <w:rsid w:val="00AF1EC8"/>
    <w:rsid w:val="00B03987"/>
    <w:rsid w:val="00B13315"/>
    <w:rsid w:val="00B31672"/>
    <w:rsid w:val="00B448B6"/>
    <w:rsid w:val="00B53982"/>
    <w:rsid w:val="00B539EB"/>
    <w:rsid w:val="00B54B27"/>
    <w:rsid w:val="00B63A59"/>
    <w:rsid w:val="00B779C2"/>
    <w:rsid w:val="00B83CEB"/>
    <w:rsid w:val="00B865A0"/>
    <w:rsid w:val="00B925A9"/>
    <w:rsid w:val="00B9572B"/>
    <w:rsid w:val="00BA5C12"/>
    <w:rsid w:val="00BD1364"/>
    <w:rsid w:val="00BD2342"/>
    <w:rsid w:val="00BD62E1"/>
    <w:rsid w:val="00BE7DF8"/>
    <w:rsid w:val="00C14B2D"/>
    <w:rsid w:val="00C256E3"/>
    <w:rsid w:val="00C34FD4"/>
    <w:rsid w:val="00C445C5"/>
    <w:rsid w:val="00C453EB"/>
    <w:rsid w:val="00C50BCB"/>
    <w:rsid w:val="00C51684"/>
    <w:rsid w:val="00C74232"/>
    <w:rsid w:val="00C77710"/>
    <w:rsid w:val="00C86CBC"/>
    <w:rsid w:val="00C90758"/>
    <w:rsid w:val="00C97861"/>
    <w:rsid w:val="00CB0D8A"/>
    <w:rsid w:val="00CC6324"/>
    <w:rsid w:val="00CC77FA"/>
    <w:rsid w:val="00CD04CD"/>
    <w:rsid w:val="00CE21EB"/>
    <w:rsid w:val="00CE2AB3"/>
    <w:rsid w:val="00CE2DFA"/>
    <w:rsid w:val="00CF49FA"/>
    <w:rsid w:val="00D00D7A"/>
    <w:rsid w:val="00D02588"/>
    <w:rsid w:val="00D10485"/>
    <w:rsid w:val="00D12D5A"/>
    <w:rsid w:val="00D15336"/>
    <w:rsid w:val="00D178DD"/>
    <w:rsid w:val="00D22E0E"/>
    <w:rsid w:val="00D334AD"/>
    <w:rsid w:val="00D34121"/>
    <w:rsid w:val="00D400A8"/>
    <w:rsid w:val="00D61D77"/>
    <w:rsid w:val="00D919E5"/>
    <w:rsid w:val="00D96959"/>
    <w:rsid w:val="00DA6078"/>
    <w:rsid w:val="00DC53E9"/>
    <w:rsid w:val="00DE3871"/>
    <w:rsid w:val="00DE66C5"/>
    <w:rsid w:val="00E104D9"/>
    <w:rsid w:val="00E130EE"/>
    <w:rsid w:val="00E21E0B"/>
    <w:rsid w:val="00E421E9"/>
    <w:rsid w:val="00E55841"/>
    <w:rsid w:val="00E55F78"/>
    <w:rsid w:val="00E64515"/>
    <w:rsid w:val="00E71ED2"/>
    <w:rsid w:val="00E75F2D"/>
    <w:rsid w:val="00EA35A3"/>
    <w:rsid w:val="00EF01A5"/>
    <w:rsid w:val="00EF384F"/>
    <w:rsid w:val="00F027D9"/>
    <w:rsid w:val="00F14DD6"/>
    <w:rsid w:val="00F1699D"/>
    <w:rsid w:val="00F2570D"/>
    <w:rsid w:val="00F27A8C"/>
    <w:rsid w:val="00F36086"/>
    <w:rsid w:val="00F505AE"/>
    <w:rsid w:val="00F612BF"/>
    <w:rsid w:val="00F63D11"/>
    <w:rsid w:val="00F80ADB"/>
    <w:rsid w:val="00F8769E"/>
    <w:rsid w:val="00F90134"/>
    <w:rsid w:val="00F95D30"/>
    <w:rsid w:val="00FA2CDE"/>
    <w:rsid w:val="00FA7B43"/>
    <w:rsid w:val="00FB0FAF"/>
    <w:rsid w:val="00FC2902"/>
    <w:rsid w:val="00FC5FD3"/>
    <w:rsid w:val="00FE2D94"/>
    <w:rsid w:val="00FE4B83"/>
    <w:rsid w:val="00FF38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E0E7"/>
  <w15:docId w15:val="{87D1356C-5D1D-854B-98DA-9261A152D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link w:val="Ttulo3Char"/>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p1">
    <w:name w:val="p1"/>
    <w:basedOn w:val="Normal"/>
    <w:rsid w:val="00EA35A3"/>
    <w:rPr>
      <w:rFonts w:ascii=".AppleSystemUIFont" w:eastAsiaTheme="minorEastAsia" w:hAnsi=".AppleSystemUIFont"/>
      <w:sz w:val="26"/>
      <w:szCs w:val="26"/>
    </w:rPr>
  </w:style>
  <w:style w:type="paragraph" w:customStyle="1" w:styleId="p2">
    <w:name w:val="p2"/>
    <w:basedOn w:val="Normal"/>
    <w:rsid w:val="00EA35A3"/>
    <w:rPr>
      <w:rFonts w:ascii=".AppleSystemUIFont" w:eastAsiaTheme="minorEastAsia" w:hAnsi=".AppleSystemUIFont"/>
      <w:sz w:val="26"/>
      <w:szCs w:val="26"/>
    </w:rPr>
  </w:style>
  <w:style w:type="character" w:customStyle="1" w:styleId="s1">
    <w:name w:val="s1"/>
    <w:basedOn w:val="Fontepargpadro"/>
    <w:rsid w:val="00EA35A3"/>
    <w:rPr>
      <w:rFonts w:ascii="UICTFontTextStyleBody" w:hAnsi="UICTFontTextStyleBody" w:hint="default"/>
      <w:b w:val="0"/>
      <w:bCs w:val="0"/>
      <w:i w:val="0"/>
      <w:iCs w:val="0"/>
      <w:sz w:val="26"/>
      <w:szCs w:val="26"/>
    </w:rPr>
  </w:style>
  <w:style w:type="character" w:customStyle="1" w:styleId="s2">
    <w:name w:val="s2"/>
    <w:basedOn w:val="Fontepargpadro"/>
    <w:rsid w:val="00EA35A3"/>
    <w:rPr>
      <w:rFonts w:ascii="UICTFontTextStyleEmphasizedBody" w:hAnsi="UICTFontTextStyleEmphasizedBody" w:hint="default"/>
      <w:b/>
      <w:bCs/>
      <w:i w:val="0"/>
      <w:iCs w:val="0"/>
      <w:sz w:val="26"/>
      <w:szCs w:val="26"/>
    </w:rPr>
  </w:style>
  <w:style w:type="character" w:customStyle="1" w:styleId="apple-converted-space">
    <w:name w:val="apple-converted-space"/>
    <w:basedOn w:val="Fontepargpadro"/>
    <w:rsid w:val="00EA35A3"/>
  </w:style>
  <w:style w:type="character" w:styleId="Hyperlink">
    <w:name w:val="Hyperlink"/>
    <w:basedOn w:val="Fontepargpadro"/>
    <w:uiPriority w:val="99"/>
    <w:unhideWhenUsed/>
    <w:rsid w:val="00EA35A3"/>
    <w:rPr>
      <w:color w:val="0000FF"/>
      <w:u w:val="single"/>
    </w:rPr>
  </w:style>
  <w:style w:type="character" w:customStyle="1" w:styleId="Ttulo1Char">
    <w:name w:val="Título 1 Char"/>
    <w:basedOn w:val="Fontepargpadro"/>
    <w:link w:val="Ttulo1"/>
    <w:uiPriority w:val="9"/>
    <w:rsid w:val="00745818"/>
    <w:rPr>
      <w:b/>
      <w:bCs/>
      <w:sz w:val="48"/>
      <w:szCs w:val="48"/>
    </w:rPr>
  </w:style>
  <w:style w:type="paragraph" w:customStyle="1" w:styleId="p3">
    <w:name w:val="p3"/>
    <w:basedOn w:val="Normal"/>
    <w:rsid w:val="00745818"/>
    <w:pPr>
      <w:spacing w:before="100" w:beforeAutospacing="1" w:after="100" w:afterAutospacing="1"/>
    </w:pPr>
    <w:rPr>
      <w:rFonts w:eastAsiaTheme="minorEastAsia"/>
      <w:sz w:val="24"/>
      <w:szCs w:val="24"/>
    </w:rPr>
  </w:style>
  <w:style w:type="paragraph" w:styleId="Cabealho">
    <w:name w:val="header"/>
    <w:basedOn w:val="Normal"/>
    <w:link w:val="CabealhoChar"/>
    <w:uiPriority w:val="99"/>
    <w:unhideWhenUsed/>
    <w:rsid w:val="00BE7DF8"/>
    <w:pPr>
      <w:tabs>
        <w:tab w:val="center" w:pos="4252"/>
        <w:tab w:val="right" w:pos="8504"/>
      </w:tabs>
    </w:pPr>
  </w:style>
  <w:style w:type="character" w:customStyle="1" w:styleId="CabealhoChar">
    <w:name w:val="Cabeçalho Char"/>
    <w:basedOn w:val="Fontepargpadro"/>
    <w:link w:val="Cabealho"/>
    <w:uiPriority w:val="99"/>
    <w:rsid w:val="00BE7DF8"/>
  </w:style>
  <w:style w:type="paragraph" w:styleId="Rodap">
    <w:name w:val="footer"/>
    <w:basedOn w:val="Normal"/>
    <w:link w:val="RodapChar"/>
    <w:uiPriority w:val="99"/>
    <w:unhideWhenUsed/>
    <w:rsid w:val="00BE7DF8"/>
    <w:pPr>
      <w:tabs>
        <w:tab w:val="center" w:pos="4252"/>
        <w:tab w:val="right" w:pos="8504"/>
      </w:tabs>
    </w:pPr>
  </w:style>
  <w:style w:type="character" w:customStyle="1" w:styleId="RodapChar">
    <w:name w:val="Rodapé Char"/>
    <w:basedOn w:val="Fontepargpadro"/>
    <w:link w:val="Rodap"/>
    <w:uiPriority w:val="99"/>
    <w:rsid w:val="00BE7DF8"/>
  </w:style>
  <w:style w:type="paragraph" w:styleId="Textodenotaderodap">
    <w:name w:val="footnote text"/>
    <w:basedOn w:val="Normal"/>
    <w:link w:val="TextodenotaderodapChar"/>
    <w:uiPriority w:val="99"/>
    <w:semiHidden/>
    <w:unhideWhenUsed/>
    <w:rsid w:val="005329D5"/>
    <w:rPr>
      <w:sz w:val="20"/>
      <w:szCs w:val="20"/>
    </w:rPr>
  </w:style>
  <w:style w:type="character" w:customStyle="1" w:styleId="TextodenotaderodapChar">
    <w:name w:val="Texto de nota de rodapé Char"/>
    <w:basedOn w:val="Fontepargpadro"/>
    <w:link w:val="Textodenotaderodap"/>
    <w:uiPriority w:val="99"/>
    <w:semiHidden/>
    <w:rsid w:val="005329D5"/>
    <w:rPr>
      <w:sz w:val="20"/>
      <w:szCs w:val="20"/>
    </w:rPr>
  </w:style>
  <w:style w:type="character" w:styleId="Refdenotaderodap">
    <w:name w:val="footnote reference"/>
    <w:basedOn w:val="Fontepargpadro"/>
    <w:uiPriority w:val="99"/>
    <w:semiHidden/>
    <w:unhideWhenUsed/>
    <w:rsid w:val="005329D5"/>
    <w:rPr>
      <w:vertAlign w:val="superscript"/>
    </w:rPr>
  </w:style>
  <w:style w:type="table" w:styleId="Tabelacomgrade">
    <w:name w:val="Table Grid"/>
    <w:basedOn w:val="Tabelanormal"/>
    <w:uiPriority w:val="39"/>
    <w:rsid w:val="000E6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66EDD"/>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customStyle="1" w:styleId="s3">
    <w:name w:val="s3"/>
    <w:basedOn w:val="Fontepargpadro"/>
    <w:rsid w:val="00566EDD"/>
  </w:style>
  <w:style w:type="paragraph" w:styleId="NormalWeb">
    <w:name w:val="Normal (Web)"/>
    <w:basedOn w:val="Normal"/>
    <w:uiPriority w:val="99"/>
    <w:unhideWhenUsed/>
    <w:rsid w:val="00D22E0E"/>
    <w:pPr>
      <w:spacing w:before="100" w:beforeAutospacing="1" w:after="100" w:afterAutospacing="1"/>
    </w:pPr>
    <w:rPr>
      <w:sz w:val="24"/>
      <w:szCs w:val="24"/>
    </w:rPr>
  </w:style>
  <w:style w:type="character" w:customStyle="1" w:styleId="Ttulo3Char">
    <w:name w:val="Título 3 Char"/>
    <w:basedOn w:val="Fontepargpadro"/>
    <w:link w:val="Ttulo3"/>
    <w:uiPriority w:val="9"/>
    <w:rsid w:val="00283BCF"/>
    <w:rPr>
      <w:b/>
      <w:bCs/>
      <w:sz w:val="28"/>
      <w:szCs w:val="28"/>
    </w:rPr>
  </w:style>
  <w:style w:type="paragraph" w:customStyle="1" w:styleId="p4">
    <w:name w:val="p4"/>
    <w:basedOn w:val="Normal"/>
    <w:rsid w:val="00234795"/>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1364</TotalTime>
  <Pages>11</Pages>
  <Words>3721</Words>
  <Characters>20098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Leilla Sales</cp:lastModifiedBy>
  <cp:revision>9</cp:revision>
  <cp:lastPrinted>2026-09-02T16:41:00Z</cp:lastPrinted>
  <dcterms:created xsi:type="dcterms:W3CDTF">2026-09-08T19:05:00Z</dcterms:created>
  <dcterms:modified xsi:type="dcterms:W3CDTF">2026-09-11T16:10:00Z</dcterms:modified>
</cp:coreProperties>
</file>