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50931" w14:textId="77777777" w:rsidR="00ED76C7" w:rsidRDefault="00ED76C7" w:rsidP="00673E83">
      <w:pPr>
        <w:spacing w:after="0" w:line="360" w:lineRule="auto"/>
        <w:ind w:firstLine="851"/>
        <w:jc w:val="both"/>
        <w:rPr>
          <w:rFonts w:ascii="Candara" w:hAnsi="Candara" w:cs="Times New Roman"/>
          <w:b/>
          <w:bCs/>
          <w:sz w:val="36"/>
          <w:szCs w:val="36"/>
        </w:rPr>
      </w:pPr>
      <w:r w:rsidRPr="00ED76C7">
        <w:rPr>
          <w:rFonts w:ascii="Candara" w:hAnsi="Candara" w:cs="Times New Roman"/>
          <w:b/>
          <w:bCs/>
          <w:sz w:val="36"/>
          <w:szCs w:val="36"/>
        </w:rPr>
        <w:t>AS PRÁTICAS CONSORCIAIS COMO ALTERNATIVA INDUTORA PARA O DESENVOLVIMENTO REGIONAL</w:t>
      </w:r>
    </w:p>
    <w:p w14:paraId="6F179F8E" w14:textId="77777777" w:rsidR="003C1D20" w:rsidRPr="003C1D20" w:rsidRDefault="003C1D20" w:rsidP="00826A6B">
      <w:pPr>
        <w:spacing w:after="0" w:line="240" w:lineRule="auto"/>
        <w:jc w:val="both"/>
        <w:rPr>
          <w:rFonts w:ascii="Candara" w:hAnsi="Candara" w:cs="Times New Roman"/>
        </w:rPr>
      </w:pPr>
    </w:p>
    <w:p w14:paraId="4785D57C" w14:textId="6D4FB620" w:rsidR="005B483D" w:rsidRDefault="00046C3C" w:rsidP="00CC5AA2">
      <w:pPr>
        <w:spacing w:after="0" w:line="240" w:lineRule="auto"/>
        <w:jc w:val="right"/>
        <w:rPr>
          <w:rFonts w:ascii="Candara" w:eastAsia="Candara" w:hAnsi="Candara" w:cs="Candara"/>
          <w:b/>
        </w:rPr>
      </w:pPr>
      <w:r>
        <w:rPr>
          <w:rFonts w:ascii="Candara" w:eastAsia="Candara" w:hAnsi="Candara" w:cs="Candara"/>
          <w:b/>
        </w:rPr>
        <w:t>Rosangela dos Santos Alves Pequeno</w:t>
      </w:r>
      <w:r w:rsidR="00CE7EE5">
        <w:rPr>
          <w:rFonts w:ascii="Candara" w:eastAsia="Candara" w:hAnsi="Candara" w:cs="Candara"/>
          <w:b/>
          <w:vertAlign w:val="superscript"/>
        </w:rPr>
        <w:footnoteReference w:id="1"/>
      </w:r>
    </w:p>
    <w:p w14:paraId="745BCE4F" w14:textId="106C017E" w:rsidR="005B483D" w:rsidRDefault="00985D27" w:rsidP="00CC5AA2">
      <w:pPr>
        <w:spacing w:after="0" w:line="240" w:lineRule="auto"/>
        <w:jc w:val="right"/>
        <w:rPr>
          <w:rFonts w:ascii="Candara" w:eastAsia="Candara" w:hAnsi="Candara" w:cs="Candara"/>
          <w:b/>
        </w:rPr>
      </w:pPr>
      <w:r>
        <w:rPr>
          <w:rFonts w:ascii="Candara" w:eastAsia="Candara" w:hAnsi="Candara" w:cs="Candara"/>
          <w:b/>
        </w:rPr>
        <w:t>Fernando Cézar de Macedo</w:t>
      </w:r>
      <w:r w:rsidR="00CE7EE5">
        <w:rPr>
          <w:rFonts w:ascii="Candara" w:eastAsia="Candara" w:hAnsi="Candara" w:cs="Candara"/>
          <w:b/>
          <w:vertAlign w:val="superscript"/>
        </w:rPr>
        <w:footnoteReference w:id="2"/>
      </w:r>
    </w:p>
    <w:p w14:paraId="28E226B4" w14:textId="77777777" w:rsidR="005B483D" w:rsidRPr="005C690A" w:rsidRDefault="005B483D" w:rsidP="00826A6B">
      <w:pPr>
        <w:spacing w:after="0" w:line="240" w:lineRule="auto"/>
        <w:jc w:val="both"/>
        <w:rPr>
          <w:rFonts w:ascii="Candara" w:eastAsia="Candara" w:hAnsi="Candara" w:cs="Candara"/>
          <w:bCs/>
        </w:rPr>
      </w:pPr>
    </w:p>
    <w:p w14:paraId="23249AC7" w14:textId="0D367E7B" w:rsidR="005B483D" w:rsidRPr="00FF17A7" w:rsidRDefault="00CE7EE5" w:rsidP="00454DEE">
      <w:pPr>
        <w:spacing w:after="0" w:line="240" w:lineRule="auto"/>
        <w:jc w:val="both"/>
        <w:rPr>
          <w:rFonts w:ascii="Candara" w:eastAsia="Candara" w:hAnsi="Candara" w:cs="Candara"/>
          <w:color w:val="000000"/>
        </w:rPr>
      </w:pPr>
      <w:r>
        <w:rPr>
          <w:rFonts w:ascii="Candara" w:eastAsia="Candara" w:hAnsi="Candara" w:cs="Candara"/>
          <w:b/>
        </w:rPr>
        <w:t>Resumo</w:t>
      </w:r>
      <w:r w:rsidR="00CF4291">
        <w:rPr>
          <w:rFonts w:ascii="Candara" w:eastAsia="Candara" w:hAnsi="Candara" w:cs="Candara"/>
          <w:b/>
        </w:rPr>
        <w:t>:</w:t>
      </w:r>
      <w:r w:rsidR="00454DEE">
        <w:rPr>
          <w:rFonts w:ascii="Candara" w:eastAsia="Candara" w:hAnsi="Candara" w:cs="Candara"/>
          <w:bCs/>
        </w:rPr>
        <w:t xml:space="preserve"> </w:t>
      </w:r>
      <w:r w:rsidR="00FB5FD1" w:rsidRPr="00FB5FD1">
        <w:rPr>
          <w:rFonts w:ascii="Candara" w:eastAsia="Candara" w:hAnsi="Candara" w:cs="Candara"/>
          <w:color w:val="000000"/>
        </w:rPr>
        <w:t>Transcorridos 19 anos da promulgação da Lei dos Consórcios Públicos, a federação brasileira ainda retrata fragilidades nos instrumentos de articulação e cooperação entre os governos subnacionais. Este quadro motivou este estudo a traçar uma visão geral sobre a participação dos municípios em consórcios públicos e suas áreas de atuação, visando analisá-lo como instrumento alternativo para a cooperação horizontal intergovernamental. Metodologicamente, empregaram-se elementos teóricos, aliada à pesquisa documental, que utilizou os dados secundários e reorganizou as informações consultadas por meio da publicação da MUNIC 2019 (IBGE). Os principais resultados mostraram que a adesão as práticas consorciais tem se dado com maior visibilidade nas regiões Sul e Sudeste com destaque para as áreas setoriais de políticas públicas que envolvem a saúde, o manejo de resíduos sólidos, o meio ambiente, o desenvolvimento urbano e o saneamento básico.</w:t>
      </w:r>
      <w:r w:rsidR="00401A40">
        <w:rPr>
          <w:rFonts w:ascii="Candara" w:eastAsia="Candara" w:hAnsi="Candara" w:cs="Candara"/>
          <w:color w:val="000000"/>
        </w:rPr>
        <w:t xml:space="preserve"> </w:t>
      </w:r>
      <w:r w:rsidR="00C346DB" w:rsidRPr="00C346DB">
        <w:rPr>
          <w:rFonts w:ascii="Candara" w:eastAsia="Candara" w:hAnsi="Candara" w:cs="Candara"/>
          <w:color w:val="000000"/>
        </w:rPr>
        <w:t>A partir desses resultados, conclui-se que</w:t>
      </w:r>
      <w:r w:rsidR="003043FC">
        <w:rPr>
          <w:rFonts w:ascii="Candara" w:eastAsia="Candara" w:hAnsi="Candara" w:cs="Candara"/>
          <w:color w:val="000000"/>
        </w:rPr>
        <w:t>, em parte,</w:t>
      </w:r>
      <w:r w:rsidR="00D63138">
        <w:rPr>
          <w:rFonts w:ascii="Candara" w:eastAsia="Candara" w:hAnsi="Candara" w:cs="Candara"/>
          <w:color w:val="000000"/>
        </w:rPr>
        <w:t xml:space="preserve"> </w:t>
      </w:r>
      <w:r w:rsidR="00F11C3D" w:rsidRPr="00F11C3D">
        <w:rPr>
          <w:rFonts w:ascii="Candara" w:eastAsia="Candara" w:hAnsi="Candara" w:cs="Candara"/>
          <w:color w:val="000000"/>
        </w:rPr>
        <w:t>as práticas consorciais</w:t>
      </w:r>
      <w:r w:rsidR="00F11C3D">
        <w:rPr>
          <w:rFonts w:ascii="Candara" w:eastAsia="Candara" w:hAnsi="Candara" w:cs="Candara"/>
          <w:color w:val="000000"/>
        </w:rPr>
        <w:t xml:space="preserve"> </w:t>
      </w:r>
      <w:r w:rsidR="00C62858">
        <w:rPr>
          <w:rFonts w:ascii="Candara" w:eastAsia="Candara" w:hAnsi="Candara" w:cs="Candara"/>
          <w:color w:val="000000"/>
        </w:rPr>
        <w:t>são induzidas</w:t>
      </w:r>
      <w:r w:rsidR="009D3BC8">
        <w:rPr>
          <w:rFonts w:ascii="Candara" w:eastAsia="Candara" w:hAnsi="Candara" w:cs="Candara"/>
          <w:color w:val="000000"/>
        </w:rPr>
        <w:t xml:space="preserve">, </w:t>
      </w:r>
      <w:r w:rsidR="009D3BC8" w:rsidRPr="009D3BC8">
        <w:rPr>
          <w:rFonts w:ascii="Candara" w:eastAsia="Candara" w:hAnsi="Candara" w:cs="Candara"/>
          <w:color w:val="000000"/>
        </w:rPr>
        <w:t xml:space="preserve">por meio da legislação, </w:t>
      </w:r>
      <w:r w:rsidR="00E054FD">
        <w:rPr>
          <w:rFonts w:ascii="Candara" w:eastAsia="Candara" w:hAnsi="Candara" w:cs="Candara"/>
          <w:color w:val="000000"/>
        </w:rPr>
        <w:t>pelo Governo Central</w:t>
      </w:r>
      <w:r w:rsidR="0000187F">
        <w:rPr>
          <w:rFonts w:ascii="Candara" w:eastAsia="Candara" w:hAnsi="Candara" w:cs="Candara"/>
          <w:color w:val="000000"/>
        </w:rPr>
        <w:t>.</w:t>
      </w:r>
      <w:r w:rsidR="00C164E8">
        <w:rPr>
          <w:rFonts w:ascii="Candara" w:eastAsia="Candara" w:hAnsi="Candara" w:cs="Candara"/>
          <w:color w:val="000000"/>
        </w:rPr>
        <w:t xml:space="preserve"> E os consórcios </w:t>
      </w:r>
      <w:r w:rsidR="00FA3C19">
        <w:rPr>
          <w:rFonts w:ascii="Candara" w:eastAsia="Candara" w:hAnsi="Candara" w:cs="Candara"/>
          <w:color w:val="000000"/>
        </w:rPr>
        <w:t xml:space="preserve">de caráter </w:t>
      </w:r>
      <w:r w:rsidR="00C164E8">
        <w:rPr>
          <w:rFonts w:ascii="Candara" w:eastAsia="Candara" w:hAnsi="Candara" w:cs="Candara"/>
          <w:color w:val="000000"/>
        </w:rPr>
        <w:t xml:space="preserve">multifinalitários </w:t>
      </w:r>
      <w:r w:rsidR="00FA3C19">
        <w:rPr>
          <w:rFonts w:ascii="Candara" w:eastAsia="Candara" w:hAnsi="Candara" w:cs="Candara"/>
          <w:color w:val="000000"/>
        </w:rPr>
        <w:t xml:space="preserve">são </w:t>
      </w:r>
      <w:r w:rsidR="00D329FA">
        <w:rPr>
          <w:rFonts w:ascii="Candara" w:eastAsia="Candara" w:hAnsi="Candara" w:cs="Candara"/>
          <w:color w:val="000000"/>
        </w:rPr>
        <w:t xml:space="preserve">os mais propensos </w:t>
      </w:r>
      <w:r w:rsidR="00787A3C">
        <w:rPr>
          <w:rFonts w:ascii="Candara" w:eastAsia="Candara" w:hAnsi="Candara" w:cs="Candara"/>
          <w:color w:val="000000"/>
        </w:rPr>
        <w:t xml:space="preserve">a serem indutores </w:t>
      </w:r>
      <w:r w:rsidR="008A1A5A">
        <w:rPr>
          <w:rFonts w:ascii="Candara" w:eastAsia="Candara" w:hAnsi="Candara" w:cs="Candara"/>
          <w:color w:val="000000"/>
        </w:rPr>
        <w:t>d</w:t>
      </w:r>
      <w:r w:rsidR="00787A3C">
        <w:rPr>
          <w:rFonts w:ascii="Candara" w:eastAsia="Candara" w:hAnsi="Candara" w:cs="Candara"/>
          <w:color w:val="000000"/>
        </w:rPr>
        <w:t>o desenvolvimento</w:t>
      </w:r>
      <w:r w:rsidR="003A4D19">
        <w:rPr>
          <w:rFonts w:ascii="Candara" w:eastAsia="Candara" w:hAnsi="Candara" w:cs="Candara"/>
          <w:color w:val="000000"/>
        </w:rPr>
        <w:t xml:space="preserve">, por </w:t>
      </w:r>
      <w:r w:rsidR="00721DAF">
        <w:rPr>
          <w:rFonts w:ascii="Candara" w:eastAsia="Candara" w:hAnsi="Candara" w:cs="Candara"/>
          <w:color w:val="000000"/>
        </w:rPr>
        <w:t xml:space="preserve">ter uma atuação diversificada, podendo viabilizar </w:t>
      </w:r>
      <w:r w:rsidR="00721DAF" w:rsidRPr="00721DAF">
        <w:rPr>
          <w:rFonts w:ascii="Candara" w:eastAsia="Candara" w:hAnsi="Candara" w:cs="Candara"/>
          <w:color w:val="000000"/>
        </w:rPr>
        <w:t xml:space="preserve">as </w:t>
      </w:r>
      <w:r w:rsidR="00BB4B0A">
        <w:rPr>
          <w:rFonts w:ascii="Candara" w:eastAsia="Candara" w:hAnsi="Candara" w:cs="Candara"/>
          <w:color w:val="000000"/>
        </w:rPr>
        <w:t xml:space="preserve">demandas </w:t>
      </w:r>
      <w:r w:rsidR="008A1A5A">
        <w:rPr>
          <w:rFonts w:ascii="Candara" w:eastAsia="Candara" w:hAnsi="Candara" w:cs="Candara"/>
          <w:color w:val="000000"/>
        </w:rPr>
        <w:t xml:space="preserve">conforme as </w:t>
      </w:r>
      <w:r w:rsidR="00721DAF" w:rsidRPr="00721DAF">
        <w:rPr>
          <w:rFonts w:ascii="Candara" w:eastAsia="Candara" w:hAnsi="Candara" w:cs="Candara"/>
          <w:color w:val="000000"/>
        </w:rPr>
        <w:t>especificidades de âmbito regional</w:t>
      </w:r>
      <w:r w:rsidR="00D27D88">
        <w:rPr>
          <w:rFonts w:ascii="Candara" w:eastAsia="Candara" w:hAnsi="Candara" w:cs="Candara"/>
          <w:color w:val="000000"/>
        </w:rPr>
        <w:t>.</w:t>
      </w:r>
    </w:p>
    <w:p w14:paraId="255A77E1" w14:textId="77777777" w:rsidR="00FF17A7" w:rsidRPr="00B0616A" w:rsidRDefault="00FF17A7">
      <w:pPr>
        <w:pBdr>
          <w:top w:val="nil"/>
          <w:left w:val="nil"/>
          <w:bottom w:val="nil"/>
          <w:right w:val="nil"/>
          <w:between w:val="nil"/>
        </w:pBdr>
        <w:spacing w:after="0" w:line="240" w:lineRule="auto"/>
        <w:jc w:val="both"/>
        <w:rPr>
          <w:rFonts w:ascii="Candara" w:eastAsia="Candara" w:hAnsi="Candara" w:cs="Candara"/>
          <w:color w:val="000000"/>
        </w:rPr>
      </w:pPr>
    </w:p>
    <w:p w14:paraId="4E527F69" w14:textId="11825CFF"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t>Palavras-chave:</w:t>
      </w:r>
      <w:r>
        <w:rPr>
          <w:rFonts w:ascii="Candara" w:eastAsia="Candara" w:hAnsi="Candara" w:cs="Candara"/>
        </w:rPr>
        <w:t xml:space="preserve"> </w:t>
      </w:r>
      <w:r w:rsidR="006A0F7D" w:rsidRPr="006A0F7D">
        <w:rPr>
          <w:rFonts w:ascii="Candara" w:eastAsia="Candara" w:hAnsi="Candara" w:cs="Candara"/>
        </w:rPr>
        <w:t>Federalismo</w:t>
      </w:r>
      <w:r w:rsidR="006A0F7D">
        <w:rPr>
          <w:rFonts w:ascii="Candara" w:eastAsia="Candara" w:hAnsi="Candara" w:cs="Candara"/>
        </w:rPr>
        <w:t>.</w:t>
      </w:r>
      <w:r w:rsidR="006A0F7D" w:rsidRPr="006A0F7D">
        <w:rPr>
          <w:rFonts w:ascii="Candara" w:eastAsia="Candara" w:hAnsi="Candara" w:cs="Candara"/>
        </w:rPr>
        <w:t xml:space="preserve"> Cooperação Intergovernamental</w:t>
      </w:r>
      <w:r w:rsidR="006A0F7D">
        <w:rPr>
          <w:rFonts w:ascii="Candara" w:eastAsia="Candara" w:hAnsi="Candara" w:cs="Candara"/>
        </w:rPr>
        <w:t>.</w:t>
      </w:r>
      <w:r w:rsidR="006A0F7D" w:rsidRPr="006A0F7D">
        <w:rPr>
          <w:rFonts w:ascii="Candara" w:eastAsia="Candara" w:hAnsi="Candara" w:cs="Candara"/>
        </w:rPr>
        <w:t xml:space="preserve"> Consórcios Públicos</w:t>
      </w:r>
      <w:r w:rsidR="006A0F7D">
        <w:rPr>
          <w:rFonts w:ascii="Candara" w:eastAsia="Candara" w:hAnsi="Candara" w:cs="Candara"/>
        </w:rPr>
        <w:t>.</w:t>
      </w:r>
      <w:r w:rsidR="006A0F7D" w:rsidRPr="006A0F7D">
        <w:rPr>
          <w:rFonts w:ascii="Candara" w:eastAsia="Candara" w:hAnsi="Candara" w:cs="Candara"/>
        </w:rPr>
        <w:t xml:space="preserve"> Desenvolvimento Regional</w:t>
      </w:r>
      <w:r w:rsidR="00324E7B">
        <w:rPr>
          <w:rFonts w:ascii="Candara" w:eastAsia="Candara" w:hAnsi="Candara" w:cs="Candara"/>
        </w:rPr>
        <w:t>.</w:t>
      </w:r>
    </w:p>
    <w:p w14:paraId="29F8DFA1" w14:textId="77777777" w:rsidR="00826A6B" w:rsidRDefault="00826A6B">
      <w:pPr>
        <w:tabs>
          <w:tab w:val="left" w:pos="2385"/>
        </w:tabs>
        <w:spacing w:after="0" w:line="240" w:lineRule="auto"/>
        <w:jc w:val="both"/>
        <w:rPr>
          <w:rFonts w:ascii="Candara" w:eastAsia="Candara" w:hAnsi="Candara" w:cs="Candara"/>
        </w:rPr>
      </w:pPr>
    </w:p>
    <w:p w14:paraId="3B4CBED7" w14:textId="3601B51C" w:rsidR="003A3E34" w:rsidRDefault="003A3E34" w:rsidP="00576E4F">
      <w:pPr>
        <w:spacing w:after="0" w:line="360" w:lineRule="auto"/>
        <w:jc w:val="both"/>
        <w:rPr>
          <w:rFonts w:ascii="Candara" w:eastAsia="Candara" w:hAnsi="Candara" w:cs="Candara"/>
        </w:rPr>
      </w:pPr>
      <w:r>
        <w:rPr>
          <w:rFonts w:ascii="Candara" w:eastAsia="Candara" w:hAnsi="Candara" w:cs="Candara"/>
        </w:rPr>
        <w:br w:type="page"/>
      </w:r>
    </w:p>
    <w:p w14:paraId="6A1E87DB" w14:textId="77777777" w:rsidR="007612B7" w:rsidRPr="00576EF4" w:rsidRDefault="005F6BAC" w:rsidP="00C40091">
      <w:pPr>
        <w:spacing w:after="0" w:line="360" w:lineRule="auto"/>
        <w:ind w:firstLine="851"/>
        <w:jc w:val="both"/>
        <w:rPr>
          <w:rFonts w:ascii="Candara" w:eastAsia="Candara" w:hAnsi="Candara" w:cs="Candara"/>
          <w:b/>
          <w:bCs/>
          <w:sz w:val="36"/>
          <w:szCs w:val="36"/>
          <w:lang w:val="en-US"/>
        </w:rPr>
      </w:pPr>
      <w:r w:rsidRPr="00576EF4">
        <w:rPr>
          <w:rFonts w:ascii="Candara" w:eastAsia="Candara" w:hAnsi="Candara" w:cs="Candara"/>
          <w:b/>
          <w:bCs/>
          <w:sz w:val="36"/>
          <w:szCs w:val="36"/>
          <w:lang w:val="en-US"/>
        </w:rPr>
        <w:lastRenderedPageBreak/>
        <w:t>CONSORTIAL PRACTICES AS AN INDUCTIVE ALTERNATIVE FOR REGIONAL DEVELOPMENT</w:t>
      </w:r>
    </w:p>
    <w:p w14:paraId="213D07C0" w14:textId="77777777" w:rsidR="009A795A" w:rsidRPr="00576EF4" w:rsidRDefault="009A795A" w:rsidP="00E6102C">
      <w:pPr>
        <w:spacing w:after="0" w:line="240" w:lineRule="auto"/>
        <w:jc w:val="both"/>
        <w:rPr>
          <w:rFonts w:ascii="Candara" w:eastAsia="Candara" w:hAnsi="Candara" w:cs="Candara"/>
          <w:lang w:val="en-US"/>
        </w:rPr>
      </w:pPr>
    </w:p>
    <w:p w14:paraId="3D9595B9" w14:textId="1FA3CDE5" w:rsidR="00651133" w:rsidRDefault="00651133" w:rsidP="00BC41CF">
      <w:pPr>
        <w:spacing w:after="0" w:line="240" w:lineRule="auto"/>
        <w:jc w:val="right"/>
        <w:rPr>
          <w:rFonts w:ascii="Candara" w:eastAsia="Candara" w:hAnsi="Candara" w:cs="Candara"/>
          <w:b/>
        </w:rPr>
      </w:pPr>
      <w:r>
        <w:rPr>
          <w:rFonts w:ascii="Candara" w:eastAsia="Candara" w:hAnsi="Candara" w:cs="Candara"/>
          <w:b/>
        </w:rPr>
        <w:t>Rosangela dos Santos Alves Pequeno</w:t>
      </w:r>
      <w:r>
        <w:rPr>
          <w:rFonts w:ascii="Candara" w:eastAsia="Candara" w:hAnsi="Candara" w:cs="Candara"/>
          <w:b/>
          <w:vertAlign w:val="superscript"/>
        </w:rPr>
        <w:footnoteReference w:id="3"/>
      </w:r>
    </w:p>
    <w:p w14:paraId="2E9DB459" w14:textId="77777777" w:rsidR="00651133" w:rsidRPr="00CF32DD" w:rsidRDefault="00651133" w:rsidP="00BC41CF">
      <w:pPr>
        <w:spacing w:after="0" w:line="240" w:lineRule="auto"/>
        <w:jc w:val="right"/>
        <w:rPr>
          <w:rFonts w:ascii="Candara" w:eastAsia="Candara" w:hAnsi="Candara" w:cs="Candara"/>
          <w:b/>
          <w:lang w:val="en-US"/>
        </w:rPr>
      </w:pPr>
      <w:r w:rsidRPr="00CF32DD">
        <w:rPr>
          <w:rFonts w:ascii="Candara" w:eastAsia="Candara" w:hAnsi="Candara" w:cs="Candara"/>
          <w:b/>
          <w:lang w:val="en-US"/>
        </w:rPr>
        <w:t>Fernando Cézar de Macedo</w:t>
      </w:r>
      <w:r>
        <w:rPr>
          <w:rFonts w:ascii="Candara" w:eastAsia="Candara" w:hAnsi="Candara" w:cs="Candara"/>
          <w:b/>
          <w:vertAlign w:val="superscript"/>
        </w:rPr>
        <w:footnoteReference w:id="4"/>
      </w:r>
    </w:p>
    <w:p w14:paraId="043342C8" w14:textId="77777777" w:rsidR="00651133" w:rsidRPr="005666D3" w:rsidRDefault="00651133" w:rsidP="00E6102C">
      <w:pPr>
        <w:spacing w:after="0" w:line="240" w:lineRule="auto"/>
        <w:jc w:val="both"/>
        <w:rPr>
          <w:rFonts w:ascii="Candara" w:eastAsia="Candara" w:hAnsi="Candara" w:cs="Candara"/>
          <w:bCs/>
          <w:lang w:val="en-US"/>
        </w:rPr>
      </w:pPr>
    </w:p>
    <w:p w14:paraId="12CE5A3E" w14:textId="1D20F521" w:rsidR="005B483D" w:rsidRDefault="00CE7EE5">
      <w:pPr>
        <w:spacing w:after="0" w:line="240" w:lineRule="auto"/>
        <w:jc w:val="both"/>
        <w:rPr>
          <w:rFonts w:ascii="Candara" w:eastAsia="Candara" w:hAnsi="Candara" w:cs="Candara"/>
          <w:color w:val="202124"/>
          <w:lang w:val="en-US"/>
        </w:rPr>
      </w:pPr>
      <w:r w:rsidRPr="00F86B09">
        <w:rPr>
          <w:rFonts w:ascii="Candara" w:eastAsia="Candara" w:hAnsi="Candara" w:cs="Candara"/>
          <w:b/>
          <w:lang w:val="en-US"/>
        </w:rPr>
        <w:t>Abstract</w:t>
      </w:r>
      <w:r w:rsidR="00350994">
        <w:rPr>
          <w:rFonts w:ascii="Candara" w:eastAsia="Candara" w:hAnsi="Candara" w:cs="Candara"/>
          <w:b/>
          <w:lang w:val="en-US"/>
        </w:rPr>
        <w:t>:</w:t>
      </w:r>
      <w:r w:rsidR="005B75B3">
        <w:rPr>
          <w:rFonts w:ascii="Candara" w:eastAsia="Candara" w:hAnsi="Candara" w:cs="Candara"/>
          <w:bCs/>
          <w:lang w:val="en-US"/>
        </w:rPr>
        <w:t xml:space="preserve"> </w:t>
      </w:r>
      <w:r w:rsidR="00F101EC">
        <w:rPr>
          <w:rFonts w:ascii="Candara" w:eastAsia="Candara" w:hAnsi="Candara" w:cs="Candara"/>
          <w:bCs/>
          <w:lang w:val="en-US"/>
        </w:rPr>
        <w:t>N</w:t>
      </w:r>
      <w:r w:rsidR="00F101EC" w:rsidRPr="00F101EC">
        <w:rPr>
          <w:rFonts w:ascii="Candara" w:eastAsia="Candara" w:hAnsi="Candara" w:cs="Candara"/>
          <w:color w:val="202124"/>
          <w:lang w:val="en-US"/>
        </w:rPr>
        <w:t>ineteen</w:t>
      </w:r>
      <w:r w:rsidR="008A10E3" w:rsidRPr="008A10E3">
        <w:rPr>
          <w:rFonts w:ascii="Candara" w:eastAsia="Candara" w:hAnsi="Candara" w:cs="Candara"/>
          <w:color w:val="202124"/>
          <w:lang w:val="en-US"/>
        </w:rPr>
        <w:t xml:space="preserve"> </w:t>
      </w:r>
      <w:r w:rsidR="00576EF4" w:rsidRPr="00576EF4">
        <w:rPr>
          <w:rFonts w:ascii="Candara" w:eastAsia="Candara" w:hAnsi="Candara" w:cs="Candara"/>
          <w:color w:val="202124"/>
          <w:lang w:val="en-US"/>
        </w:rPr>
        <w:t>years after the promulgation of the Public Consortia Law, the Brazilian federation still shows weaknesses in the instruments of articulation and cooperation between subnational governments. This situation motivated this study to outline an overview of the participation of municipalities in public consortia and their areas of activity, aiming to analyze it as an alternative instrument for horizontal intergovernmental cooperation. Methodologically, theoretical elements were used, combined with documentary research, which used secondary data and reorganized the information consulted through the publication of MUNIC 2019 (IBGE). The main results showed that adherence to consortial practices has been more visible in the South and Southeast regions, with emphasis on sectoral areas of public policies involving health, solid waste management, the environment, urban development and basic sanitation. From these results, it is concluded that, in part, consortial practices are induced, through legislation, by the Central Government. And multipurpose consortia are the most likely to induce development, as they have a diversified performance and can facilitate demands according to regional specificities.</w:t>
      </w:r>
    </w:p>
    <w:p w14:paraId="7876DEB2" w14:textId="77777777" w:rsidR="005B483D" w:rsidRPr="00F86B09" w:rsidRDefault="005B483D" w:rsidP="00C60ACE">
      <w:pPr>
        <w:spacing w:after="0" w:line="240" w:lineRule="auto"/>
        <w:jc w:val="both"/>
        <w:rPr>
          <w:rFonts w:ascii="Candara" w:eastAsia="Candara" w:hAnsi="Candara" w:cs="Candara"/>
          <w:color w:val="202124"/>
          <w:lang w:val="en-US"/>
        </w:rPr>
      </w:pPr>
    </w:p>
    <w:p w14:paraId="034A405D" w14:textId="03DDEFB2" w:rsidR="005B483D" w:rsidRPr="00CF32DD" w:rsidRDefault="00CE7EE5" w:rsidP="005C4F52">
      <w:pPr>
        <w:spacing w:after="0" w:line="240" w:lineRule="auto"/>
        <w:jc w:val="both"/>
        <w:rPr>
          <w:rFonts w:ascii="Candara" w:eastAsia="Candara" w:hAnsi="Candara" w:cs="Candara"/>
        </w:rPr>
      </w:pPr>
      <w:r w:rsidRPr="0008153A">
        <w:rPr>
          <w:rFonts w:ascii="Candara" w:eastAsia="Candara" w:hAnsi="Candara" w:cs="Candara"/>
          <w:b/>
          <w:lang w:val="en-US"/>
        </w:rPr>
        <w:t>Keywords:</w:t>
      </w:r>
      <w:r w:rsidRPr="0008153A">
        <w:rPr>
          <w:rFonts w:ascii="Candara" w:eastAsia="Candara" w:hAnsi="Candara" w:cs="Candara"/>
          <w:lang w:val="en-US"/>
        </w:rPr>
        <w:t xml:space="preserve"> </w:t>
      </w:r>
      <w:r w:rsidR="00BE65B9" w:rsidRPr="00BE65B9">
        <w:rPr>
          <w:rFonts w:ascii="Candara" w:eastAsia="Candara" w:hAnsi="Candara" w:cs="Candara"/>
          <w:lang w:val="en-US"/>
        </w:rPr>
        <w:t xml:space="preserve">Federalism. Intergovernmental Cooperation. Public Consortia. </w:t>
      </w:r>
      <w:r w:rsidR="00BE65B9" w:rsidRPr="00AD2504">
        <w:rPr>
          <w:rFonts w:ascii="Candara" w:eastAsia="Candara" w:hAnsi="Candara" w:cs="Candara"/>
        </w:rPr>
        <w:t>Regional Development.</w:t>
      </w:r>
    </w:p>
    <w:p w14:paraId="6CA09B6A" w14:textId="77777777" w:rsidR="00DF73DD" w:rsidRPr="00CF32DD" w:rsidRDefault="00DF73DD" w:rsidP="007616CF">
      <w:pPr>
        <w:spacing w:after="0" w:line="360" w:lineRule="auto"/>
        <w:jc w:val="both"/>
        <w:rPr>
          <w:rFonts w:ascii="Candara" w:eastAsia="Candara" w:hAnsi="Candara" w:cs="Candara"/>
          <w:color w:val="000000" w:themeColor="text1"/>
        </w:rPr>
      </w:pPr>
    </w:p>
    <w:p w14:paraId="4D631A55" w14:textId="06B2D250" w:rsidR="00955A01" w:rsidRPr="00CF32DD" w:rsidRDefault="00955A01" w:rsidP="00576E4F">
      <w:pPr>
        <w:spacing w:after="0" w:line="360" w:lineRule="auto"/>
        <w:jc w:val="both"/>
        <w:rPr>
          <w:rFonts w:ascii="Candara" w:eastAsia="Candara" w:hAnsi="Candara" w:cs="Candara"/>
          <w:color w:val="000000" w:themeColor="text1"/>
        </w:rPr>
      </w:pPr>
      <w:r w:rsidRPr="00CF32DD">
        <w:rPr>
          <w:rFonts w:ascii="Candara" w:eastAsia="Candara" w:hAnsi="Candara" w:cs="Candara"/>
          <w:color w:val="000000" w:themeColor="text1"/>
        </w:rPr>
        <w:br w:type="page"/>
      </w:r>
    </w:p>
    <w:p w14:paraId="70CC8090" w14:textId="1F54957C" w:rsidR="003B6626" w:rsidRPr="00825F01" w:rsidRDefault="0063333A" w:rsidP="00341756">
      <w:pPr>
        <w:spacing w:after="120" w:line="360" w:lineRule="auto"/>
        <w:ind w:firstLine="851"/>
        <w:jc w:val="both"/>
        <w:rPr>
          <w:rFonts w:ascii="Candara" w:eastAsia="Candara" w:hAnsi="Candara" w:cs="Candara"/>
          <w:b/>
          <w:bCs/>
          <w:color w:val="000000" w:themeColor="text1"/>
          <w:sz w:val="28"/>
          <w:szCs w:val="28"/>
        </w:rPr>
      </w:pPr>
      <w:r w:rsidRPr="00825F01">
        <w:rPr>
          <w:rFonts w:ascii="Candara" w:eastAsia="Candara" w:hAnsi="Candara" w:cs="Candara"/>
          <w:b/>
          <w:bCs/>
          <w:color w:val="000000" w:themeColor="text1"/>
          <w:sz w:val="28"/>
          <w:szCs w:val="28"/>
        </w:rPr>
        <w:lastRenderedPageBreak/>
        <w:t>1 I</w:t>
      </w:r>
      <w:r w:rsidR="009C1024" w:rsidRPr="00825F01">
        <w:rPr>
          <w:rFonts w:ascii="Candara" w:eastAsia="Candara" w:hAnsi="Candara" w:cs="Candara"/>
          <w:b/>
          <w:bCs/>
          <w:color w:val="000000" w:themeColor="text1"/>
          <w:sz w:val="28"/>
          <w:szCs w:val="28"/>
        </w:rPr>
        <w:t>ntrodução</w:t>
      </w:r>
    </w:p>
    <w:p w14:paraId="70DC52AE" w14:textId="0552D317" w:rsidR="00E06AFB" w:rsidRPr="00E06AFB" w:rsidRDefault="009315F8" w:rsidP="00E06AFB">
      <w:pPr>
        <w:spacing w:after="0" w:line="360" w:lineRule="auto"/>
        <w:ind w:firstLine="851"/>
        <w:jc w:val="both"/>
        <w:rPr>
          <w:rFonts w:ascii="Candara" w:eastAsia="Candara" w:hAnsi="Candara" w:cs="Candara"/>
          <w:color w:val="000000" w:themeColor="text1"/>
          <w:sz w:val="24"/>
          <w:szCs w:val="24"/>
        </w:rPr>
      </w:pPr>
      <w:r w:rsidRPr="009315F8">
        <w:rPr>
          <w:rFonts w:ascii="Candara" w:eastAsia="Candara" w:hAnsi="Candara" w:cs="Candara"/>
          <w:color w:val="000000" w:themeColor="text1"/>
          <w:sz w:val="24"/>
          <w:szCs w:val="24"/>
        </w:rPr>
        <w:t>Na perspectiva do federalismo brasileiro traçado pela Constituição Federal de 1988 (CF/1988), o desenho institucional se pautou pela negociação voltada para a cooperação, visando a redução das disparidades regionais. Do ponto de vista político, ampliou-se a relação participativa dos entes subnacionais na coordenação e execução das políticas públicas, requerendo maior articulação intergovernamental. No entanto, as transformações de cunho econômico que ocorreram, ao longo da década de 1990, trouxeram um desenvolvimento não linear, limitando a consolidação das regras pactuadas no processo constituinte de 1988.</w:t>
      </w:r>
    </w:p>
    <w:p w14:paraId="3F8C87B3" w14:textId="77777777" w:rsidR="008B2A01" w:rsidRDefault="00A26636" w:rsidP="00E06AFB">
      <w:pPr>
        <w:spacing w:after="0" w:line="360" w:lineRule="auto"/>
        <w:ind w:firstLine="851"/>
        <w:jc w:val="both"/>
        <w:rPr>
          <w:rFonts w:ascii="Candara" w:eastAsia="Candara" w:hAnsi="Candara" w:cs="Candara"/>
          <w:color w:val="000000" w:themeColor="text1"/>
          <w:sz w:val="24"/>
          <w:szCs w:val="24"/>
        </w:rPr>
      </w:pPr>
      <w:r w:rsidRPr="00A26636">
        <w:rPr>
          <w:rFonts w:ascii="Candara" w:eastAsia="Candara" w:hAnsi="Candara" w:cs="Candara"/>
          <w:color w:val="000000" w:themeColor="text1"/>
          <w:sz w:val="24"/>
          <w:szCs w:val="24"/>
        </w:rPr>
        <w:t>Na primeira década do Século XXI, a continuidade das políticas macroeconômicas de caráter restritivo, voltadas para manter a estabilidade econômica, permaneceu limitando a capacidade dos governos subnacionais, particularmente dos entes municipais, de atender aos preceitos constitucionais. Deste modo, a formação de consórcios públicos passou a ser uma alternativa de compartilhamento de alguns serviços públicos entre os municípios.</w:t>
      </w:r>
    </w:p>
    <w:p w14:paraId="4F5CE222" w14:textId="0D3EAC55" w:rsidR="00E06AFB" w:rsidRDefault="00A26636" w:rsidP="00E06AFB">
      <w:pPr>
        <w:spacing w:after="0" w:line="360" w:lineRule="auto"/>
        <w:ind w:firstLine="851"/>
        <w:jc w:val="both"/>
        <w:rPr>
          <w:rFonts w:ascii="Candara" w:eastAsia="Candara" w:hAnsi="Candara" w:cs="Candara"/>
          <w:color w:val="000000" w:themeColor="text1"/>
          <w:sz w:val="24"/>
          <w:szCs w:val="24"/>
        </w:rPr>
      </w:pPr>
      <w:r w:rsidRPr="00A26636">
        <w:rPr>
          <w:rFonts w:ascii="Candara" w:eastAsia="Candara" w:hAnsi="Candara" w:cs="Candara"/>
          <w:color w:val="000000" w:themeColor="text1"/>
          <w:sz w:val="24"/>
          <w:szCs w:val="24"/>
        </w:rPr>
        <w:t>Foi nesse contexto que a Lei dos Consórcios Públicos (Lei Federal nº 11.107/2005) foi aprovada e regulamentada (Decreto nº 6.017/2007), visando normatizar a formação de consórcios públicos, possibilitando segurança jurídica para a execução compartilhada de políticas públicas.</w:t>
      </w:r>
    </w:p>
    <w:p w14:paraId="26A483CE" w14:textId="68669053" w:rsidR="008F6A20" w:rsidRPr="00E06AFB" w:rsidRDefault="00427DEA" w:rsidP="008F6A20">
      <w:pPr>
        <w:spacing w:after="0" w:line="360" w:lineRule="auto"/>
        <w:ind w:firstLine="851"/>
        <w:jc w:val="both"/>
        <w:rPr>
          <w:rFonts w:ascii="Candara" w:eastAsia="Candara" w:hAnsi="Candara" w:cs="Candara"/>
          <w:color w:val="000000" w:themeColor="text1"/>
          <w:sz w:val="24"/>
          <w:szCs w:val="24"/>
        </w:rPr>
      </w:pPr>
      <w:r w:rsidRPr="00427DEA">
        <w:rPr>
          <w:rFonts w:ascii="Candara" w:eastAsia="Candara" w:hAnsi="Candara" w:cs="Candara"/>
          <w:color w:val="000000" w:themeColor="text1"/>
          <w:sz w:val="24"/>
          <w:szCs w:val="24"/>
        </w:rPr>
        <w:t>Na década seguinte, a partir de 2013, o Brasil vivenciou uma série de crises econômica e política-institucional, com mudanças a favor de processos de austeridade fiscal, retrocesso democrático e populismo reacionário. A retomada de reformas de caráter neoliberal deflagrou nova dinâmica no comportamento das políticas públicas na contramão do aparato instituído pela CF/1988.</w:t>
      </w:r>
    </w:p>
    <w:p w14:paraId="395C152F" w14:textId="3657B189" w:rsidR="00E06AFB" w:rsidRPr="00E06AFB" w:rsidRDefault="00A033F2" w:rsidP="00E06AFB">
      <w:pPr>
        <w:spacing w:after="0" w:line="360" w:lineRule="auto"/>
        <w:ind w:firstLine="851"/>
        <w:jc w:val="both"/>
        <w:rPr>
          <w:rFonts w:ascii="Candara" w:eastAsia="Candara" w:hAnsi="Candara" w:cs="Candara"/>
          <w:color w:val="000000" w:themeColor="text1"/>
          <w:sz w:val="24"/>
          <w:szCs w:val="24"/>
        </w:rPr>
      </w:pPr>
      <w:r w:rsidRPr="00A033F2">
        <w:rPr>
          <w:rFonts w:ascii="Candara" w:eastAsia="Candara" w:hAnsi="Candara" w:cs="Candara"/>
          <w:color w:val="000000" w:themeColor="text1"/>
          <w:sz w:val="24"/>
          <w:szCs w:val="24"/>
        </w:rPr>
        <w:lastRenderedPageBreak/>
        <w:t xml:space="preserve">Transcorridos 19 anos da promulgação da Lei dos Consórcios Públicos, os estudos já realizados apontaram fragilidades nos instrumentos de articulação e cooperação entre os governos subnacionais. Ao longo desse período, as experiências se deram muito mais no âmbito municipal, que passaram a ter maior articulação com o </w:t>
      </w:r>
      <w:r w:rsidR="00AA0331">
        <w:rPr>
          <w:rFonts w:ascii="Candara" w:eastAsia="Candara" w:hAnsi="Candara" w:cs="Candara"/>
          <w:color w:val="000000" w:themeColor="text1"/>
          <w:sz w:val="24"/>
          <w:szCs w:val="24"/>
        </w:rPr>
        <w:t>G</w:t>
      </w:r>
      <w:r w:rsidRPr="00A033F2">
        <w:rPr>
          <w:rFonts w:ascii="Candara" w:eastAsia="Candara" w:hAnsi="Candara" w:cs="Candara"/>
          <w:color w:val="000000" w:themeColor="text1"/>
          <w:sz w:val="24"/>
          <w:szCs w:val="24"/>
        </w:rPr>
        <w:t xml:space="preserve">overno </w:t>
      </w:r>
      <w:r w:rsidR="00AA0331">
        <w:rPr>
          <w:rFonts w:ascii="Candara" w:eastAsia="Candara" w:hAnsi="Candara" w:cs="Candara"/>
          <w:color w:val="000000" w:themeColor="text1"/>
          <w:sz w:val="24"/>
          <w:szCs w:val="24"/>
        </w:rPr>
        <w:t>C</w:t>
      </w:r>
      <w:r w:rsidRPr="00A033F2">
        <w:rPr>
          <w:rFonts w:ascii="Candara" w:eastAsia="Candara" w:hAnsi="Candara" w:cs="Candara"/>
          <w:color w:val="000000" w:themeColor="text1"/>
          <w:sz w:val="24"/>
          <w:szCs w:val="24"/>
        </w:rPr>
        <w:t>entral em decorrência da descentralização das políticas públicas.</w:t>
      </w:r>
    </w:p>
    <w:p w14:paraId="1CA575F5" w14:textId="62C6FEE9" w:rsidR="00E06AFB" w:rsidRPr="00E06AFB" w:rsidRDefault="00BF70E8" w:rsidP="00E06AFB">
      <w:pPr>
        <w:spacing w:after="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 xml:space="preserve">Além disto, </w:t>
      </w:r>
      <w:r w:rsidR="00E06AFB" w:rsidRPr="00E06AFB">
        <w:rPr>
          <w:rFonts w:ascii="Candara" w:eastAsia="Candara" w:hAnsi="Candara" w:cs="Candara"/>
          <w:color w:val="000000" w:themeColor="text1"/>
          <w:sz w:val="24"/>
          <w:szCs w:val="24"/>
        </w:rPr>
        <w:t>as desigualdades regionais</w:t>
      </w:r>
      <w:r w:rsidR="00BA0A70">
        <w:rPr>
          <w:rFonts w:ascii="Candara" w:eastAsia="Candara" w:hAnsi="Candara" w:cs="Candara"/>
          <w:color w:val="000000" w:themeColor="text1"/>
          <w:sz w:val="24"/>
          <w:szCs w:val="24"/>
        </w:rPr>
        <w:t xml:space="preserve"> evidenciada pel</w:t>
      </w:r>
      <w:r w:rsidR="00A01D68">
        <w:rPr>
          <w:rFonts w:ascii="Candara" w:eastAsia="Candara" w:hAnsi="Candara" w:cs="Candara"/>
          <w:color w:val="000000" w:themeColor="text1"/>
          <w:sz w:val="24"/>
          <w:szCs w:val="24"/>
        </w:rPr>
        <w:t>as</w:t>
      </w:r>
      <w:r w:rsidR="00E06AFB" w:rsidRPr="00E06AFB">
        <w:rPr>
          <w:rFonts w:ascii="Candara" w:eastAsia="Candara" w:hAnsi="Candara" w:cs="Candara"/>
          <w:color w:val="000000" w:themeColor="text1"/>
          <w:sz w:val="24"/>
          <w:szCs w:val="24"/>
        </w:rPr>
        <w:t xml:space="preserve"> diferentes capacidades econômicas, tributárias e administrativas dos entes revelam distintas potencialidades </w:t>
      </w:r>
      <w:r w:rsidR="001B3759">
        <w:rPr>
          <w:rFonts w:ascii="Candara" w:eastAsia="Candara" w:hAnsi="Candara" w:cs="Candara"/>
          <w:color w:val="000000" w:themeColor="text1"/>
          <w:sz w:val="24"/>
          <w:szCs w:val="24"/>
        </w:rPr>
        <w:t>financeiras</w:t>
      </w:r>
      <w:r w:rsidR="00C3023F">
        <w:rPr>
          <w:rFonts w:ascii="Candara" w:eastAsia="Candara" w:hAnsi="Candara" w:cs="Candara"/>
          <w:color w:val="000000" w:themeColor="text1"/>
          <w:sz w:val="24"/>
          <w:szCs w:val="24"/>
        </w:rPr>
        <w:t>,</w:t>
      </w:r>
      <w:r w:rsidR="001B3759">
        <w:rPr>
          <w:rFonts w:ascii="Candara" w:eastAsia="Candara" w:hAnsi="Candara" w:cs="Candara"/>
          <w:color w:val="000000" w:themeColor="text1"/>
          <w:sz w:val="24"/>
          <w:szCs w:val="24"/>
        </w:rPr>
        <w:t xml:space="preserve"> </w:t>
      </w:r>
      <w:r w:rsidR="00E06AFB" w:rsidRPr="00E06AFB">
        <w:rPr>
          <w:rFonts w:ascii="Candara" w:eastAsia="Candara" w:hAnsi="Candara" w:cs="Candara"/>
          <w:color w:val="000000" w:themeColor="text1"/>
          <w:sz w:val="24"/>
          <w:szCs w:val="24"/>
        </w:rPr>
        <w:t xml:space="preserve">dado que os pequenos municípios </w:t>
      </w:r>
      <w:r w:rsidR="00483B47" w:rsidRPr="00483B47">
        <w:rPr>
          <w:rFonts w:ascii="Candara" w:eastAsia="Candara" w:hAnsi="Candara" w:cs="Candara"/>
          <w:color w:val="000000" w:themeColor="text1"/>
          <w:sz w:val="24"/>
          <w:szCs w:val="24"/>
        </w:rPr>
        <w:t xml:space="preserve">(até </w:t>
      </w:r>
      <w:r w:rsidR="00DE16C0">
        <w:rPr>
          <w:rFonts w:ascii="Candara" w:eastAsia="Candara" w:hAnsi="Candara" w:cs="Candara"/>
          <w:color w:val="000000" w:themeColor="text1"/>
          <w:sz w:val="24"/>
          <w:szCs w:val="24"/>
        </w:rPr>
        <w:t>2</w:t>
      </w:r>
      <w:r w:rsidR="00483B47" w:rsidRPr="00483B47">
        <w:rPr>
          <w:rFonts w:ascii="Candara" w:eastAsia="Candara" w:hAnsi="Candara" w:cs="Candara"/>
          <w:color w:val="000000" w:themeColor="text1"/>
          <w:sz w:val="24"/>
          <w:szCs w:val="24"/>
        </w:rPr>
        <w:t>0 mil habitantes)</w:t>
      </w:r>
      <w:r w:rsidR="00483B47">
        <w:rPr>
          <w:rFonts w:ascii="Candara" w:eastAsia="Candara" w:hAnsi="Candara" w:cs="Candara"/>
          <w:color w:val="000000" w:themeColor="text1"/>
          <w:sz w:val="24"/>
          <w:szCs w:val="24"/>
        </w:rPr>
        <w:t xml:space="preserve"> </w:t>
      </w:r>
      <w:r w:rsidR="00E06AFB" w:rsidRPr="00E06AFB">
        <w:rPr>
          <w:rFonts w:ascii="Candara" w:eastAsia="Candara" w:hAnsi="Candara" w:cs="Candara"/>
          <w:color w:val="000000" w:themeColor="text1"/>
          <w:sz w:val="24"/>
          <w:szCs w:val="24"/>
        </w:rPr>
        <w:t xml:space="preserve">possuem escala insuficiente para </w:t>
      </w:r>
      <w:r w:rsidR="00950BD4">
        <w:rPr>
          <w:rFonts w:ascii="Candara" w:eastAsia="Candara" w:hAnsi="Candara" w:cs="Candara"/>
          <w:color w:val="000000" w:themeColor="text1"/>
          <w:sz w:val="24"/>
          <w:szCs w:val="24"/>
        </w:rPr>
        <w:t>executar as políticas públicas</w:t>
      </w:r>
      <w:r w:rsidR="00FF0CD3">
        <w:rPr>
          <w:rFonts w:ascii="Candara" w:eastAsia="Candara" w:hAnsi="Candara" w:cs="Candara"/>
          <w:color w:val="000000" w:themeColor="text1"/>
          <w:sz w:val="24"/>
          <w:szCs w:val="24"/>
        </w:rPr>
        <w:t xml:space="preserve"> com </w:t>
      </w:r>
      <w:r w:rsidR="00B71561">
        <w:rPr>
          <w:rFonts w:ascii="Candara" w:eastAsia="Candara" w:hAnsi="Candara" w:cs="Candara"/>
          <w:color w:val="000000" w:themeColor="text1"/>
          <w:sz w:val="24"/>
          <w:szCs w:val="24"/>
        </w:rPr>
        <w:t>menor</w:t>
      </w:r>
      <w:r w:rsidR="00FF0CD3">
        <w:rPr>
          <w:rFonts w:ascii="Candara" w:eastAsia="Candara" w:hAnsi="Candara" w:cs="Candara"/>
          <w:color w:val="000000" w:themeColor="text1"/>
          <w:sz w:val="24"/>
          <w:szCs w:val="24"/>
        </w:rPr>
        <w:t xml:space="preserve"> custo</w:t>
      </w:r>
      <w:r w:rsidR="00E06AFB" w:rsidRPr="00E06AFB">
        <w:rPr>
          <w:rFonts w:ascii="Candara" w:eastAsia="Candara" w:hAnsi="Candara" w:cs="Candara"/>
          <w:color w:val="000000" w:themeColor="text1"/>
          <w:sz w:val="24"/>
          <w:szCs w:val="24"/>
        </w:rPr>
        <w:t>. Neste sentido, a cooperação intergovernamental se torna uma estratégia</w:t>
      </w:r>
      <w:r w:rsidR="0012589F">
        <w:rPr>
          <w:rFonts w:ascii="Candara" w:eastAsia="Candara" w:hAnsi="Candara" w:cs="Candara"/>
          <w:color w:val="000000" w:themeColor="text1"/>
          <w:sz w:val="24"/>
          <w:szCs w:val="24"/>
        </w:rPr>
        <w:t>,</w:t>
      </w:r>
      <w:r w:rsidR="00E06AFB" w:rsidRPr="00E06AFB">
        <w:rPr>
          <w:rFonts w:ascii="Candara" w:eastAsia="Candara" w:hAnsi="Candara" w:cs="Candara"/>
          <w:color w:val="000000" w:themeColor="text1"/>
          <w:sz w:val="24"/>
          <w:szCs w:val="24"/>
        </w:rPr>
        <w:t xml:space="preserve"> que para ser operacionalizada requer articulação política e institucional entre as esferas de governo. Nes</w:t>
      </w:r>
      <w:r w:rsidR="000366BE">
        <w:rPr>
          <w:rFonts w:ascii="Candara" w:eastAsia="Candara" w:hAnsi="Candara" w:cs="Candara"/>
          <w:color w:val="000000" w:themeColor="text1"/>
          <w:sz w:val="24"/>
          <w:szCs w:val="24"/>
        </w:rPr>
        <w:t>t</w:t>
      </w:r>
      <w:r w:rsidR="00E06AFB" w:rsidRPr="00E06AFB">
        <w:rPr>
          <w:rFonts w:ascii="Candara" w:eastAsia="Candara" w:hAnsi="Candara" w:cs="Candara"/>
          <w:color w:val="000000" w:themeColor="text1"/>
          <w:sz w:val="24"/>
          <w:szCs w:val="24"/>
        </w:rPr>
        <w:t xml:space="preserve">e processo, </w:t>
      </w:r>
      <w:r w:rsidR="00DD044B" w:rsidRPr="00E06AFB">
        <w:rPr>
          <w:rFonts w:ascii="Candara" w:eastAsia="Candara" w:hAnsi="Candara" w:cs="Candara"/>
          <w:color w:val="000000" w:themeColor="text1"/>
          <w:sz w:val="24"/>
          <w:szCs w:val="24"/>
        </w:rPr>
        <w:t>a temática dos consórcios públicos</w:t>
      </w:r>
      <w:r w:rsidR="00E06AFB" w:rsidRPr="00E06AFB">
        <w:rPr>
          <w:rFonts w:ascii="Candara" w:eastAsia="Candara" w:hAnsi="Candara" w:cs="Candara"/>
          <w:color w:val="000000" w:themeColor="text1"/>
          <w:sz w:val="24"/>
          <w:szCs w:val="24"/>
        </w:rPr>
        <w:t xml:space="preserve"> torna</w:t>
      </w:r>
      <w:r w:rsidR="0000298E">
        <w:rPr>
          <w:rFonts w:ascii="Candara" w:eastAsia="Candara" w:hAnsi="Candara" w:cs="Candara"/>
          <w:color w:val="000000" w:themeColor="text1"/>
          <w:sz w:val="24"/>
          <w:szCs w:val="24"/>
        </w:rPr>
        <w:t>-se</w:t>
      </w:r>
      <w:r w:rsidR="00E06AFB" w:rsidRPr="00E06AFB">
        <w:rPr>
          <w:rFonts w:ascii="Candara" w:eastAsia="Candara" w:hAnsi="Candara" w:cs="Candara"/>
          <w:color w:val="000000" w:themeColor="text1"/>
          <w:sz w:val="24"/>
          <w:szCs w:val="24"/>
        </w:rPr>
        <w:t xml:space="preserve"> </w:t>
      </w:r>
      <w:r w:rsidR="000366BE">
        <w:rPr>
          <w:rFonts w:ascii="Candara" w:eastAsia="Candara" w:hAnsi="Candara" w:cs="Candara"/>
          <w:color w:val="000000" w:themeColor="text1"/>
          <w:sz w:val="24"/>
          <w:szCs w:val="24"/>
        </w:rPr>
        <w:t>ob</w:t>
      </w:r>
      <w:r w:rsidR="008D473A">
        <w:rPr>
          <w:rFonts w:ascii="Candara" w:eastAsia="Candara" w:hAnsi="Candara" w:cs="Candara"/>
          <w:color w:val="000000" w:themeColor="text1"/>
          <w:sz w:val="24"/>
          <w:szCs w:val="24"/>
        </w:rPr>
        <w:t>jeto de estudo</w:t>
      </w:r>
      <w:r w:rsidR="00A1147A">
        <w:rPr>
          <w:rFonts w:ascii="Candara" w:eastAsia="Candara" w:hAnsi="Candara" w:cs="Candara"/>
          <w:color w:val="000000" w:themeColor="text1"/>
          <w:sz w:val="24"/>
          <w:szCs w:val="24"/>
        </w:rPr>
        <w:t xml:space="preserve">, diante </w:t>
      </w:r>
      <w:r w:rsidR="00C42E58">
        <w:rPr>
          <w:rFonts w:ascii="Candara" w:eastAsia="Candara" w:hAnsi="Candara" w:cs="Candara"/>
          <w:color w:val="000000" w:themeColor="text1"/>
          <w:sz w:val="24"/>
          <w:szCs w:val="24"/>
        </w:rPr>
        <w:t>do crescimento</w:t>
      </w:r>
      <w:r w:rsidR="00992D69">
        <w:rPr>
          <w:rFonts w:ascii="Candara" w:eastAsia="Candara" w:hAnsi="Candara" w:cs="Candara"/>
          <w:color w:val="000000" w:themeColor="text1"/>
          <w:sz w:val="24"/>
          <w:szCs w:val="24"/>
        </w:rPr>
        <w:t xml:space="preserve"> da</w:t>
      </w:r>
      <w:r w:rsidR="003601BF">
        <w:rPr>
          <w:rFonts w:ascii="Candara" w:eastAsia="Candara" w:hAnsi="Candara" w:cs="Candara"/>
          <w:color w:val="000000" w:themeColor="text1"/>
          <w:sz w:val="24"/>
          <w:szCs w:val="24"/>
        </w:rPr>
        <w:t>s ações consorciadas</w:t>
      </w:r>
      <w:r w:rsidR="00C6094B">
        <w:rPr>
          <w:rFonts w:ascii="Candara" w:eastAsia="Candara" w:hAnsi="Candara" w:cs="Candara"/>
          <w:color w:val="000000" w:themeColor="text1"/>
          <w:sz w:val="24"/>
          <w:szCs w:val="24"/>
        </w:rPr>
        <w:t xml:space="preserve"> </w:t>
      </w:r>
      <w:r w:rsidR="00D25BD8">
        <w:rPr>
          <w:rFonts w:ascii="Candara" w:eastAsia="Candara" w:hAnsi="Candara" w:cs="Candara"/>
          <w:color w:val="000000" w:themeColor="text1"/>
          <w:sz w:val="24"/>
          <w:szCs w:val="24"/>
        </w:rPr>
        <w:t xml:space="preserve">no </w:t>
      </w:r>
      <w:r w:rsidR="000F307F">
        <w:rPr>
          <w:rFonts w:ascii="Candara" w:eastAsia="Candara" w:hAnsi="Candara" w:cs="Candara"/>
          <w:color w:val="000000" w:themeColor="text1"/>
          <w:sz w:val="24"/>
          <w:szCs w:val="24"/>
        </w:rPr>
        <w:t xml:space="preserve">território brasileiro, </w:t>
      </w:r>
      <w:r w:rsidR="004532DD">
        <w:rPr>
          <w:rFonts w:ascii="Candara" w:eastAsia="Candara" w:hAnsi="Candara" w:cs="Candara"/>
          <w:color w:val="000000" w:themeColor="text1"/>
          <w:sz w:val="24"/>
          <w:szCs w:val="24"/>
        </w:rPr>
        <w:t>ampliando</w:t>
      </w:r>
      <w:r w:rsidR="00624BB2">
        <w:rPr>
          <w:rFonts w:ascii="Candara" w:eastAsia="Candara" w:hAnsi="Candara" w:cs="Candara"/>
          <w:color w:val="000000" w:themeColor="text1"/>
          <w:sz w:val="24"/>
          <w:szCs w:val="24"/>
        </w:rPr>
        <w:t xml:space="preserve"> a cooperação horizontal</w:t>
      </w:r>
      <w:r w:rsidR="00E06AFB" w:rsidRPr="00E06AFB">
        <w:rPr>
          <w:rFonts w:ascii="Candara" w:eastAsia="Candara" w:hAnsi="Candara" w:cs="Candara"/>
          <w:color w:val="000000" w:themeColor="text1"/>
          <w:sz w:val="24"/>
          <w:szCs w:val="24"/>
        </w:rPr>
        <w:t xml:space="preserve"> </w:t>
      </w:r>
      <w:r w:rsidR="00032A75">
        <w:rPr>
          <w:rFonts w:ascii="Candara" w:eastAsia="Candara" w:hAnsi="Candara" w:cs="Candara"/>
          <w:color w:val="000000" w:themeColor="text1"/>
          <w:sz w:val="24"/>
          <w:szCs w:val="24"/>
        </w:rPr>
        <w:t xml:space="preserve">e </w:t>
      </w:r>
      <w:r w:rsidR="00486AC8">
        <w:rPr>
          <w:rFonts w:ascii="Candara" w:eastAsia="Candara" w:hAnsi="Candara" w:cs="Candara"/>
          <w:color w:val="000000" w:themeColor="text1"/>
          <w:sz w:val="24"/>
          <w:szCs w:val="24"/>
        </w:rPr>
        <w:t>sinalizando um</w:t>
      </w:r>
      <w:r w:rsidR="0022496D">
        <w:rPr>
          <w:rFonts w:ascii="Candara" w:eastAsia="Candara" w:hAnsi="Candara" w:cs="Candara"/>
          <w:color w:val="000000" w:themeColor="text1"/>
          <w:sz w:val="24"/>
          <w:szCs w:val="24"/>
        </w:rPr>
        <w:t>a</w:t>
      </w:r>
      <w:r w:rsidR="00486AC8">
        <w:rPr>
          <w:rFonts w:ascii="Candara" w:eastAsia="Candara" w:hAnsi="Candara" w:cs="Candara"/>
          <w:color w:val="000000" w:themeColor="text1"/>
          <w:sz w:val="24"/>
          <w:szCs w:val="24"/>
        </w:rPr>
        <w:t xml:space="preserve"> possível </w:t>
      </w:r>
      <w:r w:rsidR="0022496D">
        <w:rPr>
          <w:rFonts w:ascii="Candara" w:eastAsia="Candara" w:hAnsi="Candara" w:cs="Candara"/>
          <w:color w:val="000000" w:themeColor="text1"/>
          <w:sz w:val="24"/>
          <w:szCs w:val="24"/>
        </w:rPr>
        <w:t xml:space="preserve">alternativa para </w:t>
      </w:r>
      <w:r w:rsidR="00A84A0A">
        <w:rPr>
          <w:rFonts w:ascii="Candara" w:eastAsia="Candara" w:hAnsi="Candara" w:cs="Candara"/>
          <w:color w:val="000000" w:themeColor="text1"/>
          <w:sz w:val="24"/>
          <w:szCs w:val="24"/>
        </w:rPr>
        <w:t>induzir o desenvolvimento regional</w:t>
      </w:r>
      <w:r w:rsidR="00E06AFB" w:rsidRPr="00E06AFB">
        <w:rPr>
          <w:rFonts w:ascii="Candara" w:eastAsia="Candara" w:hAnsi="Candara" w:cs="Candara"/>
          <w:color w:val="000000" w:themeColor="text1"/>
          <w:sz w:val="24"/>
          <w:szCs w:val="24"/>
        </w:rPr>
        <w:t>.</w:t>
      </w:r>
    </w:p>
    <w:p w14:paraId="42A858E4" w14:textId="65394987" w:rsidR="00E06AFB" w:rsidRPr="00E06AFB" w:rsidRDefault="00CA1D83" w:rsidP="00E06AFB">
      <w:pPr>
        <w:spacing w:after="0" w:line="360" w:lineRule="auto"/>
        <w:ind w:firstLine="851"/>
        <w:jc w:val="both"/>
        <w:rPr>
          <w:rFonts w:ascii="Candara" w:eastAsia="Candara" w:hAnsi="Candara" w:cs="Candara"/>
          <w:color w:val="000000" w:themeColor="text1"/>
          <w:sz w:val="24"/>
          <w:szCs w:val="24"/>
        </w:rPr>
      </w:pPr>
      <w:r w:rsidRPr="00CA1D83">
        <w:rPr>
          <w:rFonts w:ascii="Candara" w:eastAsia="Candara" w:hAnsi="Candara" w:cs="Candara"/>
          <w:color w:val="000000" w:themeColor="text1"/>
          <w:sz w:val="24"/>
          <w:szCs w:val="24"/>
        </w:rPr>
        <w:t xml:space="preserve">Tais </w:t>
      </w:r>
      <w:r w:rsidR="00A70B6E">
        <w:rPr>
          <w:rFonts w:ascii="Candara" w:eastAsia="Candara" w:hAnsi="Candara" w:cs="Candara"/>
          <w:color w:val="000000" w:themeColor="text1"/>
          <w:sz w:val="24"/>
          <w:szCs w:val="24"/>
        </w:rPr>
        <w:t>comportamentos</w:t>
      </w:r>
      <w:r w:rsidRPr="00CA1D83">
        <w:rPr>
          <w:rFonts w:ascii="Candara" w:eastAsia="Candara" w:hAnsi="Candara" w:cs="Candara"/>
          <w:color w:val="000000" w:themeColor="text1"/>
          <w:sz w:val="24"/>
          <w:szCs w:val="24"/>
        </w:rPr>
        <w:t xml:space="preserve"> motiva</w:t>
      </w:r>
      <w:r w:rsidR="00A70B6E">
        <w:rPr>
          <w:rFonts w:ascii="Candara" w:eastAsia="Candara" w:hAnsi="Candara" w:cs="Candara"/>
          <w:color w:val="000000" w:themeColor="text1"/>
          <w:sz w:val="24"/>
          <w:szCs w:val="24"/>
        </w:rPr>
        <w:t>ram</w:t>
      </w:r>
      <w:r w:rsidRPr="00CA1D83">
        <w:rPr>
          <w:rFonts w:ascii="Candara" w:eastAsia="Candara" w:hAnsi="Candara" w:cs="Candara"/>
          <w:color w:val="000000" w:themeColor="text1"/>
          <w:sz w:val="24"/>
          <w:szCs w:val="24"/>
        </w:rPr>
        <w:t xml:space="preserve"> a elaboração desse estudo </w:t>
      </w:r>
      <w:r w:rsidR="001D7341">
        <w:rPr>
          <w:rFonts w:ascii="Candara" w:eastAsia="Candara" w:hAnsi="Candara" w:cs="Candara"/>
          <w:color w:val="000000" w:themeColor="text1"/>
          <w:sz w:val="24"/>
          <w:szCs w:val="24"/>
        </w:rPr>
        <w:t>a</w:t>
      </w:r>
      <w:r w:rsidRPr="00CA1D83">
        <w:rPr>
          <w:rFonts w:ascii="Candara" w:eastAsia="Candara" w:hAnsi="Candara" w:cs="Candara"/>
          <w:color w:val="000000" w:themeColor="text1"/>
          <w:sz w:val="24"/>
          <w:szCs w:val="24"/>
        </w:rPr>
        <w:t xml:space="preserve"> traçar uma visão geral sobre a participação dos municípios em consórcios públicos e suas áreas de atuação, visando analisá-lo como instrumento alternativo para a cooperação horizontal intergovernamental. Para tal, metodologicamente, </w:t>
      </w:r>
      <w:r w:rsidR="00B211D3">
        <w:rPr>
          <w:rFonts w:ascii="Candara" w:eastAsia="Candara" w:hAnsi="Candara" w:cs="Candara"/>
          <w:color w:val="000000" w:themeColor="text1"/>
          <w:sz w:val="24"/>
          <w:szCs w:val="24"/>
        </w:rPr>
        <w:t>a base teórica</w:t>
      </w:r>
      <w:r w:rsidR="00794D29">
        <w:rPr>
          <w:rFonts w:ascii="Candara" w:eastAsia="Candara" w:hAnsi="Candara" w:cs="Candara"/>
          <w:color w:val="000000" w:themeColor="text1"/>
          <w:sz w:val="24"/>
          <w:szCs w:val="24"/>
        </w:rPr>
        <w:t xml:space="preserve"> </w:t>
      </w:r>
      <w:r w:rsidR="005F717B">
        <w:rPr>
          <w:rFonts w:ascii="Candara" w:eastAsia="Candara" w:hAnsi="Candara" w:cs="Candara"/>
          <w:color w:val="000000" w:themeColor="text1"/>
          <w:sz w:val="24"/>
          <w:szCs w:val="24"/>
        </w:rPr>
        <w:t xml:space="preserve">discorre sobre </w:t>
      </w:r>
      <w:r w:rsidRPr="00CA1D83">
        <w:rPr>
          <w:rFonts w:ascii="Candara" w:eastAsia="Candara" w:hAnsi="Candara" w:cs="Candara"/>
          <w:color w:val="000000" w:themeColor="text1"/>
          <w:sz w:val="24"/>
          <w:szCs w:val="24"/>
        </w:rPr>
        <w:t>o</w:t>
      </w:r>
      <w:r w:rsidR="004D43E4">
        <w:rPr>
          <w:rFonts w:ascii="Candara" w:eastAsia="Candara" w:hAnsi="Candara" w:cs="Candara"/>
          <w:color w:val="000000" w:themeColor="text1"/>
          <w:sz w:val="24"/>
          <w:szCs w:val="24"/>
        </w:rPr>
        <w:t>s argumentos</w:t>
      </w:r>
      <w:r w:rsidR="00255D5E">
        <w:rPr>
          <w:rFonts w:ascii="Candara" w:eastAsia="Candara" w:hAnsi="Candara" w:cs="Candara"/>
          <w:color w:val="000000" w:themeColor="text1"/>
          <w:sz w:val="24"/>
          <w:szCs w:val="24"/>
        </w:rPr>
        <w:t xml:space="preserve"> das Ciências econômicas e políticas </w:t>
      </w:r>
      <w:r w:rsidR="009A06C3">
        <w:rPr>
          <w:rFonts w:ascii="Candara" w:eastAsia="Candara" w:hAnsi="Candara" w:cs="Candara"/>
          <w:color w:val="000000" w:themeColor="text1"/>
          <w:sz w:val="24"/>
          <w:szCs w:val="24"/>
        </w:rPr>
        <w:t>que explicam</w:t>
      </w:r>
      <w:r w:rsidR="00255D5E">
        <w:rPr>
          <w:rFonts w:ascii="Candara" w:eastAsia="Candara" w:hAnsi="Candara" w:cs="Candara"/>
          <w:color w:val="000000" w:themeColor="text1"/>
          <w:sz w:val="24"/>
          <w:szCs w:val="24"/>
        </w:rPr>
        <w:t xml:space="preserve"> o</w:t>
      </w:r>
      <w:r w:rsidRPr="00CA1D83">
        <w:rPr>
          <w:rFonts w:ascii="Candara" w:eastAsia="Candara" w:hAnsi="Candara" w:cs="Candara"/>
          <w:color w:val="000000" w:themeColor="text1"/>
          <w:sz w:val="24"/>
          <w:szCs w:val="24"/>
        </w:rPr>
        <w:t xml:space="preserve"> processo de descentralização da estrutura federativa brasileira</w:t>
      </w:r>
      <w:r w:rsidR="005F2541">
        <w:rPr>
          <w:rFonts w:ascii="Candara" w:eastAsia="Candara" w:hAnsi="Candara" w:cs="Candara"/>
          <w:color w:val="000000" w:themeColor="text1"/>
          <w:sz w:val="24"/>
          <w:szCs w:val="24"/>
        </w:rPr>
        <w:t xml:space="preserve"> proveniente da CF/1988</w:t>
      </w:r>
      <w:r w:rsidRPr="00CA1D83">
        <w:rPr>
          <w:rFonts w:ascii="Candara" w:eastAsia="Candara" w:hAnsi="Candara" w:cs="Candara"/>
          <w:color w:val="000000" w:themeColor="text1"/>
          <w:sz w:val="24"/>
          <w:szCs w:val="24"/>
        </w:rPr>
        <w:t>, aliada a pesquisa documental, que utiliz</w:t>
      </w:r>
      <w:r w:rsidR="00F24CF3">
        <w:rPr>
          <w:rFonts w:ascii="Candara" w:eastAsia="Candara" w:hAnsi="Candara" w:cs="Candara"/>
          <w:color w:val="000000" w:themeColor="text1"/>
          <w:sz w:val="24"/>
          <w:szCs w:val="24"/>
        </w:rPr>
        <w:t>a</w:t>
      </w:r>
      <w:r w:rsidRPr="00CA1D83">
        <w:rPr>
          <w:rFonts w:ascii="Candara" w:eastAsia="Candara" w:hAnsi="Candara" w:cs="Candara"/>
          <w:color w:val="000000" w:themeColor="text1"/>
          <w:sz w:val="24"/>
          <w:szCs w:val="24"/>
        </w:rPr>
        <w:t xml:space="preserve"> os dados secundários</w:t>
      </w:r>
      <w:r w:rsidR="00272341">
        <w:rPr>
          <w:rFonts w:ascii="Candara" w:eastAsia="Candara" w:hAnsi="Candara" w:cs="Candara"/>
          <w:color w:val="000000" w:themeColor="text1"/>
          <w:sz w:val="24"/>
          <w:szCs w:val="24"/>
        </w:rPr>
        <w:t>,</w:t>
      </w:r>
      <w:r w:rsidRPr="00CA1D83">
        <w:rPr>
          <w:rFonts w:ascii="Candara" w:eastAsia="Candara" w:hAnsi="Candara" w:cs="Candara"/>
          <w:color w:val="000000" w:themeColor="text1"/>
          <w:sz w:val="24"/>
          <w:szCs w:val="24"/>
        </w:rPr>
        <w:t xml:space="preserve"> reorganiz</w:t>
      </w:r>
      <w:r w:rsidR="00272341">
        <w:rPr>
          <w:rFonts w:ascii="Candara" w:eastAsia="Candara" w:hAnsi="Candara" w:cs="Candara"/>
          <w:color w:val="000000" w:themeColor="text1"/>
          <w:sz w:val="24"/>
          <w:szCs w:val="24"/>
        </w:rPr>
        <w:t>ando</w:t>
      </w:r>
      <w:r w:rsidRPr="00CA1D83">
        <w:rPr>
          <w:rFonts w:ascii="Candara" w:eastAsia="Candara" w:hAnsi="Candara" w:cs="Candara"/>
          <w:color w:val="000000" w:themeColor="text1"/>
          <w:sz w:val="24"/>
          <w:szCs w:val="24"/>
        </w:rPr>
        <w:t xml:space="preserve"> as informações consultadas por meio da publicação da MUNIC 2019 (IBGE).</w:t>
      </w:r>
    </w:p>
    <w:p w14:paraId="4FEEF73C" w14:textId="65CEC970" w:rsidR="00330CEF" w:rsidRDefault="00106895" w:rsidP="00E06AFB">
      <w:pPr>
        <w:spacing w:after="0" w:line="360" w:lineRule="auto"/>
        <w:ind w:firstLine="851"/>
        <w:jc w:val="both"/>
        <w:rPr>
          <w:rFonts w:ascii="Candara" w:eastAsia="Candara" w:hAnsi="Candara" w:cs="Candara"/>
          <w:color w:val="000000" w:themeColor="text1"/>
          <w:sz w:val="24"/>
          <w:szCs w:val="24"/>
        </w:rPr>
      </w:pPr>
      <w:r w:rsidRPr="00106895">
        <w:rPr>
          <w:rFonts w:ascii="Candara" w:eastAsia="Candara" w:hAnsi="Candara" w:cs="Candara"/>
          <w:color w:val="000000" w:themeColor="text1"/>
          <w:sz w:val="24"/>
          <w:szCs w:val="24"/>
        </w:rPr>
        <w:lastRenderedPageBreak/>
        <w:t>Com o intuito de cumprir o objetivo proposto, além desta introdução, este estudo está organizado em mais três seções. Na seção 2, expõe-se a metodologia aplicada. Em seguida, na seção 3, sintetizam-se os fundamentos teóricos do processo de descentralização e a formação de consórcios públicos no Brasil. Já na seção 4, apresentam-se os principais resultados provenientes dos dados da MUNIC 2019 (IBGE) e discute-se sobre a participação dos municípios em consórcios públicos e suas principais áreas de atuação. Por fim, algumas reflexões sobre a atuação dos consórcios públicos como instrumento alternativo capaz de induzir o desenvolvimento regional finalizam este estudo.</w:t>
      </w:r>
    </w:p>
    <w:p w14:paraId="26C89699" w14:textId="77777777" w:rsidR="00330CEF" w:rsidRDefault="00330CEF" w:rsidP="007616CF">
      <w:pPr>
        <w:spacing w:after="0" w:line="360" w:lineRule="auto"/>
        <w:jc w:val="both"/>
        <w:rPr>
          <w:rFonts w:ascii="Candara" w:eastAsia="Candara" w:hAnsi="Candara" w:cs="Candara"/>
          <w:color w:val="000000" w:themeColor="text1"/>
          <w:sz w:val="24"/>
          <w:szCs w:val="24"/>
        </w:rPr>
      </w:pPr>
    </w:p>
    <w:p w14:paraId="6E13464A" w14:textId="2BC34D7A" w:rsidR="00010689" w:rsidRPr="001275C7" w:rsidRDefault="00A56D7B" w:rsidP="00107A73">
      <w:pPr>
        <w:spacing w:after="120" w:line="360" w:lineRule="auto"/>
        <w:ind w:firstLine="851"/>
        <w:jc w:val="both"/>
        <w:rPr>
          <w:rFonts w:ascii="Candara" w:eastAsia="Candara" w:hAnsi="Candara" w:cs="Candara"/>
          <w:b/>
          <w:bCs/>
          <w:color w:val="000000" w:themeColor="text1"/>
          <w:sz w:val="28"/>
          <w:szCs w:val="28"/>
        </w:rPr>
      </w:pPr>
      <w:r w:rsidRPr="001275C7">
        <w:rPr>
          <w:rFonts w:ascii="Candara" w:eastAsia="Candara" w:hAnsi="Candara" w:cs="Candara"/>
          <w:b/>
          <w:bCs/>
          <w:color w:val="000000" w:themeColor="text1"/>
          <w:sz w:val="28"/>
          <w:szCs w:val="28"/>
        </w:rPr>
        <w:t>2 Aspectos Metodológicos</w:t>
      </w:r>
    </w:p>
    <w:p w14:paraId="5DD056D5" w14:textId="50E25734" w:rsidR="00107A73" w:rsidRPr="00107A73" w:rsidRDefault="006F68A8" w:rsidP="00107A73">
      <w:pPr>
        <w:spacing w:after="0" w:line="360" w:lineRule="auto"/>
        <w:ind w:firstLine="851"/>
        <w:jc w:val="both"/>
        <w:rPr>
          <w:rFonts w:ascii="Candara" w:eastAsia="Candara" w:hAnsi="Candara" w:cs="Candara"/>
          <w:color w:val="000000"/>
          <w:sz w:val="24"/>
          <w:szCs w:val="24"/>
        </w:rPr>
      </w:pPr>
      <w:r w:rsidRPr="006F68A8">
        <w:rPr>
          <w:rFonts w:ascii="Candara" w:eastAsia="Candara" w:hAnsi="Candara" w:cs="Candara"/>
          <w:color w:val="000000"/>
          <w:sz w:val="24"/>
          <w:szCs w:val="24"/>
        </w:rPr>
        <w:t>Este estudo adotou para o processo de construção do conhecimento um conjunto de procedimentos que atendem ao método científico orientado para o pluralismo, a partir de uma postura de aprendizado entre diferentes ciências. Deste modo, buscou-se compreender a atuação dos consórcios públicos, com suas especificidades, a partir das várias possibilidades de cooperação, considerando a estrutura federativa brasileira.</w:t>
      </w:r>
    </w:p>
    <w:p w14:paraId="1CA0185A" w14:textId="59D14F11" w:rsidR="00107A73" w:rsidRPr="00107A73" w:rsidRDefault="00016D5F" w:rsidP="00107A73">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I</w:t>
      </w:r>
      <w:r w:rsidR="002312F6" w:rsidRPr="002312F6">
        <w:rPr>
          <w:rFonts w:ascii="Candara" w:eastAsia="Candara" w:hAnsi="Candara" w:cs="Candara"/>
          <w:color w:val="000000"/>
          <w:sz w:val="24"/>
          <w:szCs w:val="24"/>
        </w:rPr>
        <w:t>nicialmente, a natureza das fontes utilizadas para abordagem sobre a temática dos consórcios públicos abrangeu a realização de uma pesquisa bibliográfica, reunindo estudos e pesquisas já realizadas e devidamente registradas por meio de relatórios, livros, teses, artigos, entre outros. Em seguida, este estudo recorreu à pesquisa documental que abrangeu os conteúdos expressos por jornais, legislação, sítios eletrônicos e outros.</w:t>
      </w:r>
    </w:p>
    <w:p w14:paraId="00B0A84D" w14:textId="77777777" w:rsidR="00746DC7" w:rsidRDefault="00107A73" w:rsidP="00107A73">
      <w:pPr>
        <w:spacing w:after="0" w:line="360" w:lineRule="auto"/>
        <w:ind w:firstLine="851"/>
        <w:jc w:val="both"/>
        <w:rPr>
          <w:rFonts w:ascii="Candara" w:eastAsia="Candara" w:hAnsi="Candara" w:cs="Candara"/>
          <w:color w:val="000000"/>
          <w:sz w:val="24"/>
          <w:szCs w:val="24"/>
        </w:rPr>
      </w:pPr>
      <w:r w:rsidRPr="00107A73">
        <w:rPr>
          <w:rFonts w:ascii="Candara" w:eastAsia="Candara" w:hAnsi="Candara" w:cs="Candara"/>
          <w:color w:val="000000"/>
          <w:sz w:val="24"/>
          <w:szCs w:val="24"/>
        </w:rPr>
        <w:lastRenderedPageBreak/>
        <w:t>Tratando-se de um estudo exploratório, após levantar as informações sobre os consórcios públicos, para delimitar e mapear as condições desse mecanismo de cooperação na estrutura federativa brasileira, utilizou-se como parâmetro de análise os dados disponibilizados pela Pesquisa de Informações Básicas Municipais (MUNIC) realizada pelo IBGE para o ano de 2019.</w:t>
      </w:r>
    </w:p>
    <w:p w14:paraId="44D2E88C" w14:textId="1E03BA49" w:rsidR="00107A73" w:rsidRPr="00107A73" w:rsidRDefault="00107A73" w:rsidP="00107A73">
      <w:pPr>
        <w:spacing w:after="0" w:line="360" w:lineRule="auto"/>
        <w:ind w:firstLine="851"/>
        <w:jc w:val="both"/>
        <w:rPr>
          <w:rFonts w:ascii="Candara" w:eastAsia="Candara" w:hAnsi="Candara" w:cs="Candara"/>
          <w:color w:val="000000"/>
          <w:sz w:val="24"/>
          <w:szCs w:val="24"/>
        </w:rPr>
      </w:pPr>
      <w:r w:rsidRPr="00107A73">
        <w:rPr>
          <w:rFonts w:ascii="Candara" w:eastAsia="Candara" w:hAnsi="Candara" w:cs="Candara"/>
          <w:color w:val="000000"/>
          <w:sz w:val="24"/>
          <w:szCs w:val="24"/>
        </w:rPr>
        <w:t xml:space="preserve">A sistematização dos dados possibilitou a identificação do quantitativo dos municípios que participavam de consórcio público, em termos regionais, estaduais e por porte populacional. </w:t>
      </w:r>
      <w:r w:rsidR="00F52834" w:rsidRPr="00F52834">
        <w:rPr>
          <w:rFonts w:ascii="Candara" w:eastAsia="Candara" w:hAnsi="Candara" w:cs="Candara"/>
          <w:color w:val="000000"/>
          <w:sz w:val="24"/>
          <w:szCs w:val="24"/>
        </w:rPr>
        <w:t>Além disso, buscando atender o objetivo deste estudo, examinaram-se as áreas de atuação dos consórcios públicos, considerando as 12 áreas setoriais de políticas públicas (educação, saúde, assistência e desenvolvimento social, turismo, cultura, habitação, meio ambiente, transporte, desenvolvimento urbano, saneamento básico, gestão das águas e manejo de resíduos sólidos) estabelecidas pela MUNIC 2019</w:t>
      </w:r>
      <w:r w:rsidR="00462245">
        <w:rPr>
          <w:rFonts w:ascii="Candara" w:eastAsia="Candara" w:hAnsi="Candara" w:cs="Candara"/>
          <w:color w:val="000000"/>
          <w:sz w:val="24"/>
          <w:szCs w:val="24"/>
        </w:rPr>
        <w:t xml:space="preserve"> (IBGE)</w:t>
      </w:r>
      <w:r w:rsidR="00F52834" w:rsidRPr="00F52834">
        <w:rPr>
          <w:rFonts w:ascii="Candara" w:eastAsia="Candara" w:hAnsi="Candara" w:cs="Candara"/>
          <w:color w:val="000000"/>
          <w:sz w:val="24"/>
          <w:szCs w:val="24"/>
        </w:rPr>
        <w:t>.</w:t>
      </w:r>
    </w:p>
    <w:p w14:paraId="1ED0268A" w14:textId="1C9CE168" w:rsidR="00964F3B" w:rsidRDefault="00ED015E" w:rsidP="00107A73">
      <w:pPr>
        <w:spacing w:after="0" w:line="360" w:lineRule="auto"/>
        <w:ind w:firstLine="851"/>
        <w:jc w:val="both"/>
        <w:rPr>
          <w:rFonts w:ascii="Candara" w:eastAsia="Candara" w:hAnsi="Candara" w:cs="Candara"/>
          <w:color w:val="000000"/>
          <w:sz w:val="24"/>
          <w:szCs w:val="24"/>
        </w:rPr>
      </w:pPr>
      <w:r w:rsidRPr="00ED015E">
        <w:rPr>
          <w:rFonts w:ascii="Candara" w:eastAsia="Candara" w:hAnsi="Candara" w:cs="Candara"/>
          <w:color w:val="000000"/>
          <w:sz w:val="24"/>
          <w:szCs w:val="24"/>
        </w:rPr>
        <w:t>Ressalta-se que a MUNIC 2019 (IBGE) abrangeu os 5.570 municípios do país, sendo possível traçar uma visão geral sobre as práticas consorciais no território brasileiro, contribuindo para atenuar a lacuna, ainda existente, na sistematização de dados relativos à temática dos consórcios públicos. Para melhor análise e interpretação, os dados coletados foram sumarizados na forma de gráficos e tabelas. Cabe esclarecer que, na abordagem analítica, o desenvolvimento deste estudo exigiu flexibilidade da metodologia empregada, visto que os dados disponíveis nem sempre se encontravam na forma adequada para utilizá-los conforme o objetivo proposto.</w:t>
      </w:r>
    </w:p>
    <w:p w14:paraId="356FC2FA" w14:textId="77777777" w:rsidR="00AB30AA" w:rsidRDefault="00AB30AA" w:rsidP="00AB30AA">
      <w:pPr>
        <w:spacing w:after="0" w:line="360" w:lineRule="auto"/>
        <w:jc w:val="both"/>
        <w:rPr>
          <w:rFonts w:ascii="Candara" w:eastAsia="Candara" w:hAnsi="Candara" w:cs="Candara"/>
          <w:color w:val="000000"/>
          <w:sz w:val="24"/>
          <w:szCs w:val="24"/>
        </w:rPr>
      </w:pPr>
    </w:p>
    <w:p w14:paraId="09561483" w14:textId="1E9C7F7D" w:rsidR="00AB30AA" w:rsidRDefault="00AB30AA" w:rsidP="00576E4F">
      <w:pPr>
        <w:spacing w:after="0" w:line="360" w:lineRule="auto"/>
        <w:jc w:val="both"/>
        <w:rPr>
          <w:rFonts w:ascii="Candara" w:eastAsia="Candara" w:hAnsi="Candara" w:cs="Candara"/>
          <w:color w:val="000000"/>
          <w:sz w:val="24"/>
          <w:szCs w:val="24"/>
        </w:rPr>
      </w:pPr>
      <w:r>
        <w:rPr>
          <w:rFonts w:ascii="Candara" w:eastAsia="Candara" w:hAnsi="Candara" w:cs="Candara"/>
          <w:color w:val="000000"/>
          <w:sz w:val="24"/>
          <w:szCs w:val="24"/>
        </w:rPr>
        <w:br w:type="page"/>
      </w:r>
    </w:p>
    <w:p w14:paraId="67381D03" w14:textId="4C3F8A10" w:rsidR="00CE51FD" w:rsidRPr="001D0A0C" w:rsidRDefault="009709FF" w:rsidP="009709FF">
      <w:pPr>
        <w:spacing w:after="120" w:line="360" w:lineRule="auto"/>
        <w:ind w:firstLine="851"/>
        <w:jc w:val="both"/>
        <w:rPr>
          <w:rFonts w:ascii="Candara" w:eastAsia="Candara" w:hAnsi="Candara" w:cs="Candara"/>
          <w:b/>
          <w:bCs/>
          <w:color w:val="000000"/>
          <w:sz w:val="28"/>
          <w:szCs w:val="28"/>
        </w:rPr>
      </w:pPr>
      <w:r w:rsidRPr="001D0A0C">
        <w:rPr>
          <w:rFonts w:ascii="Candara" w:eastAsia="Candara" w:hAnsi="Candara" w:cs="Candara"/>
          <w:b/>
          <w:bCs/>
          <w:color w:val="000000"/>
          <w:sz w:val="28"/>
          <w:szCs w:val="28"/>
        </w:rPr>
        <w:lastRenderedPageBreak/>
        <w:t xml:space="preserve">3 </w:t>
      </w:r>
      <w:r w:rsidR="00FC26E7" w:rsidRPr="001D0A0C">
        <w:rPr>
          <w:rFonts w:ascii="Candara" w:eastAsia="Candara" w:hAnsi="Candara" w:cs="Candara"/>
          <w:b/>
          <w:bCs/>
          <w:color w:val="000000"/>
          <w:sz w:val="28"/>
          <w:szCs w:val="28"/>
        </w:rPr>
        <w:t>Referencial Teórico</w:t>
      </w:r>
    </w:p>
    <w:p w14:paraId="3DF3E388" w14:textId="3A3B0F18" w:rsidR="00BD07E7" w:rsidRPr="00BD07E7" w:rsidRDefault="00BD07E7" w:rsidP="00BD07E7">
      <w:pPr>
        <w:spacing w:after="0" w:line="360" w:lineRule="auto"/>
        <w:ind w:firstLine="851"/>
        <w:jc w:val="both"/>
        <w:rPr>
          <w:rFonts w:ascii="Candara" w:eastAsia="Candara" w:hAnsi="Candara" w:cs="Candara"/>
          <w:color w:val="000000"/>
          <w:sz w:val="24"/>
          <w:szCs w:val="24"/>
        </w:rPr>
      </w:pPr>
      <w:r w:rsidRPr="00BD07E7">
        <w:rPr>
          <w:rFonts w:ascii="Candara" w:eastAsia="Candara" w:hAnsi="Candara" w:cs="Candara"/>
          <w:color w:val="000000"/>
          <w:sz w:val="24"/>
          <w:szCs w:val="24"/>
        </w:rPr>
        <w:t>No caso brasileiro, os postulados teóricos que tratam sobre o processo d</w:t>
      </w:r>
      <w:r w:rsidR="00E1757C">
        <w:rPr>
          <w:rFonts w:ascii="Candara" w:eastAsia="Candara" w:hAnsi="Candara" w:cs="Candara"/>
          <w:color w:val="000000"/>
          <w:sz w:val="24"/>
          <w:szCs w:val="24"/>
        </w:rPr>
        <w:t>e</w:t>
      </w:r>
      <w:r w:rsidRPr="00BD07E7">
        <w:rPr>
          <w:rFonts w:ascii="Candara" w:eastAsia="Candara" w:hAnsi="Candara" w:cs="Candara"/>
          <w:color w:val="000000"/>
          <w:sz w:val="24"/>
          <w:szCs w:val="24"/>
        </w:rPr>
        <w:t xml:space="preserve"> descentralização </w:t>
      </w:r>
      <w:r w:rsidR="00F32D10">
        <w:rPr>
          <w:rFonts w:ascii="Candara" w:eastAsia="Candara" w:hAnsi="Candara" w:cs="Candara"/>
          <w:color w:val="000000"/>
          <w:sz w:val="24"/>
          <w:szCs w:val="24"/>
        </w:rPr>
        <w:t xml:space="preserve">em decorrência da CF/1988 </w:t>
      </w:r>
      <w:r w:rsidRPr="00BD07E7">
        <w:rPr>
          <w:rFonts w:ascii="Candara" w:eastAsia="Candara" w:hAnsi="Candara" w:cs="Candara"/>
          <w:color w:val="000000"/>
          <w:sz w:val="24"/>
          <w:szCs w:val="24"/>
        </w:rPr>
        <w:t xml:space="preserve">são extensos, controversos, multidisciplinares e multidimensional. Ao longo dos </w:t>
      </w:r>
      <w:r w:rsidR="00565AF0">
        <w:rPr>
          <w:rFonts w:ascii="Candara" w:eastAsia="Candara" w:hAnsi="Candara" w:cs="Candara"/>
          <w:color w:val="000000"/>
          <w:sz w:val="24"/>
          <w:szCs w:val="24"/>
        </w:rPr>
        <w:t xml:space="preserve">quase </w:t>
      </w:r>
      <w:r w:rsidRPr="00BD07E7">
        <w:rPr>
          <w:rFonts w:ascii="Candara" w:eastAsia="Candara" w:hAnsi="Candara" w:cs="Candara"/>
          <w:color w:val="000000"/>
          <w:sz w:val="24"/>
          <w:szCs w:val="24"/>
        </w:rPr>
        <w:t>3</w:t>
      </w:r>
      <w:r w:rsidR="00CF32DD">
        <w:rPr>
          <w:rFonts w:ascii="Candara" w:eastAsia="Candara" w:hAnsi="Candara" w:cs="Candara"/>
          <w:color w:val="000000"/>
          <w:sz w:val="24"/>
          <w:szCs w:val="24"/>
        </w:rPr>
        <w:t>6</w:t>
      </w:r>
      <w:r w:rsidRPr="00BD07E7">
        <w:rPr>
          <w:rFonts w:ascii="Candara" w:eastAsia="Candara" w:hAnsi="Candara" w:cs="Candara"/>
          <w:color w:val="000000"/>
          <w:sz w:val="24"/>
          <w:szCs w:val="24"/>
        </w:rPr>
        <w:t xml:space="preserve"> anos, a literatura reúne uma série de estudos que mostram distintas abordagens analíticas para a trajetória do federalismo </w:t>
      </w:r>
      <w:r w:rsidR="00B204D3">
        <w:rPr>
          <w:rFonts w:ascii="Candara" w:eastAsia="Candara" w:hAnsi="Candara" w:cs="Candara"/>
          <w:color w:val="000000"/>
          <w:sz w:val="24"/>
          <w:szCs w:val="24"/>
        </w:rPr>
        <w:t xml:space="preserve">brasileiro </w:t>
      </w:r>
      <w:r w:rsidRPr="00BD07E7">
        <w:rPr>
          <w:rFonts w:ascii="Candara" w:eastAsia="Candara" w:hAnsi="Candara" w:cs="Candara"/>
          <w:color w:val="000000"/>
          <w:sz w:val="24"/>
          <w:szCs w:val="24"/>
        </w:rPr>
        <w:t>e a</w:t>
      </w:r>
      <w:r w:rsidR="00BD2893">
        <w:rPr>
          <w:rFonts w:ascii="Candara" w:eastAsia="Candara" w:hAnsi="Candara" w:cs="Candara"/>
          <w:color w:val="000000"/>
          <w:sz w:val="24"/>
          <w:szCs w:val="24"/>
        </w:rPr>
        <w:t>s</w:t>
      </w:r>
      <w:r w:rsidRPr="00BD07E7">
        <w:rPr>
          <w:rFonts w:ascii="Candara" w:eastAsia="Candara" w:hAnsi="Candara" w:cs="Candara"/>
          <w:color w:val="000000"/>
          <w:sz w:val="24"/>
          <w:szCs w:val="24"/>
        </w:rPr>
        <w:t xml:space="preserve"> relaç</w:t>
      </w:r>
      <w:r w:rsidR="00BD2893">
        <w:rPr>
          <w:rFonts w:ascii="Candara" w:eastAsia="Candara" w:hAnsi="Candara" w:cs="Candara"/>
          <w:color w:val="000000"/>
          <w:sz w:val="24"/>
          <w:szCs w:val="24"/>
        </w:rPr>
        <w:t>ões</w:t>
      </w:r>
      <w:r w:rsidRPr="00BD07E7">
        <w:rPr>
          <w:rFonts w:ascii="Candara" w:eastAsia="Candara" w:hAnsi="Candara" w:cs="Candara"/>
          <w:color w:val="000000"/>
          <w:sz w:val="24"/>
          <w:szCs w:val="24"/>
        </w:rPr>
        <w:t xml:space="preserve"> entre o </w:t>
      </w:r>
      <w:r w:rsidR="00F354D7">
        <w:rPr>
          <w:rFonts w:ascii="Candara" w:eastAsia="Candara" w:hAnsi="Candara" w:cs="Candara"/>
          <w:color w:val="000000"/>
          <w:sz w:val="24"/>
          <w:szCs w:val="24"/>
        </w:rPr>
        <w:t>G</w:t>
      </w:r>
      <w:r w:rsidRPr="00BD07E7">
        <w:rPr>
          <w:rFonts w:ascii="Candara" w:eastAsia="Candara" w:hAnsi="Candara" w:cs="Candara"/>
          <w:color w:val="000000"/>
          <w:sz w:val="24"/>
          <w:szCs w:val="24"/>
        </w:rPr>
        <w:t xml:space="preserve">overno </w:t>
      </w:r>
      <w:r w:rsidR="00F354D7">
        <w:rPr>
          <w:rFonts w:ascii="Candara" w:eastAsia="Candara" w:hAnsi="Candara" w:cs="Candara"/>
          <w:color w:val="000000"/>
          <w:sz w:val="24"/>
          <w:szCs w:val="24"/>
        </w:rPr>
        <w:t>C</w:t>
      </w:r>
      <w:r w:rsidRPr="00BD07E7">
        <w:rPr>
          <w:rFonts w:ascii="Candara" w:eastAsia="Candara" w:hAnsi="Candara" w:cs="Candara"/>
          <w:color w:val="000000"/>
          <w:sz w:val="24"/>
          <w:szCs w:val="24"/>
        </w:rPr>
        <w:t>entral e os governos subnacionais. Neste percurso, os municípios alçados à condição de entes federados autônomos assumiram competências e responsabilidades que requereu a adoção e ampliação de instrumentos destinados à ação governamental.</w:t>
      </w:r>
    </w:p>
    <w:p w14:paraId="506CBC6F" w14:textId="32CE4B13" w:rsidR="00BD07E7" w:rsidRPr="00BD07E7" w:rsidRDefault="003D0F21" w:rsidP="00BD07E7">
      <w:pPr>
        <w:spacing w:after="0" w:line="360" w:lineRule="auto"/>
        <w:ind w:firstLine="851"/>
        <w:jc w:val="both"/>
        <w:rPr>
          <w:rFonts w:ascii="Candara" w:eastAsia="Candara" w:hAnsi="Candara" w:cs="Candara"/>
          <w:color w:val="000000"/>
          <w:sz w:val="24"/>
          <w:szCs w:val="24"/>
        </w:rPr>
      </w:pPr>
      <w:r w:rsidRPr="003D0F21">
        <w:rPr>
          <w:rFonts w:ascii="Candara" w:eastAsia="Candara" w:hAnsi="Candara" w:cs="Candara"/>
          <w:color w:val="000000"/>
          <w:sz w:val="24"/>
          <w:szCs w:val="24"/>
        </w:rPr>
        <w:t>Ademais, em um país como o Brasil de vasta dimensão territorial e marcado por profundas desigualdades inter e intrarregional, os efeitos da descentralização se mostraram dependentes da diversidade econômica, social e política. Em geral, os pesquisadores ressaltam que as novas atribuições que os governos subnacionais assumiram, particularmente os entes municipais, evidenciaram o elevado grau de heterogeneidade devido à diferenciação dos resultados. Acrescentam-se também as reformulações das políticas de âmbito nacional, entre elas, as direcionadas para a escala regional voltada para o desenvolvimento, que foram desarticuladas e reduzidos seus instrumentos institucionais.</w:t>
      </w:r>
    </w:p>
    <w:p w14:paraId="6E42DD7E" w14:textId="77777777" w:rsidR="0064260E" w:rsidRDefault="00BD07E7" w:rsidP="00BD07E7">
      <w:pPr>
        <w:spacing w:after="0" w:line="360" w:lineRule="auto"/>
        <w:ind w:firstLine="851"/>
        <w:jc w:val="both"/>
        <w:rPr>
          <w:rFonts w:ascii="Candara" w:eastAsia="Candara" w:hAnsi="Candara" w:cs="Candara"/>
          <w:color w:val="000000"/>
          <w:sz w:val="24"/>
          <w:szCs w:val="24"/>
        </w:rPr>
      </w:pPr>
      <w:r w:rsidRPr="00BD07E7">
        <w:rPr>
          <w:rFonts w:ascii="Candara" w:eastAsia="Candara" w:hAnsi="Candara" w:cs="Candara"/>
          <w:color w:val="000000"/>
          <w:sz w:val="24"/>
          <w:szCs w:val="24"/>
        </w:rPr>
        <w:t xml:space="preserve">Esta questão ganhou relevância ao considerar o processo de descentralização das políticas públicas, em especial, as tratadas pelo art. 23 do texto constitucional, cuja responsabilidade pela provisão passou a ser comum aos três entes federados e ao Distrito Federal. Neste sentido, as investigações acerca dos efeitos da descentralização sobre a </w:t>
      </w:r>
      <w:r w:rsidR="00BD7259">
        <w:rPr>
          <w:rFonts w:ascii="Candara" w:eastAsia="Candara" w:hAnsi="Candara" w:cs="Candara"/>
          <w:color w:val="000000"/>
          <w:sz w:val="24"/>
          <w:szCs w:val="24"/>
        </w:rPr>
        <w:t>execução</w:t>
      </w:r>
      <w:r w:rsidRPr="00BD07E7">
        <w:rPr>
          <w:rFonts w:ascii="Candara" w:eastAsia="Candara" w:hAnsi="Candara" w:cs="Candara"/>
          <w:color w:val="000000"/>
          <w:sz w:val="24"/>
          <w:szCs w:val="24"/>
        </w:rPr>
        <w:t xml:space="preserve"> d</w:t>
      </w:r>
      <w:r w:rsidR="00C815BC">
        <w:rPr>
          <w:rFonts w:ascii="Candara" w:eastAsia="Candara" w:hAnsi="Candara" w:cs="Candara"/>
          <w:color w:val="000000"/>
          <w:sz w:val="24"/>
          <w:szCs w:val="24"/>
        </w:rPr>
        <w:t>as</w:t>
      </w:r>
      <w:r w:rsidRPr="00BD07E7">
        <w:rPr>
          <w:rFonts w:ascii="Candara" w:eastAsia="Candara" w:hAnsi="Candara" w:cs="Candara"/>
          <w:color w:val="000000"/>
          <w:sz w:val="24"/>
          <w:szCs w:val="24"/>
        </w:rPr>
        <w:t xml:space="preserve"> políticas públicas se desdobraram em diferentes interpretações.</w:t>
      </w:r>
    </w:p>
    <w:p w14:paraId="7685DAF8" w14:textId="1197829A" w:rsidR="00BD07E7" w:rsidRPr="00BD07E7" w:rsidRDefault="000309E6" w:rsidP="00BD07E7">
      <w:pPr>
        <w:spacing w:after="0" w:line="360" w:lineRule="auto"/>
        <w:ind w:firstLine="851"/>
        <w:jc w:val="both"/>
        <w:rPr>
          <w:rFonts w:ascii="Candara" w:eastAsia="Candara" w:hAnsi="Candara" w:cs="Candara"/>
          <w:color w:val="000000"/>
          <w:sz w:val="24"/>
          <w:szCs w:val="24"/>
        </w:rPr>
      </w:pPr>
      <w:r w:rsidRPr="000309E6">
        <w:rPr>
          <w:rFonts w:ascii="Candara" w:eastAsia="Candara" w:hAnsi="Candara" w:cs="Candara"/>
          <w:color w:val="000000"/>
          <w:sz w:val="24"/>
          <w:szCs w:val="24"/>
        </w:rPr>
        <w:lastRenderedPageBreak/>
        <w:t>Sob a égide de uma Constituição Federal de caráter descentralizadora, questões teóricas e empíricas repercutiram amparada por distintas bases metodológicas, norteando as ações em diferentes contextos multidisciplinares. Para fins desse estudo, o tema da descentralização é visto sob as lentes teóricas das Ciências Econômicas e Políticas, aliada à adoção das práticas consorciadas.</w:t>
      </w:r>
    </w:p>
    <w:p w14:paraId="501B95C4" w14:textId="2F394E34" w:rsidR="00495B96" w:rsidRDefault="007209A7" w:rsidP="00BD07E7">
      <w:pPr>
        <w:spacing w:after="0" w:line="360" w:lineRule="auto"/>
        <w:ind w:firstLine="851"/>
        <w:jc w:val="both"/>
        <w:rPr>
          <w:rFonts w:ascii="Candara" w:eastAsia="Candara" w:hAnsi="Candara" w:cs="Candara"/>
          <w:color w:val="000000"/>
          <w:sz w:val="24"/>
          <w:szCs w:val="24"/>
        </w:rPr>
      </w:pPr>
      <w:r w:rsidRPr="007209A7">
        <w:rPr>
          <w:rFonts w:ascii="Candara" w:eastAsia="Candara" w:hAnsi="Candara" w:cs="Candara"/>
          <w:color w:val="000000"/>
          <w:sz w:val="24"/>
          <w:szCs w:val="24"/>
        </w:rPr>
        <w:t xml:space="preserve">Do ponto de vista da Ciência Econômica, os teóricos do </w:t>
      </w:r>
      <w:r w:rsidRPr="007209A7">
        <w:rPr>
          <w:rFonts w:ascii="Candara" w:eastAsia="Candara" w:hAnsi="Candara" w:cs="Candara"/>
          <w:i/>
          <w:iCs/>
          <w:color w:val="000000"/>
          <w:sz w:val="24"/>
          <w:szCs w:val="24"/>
        </w:rPr>
        <w:t>mainstream</w:t>
      </w:r>
      <w:r w:rsidRPr="007209A7">
        <w:rPr>
          <w:rFonts w:ascii="Candara" w:eastAsia="Candara" w:hAnsi="Candara" w:cs="Candara"/>
          <w:color w:val="000000"/>
          <w:sz w:val="24"/>
          <w:szCs w:val="24"/>
        </w:rPr>
        <w:t>, que tratam da descentralização, tendem a privilegiar os aspectos fiscais. Em geral, o pressuposto normativo argumenta que a descentralização proporciona ganhos de eficiência porque os governos locais estão mais próximos dos cidadãos. Dessa forma, os governantes conhecem melhor as demandas, fazendo com que os escassos recursos públicos tenham uma melhor alocação.</w:t>
      </w:r>
    </w:p>
    <w:p w14:paraId="082E4479" w14:textId="4D4D6A4D" w:rsidR="00BD07E7" w:rsidRPr="00BD07E7" w:rsidRDefault="005A69B8" w:rsidP="00BD07E7">
      <w:pPr>
        <w:spacing w:after="0" w:line="360" w:lineRule="auto"/>
        <w:ind w:firstLine="851"/>
        <w:jc w:val="both"/>
        <w:rPr>
          <w:rFonts w:ascii="Candara" w:eastAsia="Candara" w:hAnsi="Candara" w:cs="Candara"/>
          <w:color w:val="000000"/>
          <w:sz w:val="24"/>
          <w:szCs w:val="24"/>
        </w:rPr>
      </w:pPr>
      <w:r w:rsidRPr="005A69B8">
        <w:rPr>
          <w:rFonts w:ascii="Candara" w:eastAsia="Candara" w:hAnsi="Candara" w:cs="Candara"/>
          <w:color w:val="000000"/>
          <w:sz w:val="24"/>
          <w:szCs w:val="24"/>
        </w:rPr>
        <w:t>Além disso, o fortalecimento dos níveis subnacionais de governo representa um processo virtuoso ao propiciar maior concorrência no âmbito de cada esfera descentralizada, possibilitando aos cidadãos condições para a cobrança de melhores serviços públicos. Esta vertente defende que a descentralização oportuniza maior eficiência alocativa e a competição entre as unidades federadas incentiva a criação de inovações no sistema público (Arrow, 1963; Buchanan e Tullock, 1962; Olson, 1969; Peacock, 1992; Tiebout, 1956; Weingast, 1995).</w:t>
      </w:r>
    </w:p>
    <w:p w14:paraId="72058A7B" w14:textId="4FA36047" w:rsidR="00BD07E7" w:rsidRPr="00BD07E7" w:rsidRDefault="002E5B61" w:rsidP="00BD07E7">
      <w:pPr>
        <w:spacing w:after="0" w:line="360" w:lineRule="auto"/>
        <w:ind w:firstLine="851"/>
        <w:jc w:val="both"/>
        <w:rPr>
          <w:rFonts w:ascii="Candara" w:eastAsia="Candara" w:hAnsi="Candara" w:cs="Candara"/>
          <w:color w:val="000000"/>
          <w:sz w:val="24"/>
          <w:szCs w:val="24"/>
        </w:rPr>
      </w:pPr>
      <w:r w:rsidRPr="002E5B61">
        <w:rPr>
          <w:rFonts w:ascii="Candara" w:eastAsia="Candara" w:hAnsi="Candara" w:cs="Candara"/>
          <w:color w:val="000000"/>
          <w:sz w:val="24"/>
          <w:szCs w:val="24"/>
        </w:rPr>
        <w:t xml:space="preserve">No âmbito da Ciência Política, Souza (2005, 2019, 2023) reconhece que a autonomia dos governos subnacionais para tomar decisões sobre políticas públicas é inerente ao sistema federativo. No entanto, a autora ressalta que o modelo adotado no país é simétrico em uma federação assimétrica. Deste modo, as diferentes capacidades dos governos subnacionais de implementarem políticas públicas e a ausência de mecanismos constitucionais e/ou institucionais que estimulem a </w:t>
      </w:r>
      <w:r w:rsidRPr="002E5B61">
        <w:rPr>
          <w:rFonts w:ascii="Candara" w:eastAsia="Candara" w:hAnsi="Candara" w:cs="Candara"/>
          <w:color w:val="000000"/>
          <w:sz w:val="24"/>
          <w:szCs w:val="24"/>
        </w:rPr>
        <w:lastRenderedPageBreak/>
        <w:t>cooperação intergovernamental tornam a estrutura federativa brasileira altamente competitiva e marcada por conflitos. Neste contexto, a experiência brasileira quanto à descentralização se mostrou limitada, não podendo ser vista como solução para problemas que ultrapassam suas possibilidades, essencialmente, em países com profundas desigualdades regionais.</w:t>
      </w:r>
    </w:p>
    <w:p w14:paraId="79E725C1" w14:textId="77777777" w:rsidR="00D92BC9" w:rsidRDefault="00AA0CD9" w:rsidP="00BD07E7">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Ainda, sob a </w:t>
      </w:r>
      <w:r w:rsidR="00615639">
        <w:rPr>
          <w:rFonts w:ascii="Candara" w:eastAsia="Candara" w:hAnsi="Candara" w:cs="Candara"/>
          <w:color w:val="000000"/>
          <w:sz w:val="24"/>
          <w:szCs w:val="24"/>
        </w:rPr>
        <w:t>base teórica</w:t>
      </w:r>
      <w:r>
        <w:rPr>
          <w:rFonts w:ascii="Candara" w:eastAsia="Candara" w:hAnsi="Candara" w:cs="Candara"/>
          <w:color w:val="000000"/>
          <w:sz w:val="24"/>
          <w:szCs w:val="24"/>
        </w:rPr>
        <w:t xml:space="preserve"> da Ciência Política, </w:t>
      </w:r>
      <w:r w:rsidR="005B7C9C" w:rsidRPr="005B7C9C">
        <w:rPr>
          <w:rFonts w:ascii="Candara" w:eastAsia="Candara" w:hAnsi="Candara" w:cs="Candara"/>
          <w:color w:val="000000"/>
          <w:sz w:val="24"/>
          <w:szCs w:val="24"/>
        </w:rPr>
        <w:t xml:space="preserve">Arretche (2010, p. 596-597) </w:t>
      </w:r>
      <w:r w:rsidR="00006A83">
        <w:rPr>
          <w:rFonts w:ascii="Candara" w:eastAsia="Candara" w:hAnsi="Candara" w:cs="Candara"/>
          <w:color w:val="000000"/>
          <w:sz w:val="24"/>
          <w:szCs w:val="24"/>
        </w:rPr>
        <w:t xml:space="preserve">reforça </w:t>
      </w:r>
      <w:r w:rsidR="00673247">
        <w:rPr>
          <w:rFonts w:ascii="Candara" w:eastAsia="Candara" w:hAnsi="Candara" w:cs="Candara"/>
          <w:color w:val="000000"/>
          <w:sz w:val="24"/>
          <w:szCs w:val="24"/>
        </w:rPr>
        <w:t xml:space="preserve">que </w:t>
      </w:r>
      <w:r w:rsidR="003312B9">
        <w:rPr>
          <w:rFonts w:ascii="Candara" w:eastAsia="Candara" w:hAnsi="Candara" w:cs="Candara"/>
          <w:color w:val="000000"/>
          <w:sz w:val="24"/>
          <w:szCs w:val="24"/>
        </w:rPr>
        <w:t>a análise d</w:t>
      </w:r>
      <w:r w:rsidR="005B7C9C" w:rsidRPr="005B7C9C">
        <w:rPr>
          <w:rFonts w:ascii="Candara" w:eastAsia="Candara" w:hAnsi="Candara" w:cs="Candara"/>
          <w:color w:val="000000"/>
          <w:sz w:val="24"/>
          <w:szCs w:val="24"/>
        </w:rPr>
        <w:t xml:space="preserve">as políticas públicas executadas </w:t>
      </w:r>
      <w:r w:rsidR="00D509A3">
        <w:rPr>
          <w:rFonts w:ascii="Candara" w:eastAsia="Candara" w:hAnsi="Candara" w:cs="Candara"/>
          <w:color w:val="000000"/>
          <w:sz w:val="24"/>
          <w:szCs w:val="24"/>
        </w:rPr>
        <w:t>pelos governos subnacionais</w:t>
      </w:r>
      <w:r w:rsidR="005B7C9C" w:rsidRPr="005B7C9C">
        <w:rPr>
          <w:rFonts w:ascii="Candara" w:eastAsia="Candara" w:hAnsi="Candara" w:cs="Candara"/>
          <w:color w:val="000000"/>
          <w:sz w:val="24"/>
          <w:szCs w:val="24"/>
        </w:rPr>
        <w:t xml:space="preserve"> requer “o emprego da distinção conceitual entre responsabilidade pela execução de políticas públicas (</w:t>
      </w:r>
      <w:r w:rsidR="005B7C9C" w:rsidRPr="002D1F4B">
        <w:rPr>
          <w:rFonts w:ascii="Candara" w:eastAsia="Candara" w:hAnsi="Candara" w:cs="Candara"/>
          <w:i/>
          <w:iCs/>
          <w:color w:val="000000"/>
          <w:sz w:val="24"/>
          <w:szCs w:val="24"/>
        </w:rPr>
        <w:t>policy-making</w:t>
      </w:r>
      <w:r w:rsidR="005B7C9C" w:rsidRPr="005B7C9C">
        <w:rPr>
          <w:rFonts w:ascii="Candara" w:eastAsia="Candara" w:hAnsi="Candara" w:cs="Candara"/>
          <w:color w:val="000000"/>
          <w:sz w:val="24"/>
          <w:szCs w:val="24"/>
        </w:rPr>
        <w:t>) e a autoridade para tomar decisões sobre estas mesmas políticas (</w:t>
      </w:r>
      <w:r w:rsidR="005B7C9C" w:rsidRPr="002D1F4B">
        <w:rPr>
          <w:rFonts w:ascii="Candara" w:eastAsia="Candara" w:hAnsi="Candara" w:cs="Candara"/>
          <w:i/>
          <w:iCs/>
          <w:color w:val="000000"/>
          <w:sz w:val="24"/>
          <w:szCs w:val="24"/>
        </w:rPr>
        <w:t>policy decision-making</w:t>
      </w:r>
      <w:r w:rsidR="005B7C9C" w:rsidRPr="005B7C9C">
        <w:rPr>
          <w:rFonts w:ascii="Candara" w:eastAsia="Candara" w:hAnsi="Candara" w:cs="Candara"/>
          <w:color w:val="000000"/>
          <w:sz w:val="24"/>
          <w:szCs w:val="24"/>
        </w:rPr>
        <w:t>)”.</w:t>
      </w:r>
    </w:p>
    <w:p w14:paraId="5BB46745" w14:textId="77777777" w:rsidR="001A68E4" w:rsidRDefault="002D3151" w:rsidP="00BD07E7">
      <w:pPr>
        <w:spacing w:after="0" w:line="360" w:lineRule="auto"/>
        <w:ind w:firstLine="851"/>
        <w:jc w:val="both"/>
        <w:rPr>
          <w:rFonts w:ascii="Candara" w:eastAsia="Candara" w:hAnsi="Candara" w:cs="Candara"/>
          <w:color w:val="000000"/>
          <w:sz w:val="24"/>
          <w:szCs w:val="24"/>
        </w:rPr>
      </w:pPr>
      <w:r w:rsidRPr="002D3151">
        <w:rPr>
          <w:rFonts w:ascii="Candara" w:eastAsia="Candara" w:hAnsi="Candara" w:cs="Candara"/>
          <w:color w:val="000000"/>
          <w:sz w:val="24"/>
          <w:szCs w:val="24"/>
        </w:rPr>
        <w:t>Para Arretche (2010, p. 596-597), “a provisão de serviços públicos e a alocação setorial do gasto são fortemente afetadas pela legislação e supervisão federais”. Neste caso, os governos subnacionais somente possuem autonomia de implementação para algumas políticas públicas, dado que, a exemplo da saúde e educação, existem regras constitucionais que vinculam as receitas aos gastos, limitando a alocação dos recursos.</w:t>
      </w:r>
    </w:p>
    <w:p w14:paraId="1D4A0B8E" w14:textId="32EA9BC2" w:rsidR="00CD04E1" w:rsidRDefault="005B7C9C" w:rsidP="00BD07E7">
      <w:pPr>
        <w:spacing w:after="0" w:line="360" w:lineRule="auto"/>
        <w:ind w:firstLine="851"/>
        <w:jc w:val="both"/>
        <w:rPr>
          <w:rFonts w:ascii="Candara" w:eastAsia="Candara" w:hAnsi="Candara" w:cs="Candara"/>
          <w:color w:val="000000"/>
          <w:sz w:val="24"/>
          <w:szCs w:val="24"/>
        </w:rPr>
      </w:pPr>
      <w:r w:rsidRPr="005B7C9C">
        <w:rPr>
          <w:rFonts w:ascii="Candara" w:eastAsia="Candara" w:hAnsi="Candara" w:cs="Candara"/>
          <w:color w:val="000000"/>
          <w:sz w:val="24"/>
          <w:szCs w:val="24"/>
        </w:rPr>
        <w:t>Deste modo, consideram-se dois tipos de políticas descentralizadas:</w:t>
      </w:r>
    </w:p>
    <w:p w14:paraId="27D6C444" w14:textId="77777777" w:rsidR="0058082B" w:rsidRPr="0058082B" w:rsidRDefault="0058082B" w:rsidP="0058082B">
      <w:pPr>
        <w:spacing w:after="0" w:line="240" w:lineRule="auto"/>
        <w:ind w:left="2268"/>
        <w:jc w:val="both"/>
        <w:rPr>
          <w:rFonts w:ascii="Candara" w:eastAsia="Candara" w:hAnsi="Candara" w:cs="Candara"/>
          <w:color w:val="000000"/>
          <w:sz w:val="20"/>
          <w:szCs w:val="20"/>
        </w:rPr>
      </w:pPr>
      <w:r w:rsidRPr="0058082B">
        <w:rPr>
          <w:rFonts w:ascii="Candara" w:eastAsia="Candara" w:hAnsi="Candara" w:cs="Candara"/>
          <w:color w:val="000000"/>
          <w:sz w:val="20"/>
          <w:szCs w:val="20"/>
        </w:rPr>
        <w:t>(1) reguladas: aquelas nas quais a legislação e a supervisão federais limitam a autonomia decisória dos governos subnacionais, estabelecendo patamares de gasto e modalidades de execução das políticas;</w:t>
      </w:r>
    </w:p>
    <w:p w14:paraId="45D54B64" w14:textId="7FF5E226" w:rsidR="00CD04E1" w:rsidRPr="0058082B" w:rsidRDefault="0058082B" w:rsidP="002B6134">
      <w:pPr>
        <w:spacing w:after="240" w:line="240" w:lineRule="auto"/>
        <w:ind w:left="2268"/>
        <w:jc w:val="both"/>
        <w:rPr>
          <w:rFonts w:ascii="Candara" w:eastAsia="Candara" w:hAnsi="Candara" w:cs="Candara"/>
          <w:color w:val="000000"/>
          <w:sz w:val="20"/>
          <w:szCs w:val="20"/>
        </w:rPr>
      </w:pPr>
      <w:r w:rsidRPr="0058082B">
        <w:rPr>
          <w:rFonts w:ascii="Candara" w:eastAsia="Candara" w:hAnsi="Candara" w:cs="Candara"/>
          <w:color w:val="000000"/>
          <w:sz w:val="20"/>
          <w:szCs w:val="20"/>
        </w:rPr>
        <w:t>(2) não reguladas: aquelas nas quais a execução das políticas (</w:t>
      </w:r>
      <w:r w:rsidRPr="008662D6">
        <w:rPr>
          <w:rFonts w:ascii="Candara" w:eastAsia="Candara" w:hAnsi="Candara" w:cs="Candara"/>
          <w:i/>
          <w:iCs/>
          <w:color w:val="000000"/>
          <w:sz w:val="20"/>
          <w:szCs w:val="20"/>
        </w:rPr>
        <w:t>policy-making</w:t>
      </w:r>
      <w:r w:rsidRPr="0058082B">
        <w:rPr>
          <w:rFonts w:ascii="Candara" w:eastAsia="Candara" w:hAnsi="Candara" w:cs="Candara"/>
          <w:color w:val="000000"/>
          <w:sz w:val="20"/>
          <w:szCs w:val="20"/>
        </w:rPr>
        <w:t>) está associada à autonomia para tomar decisões (</w:t>
      </w:r>
      <w:r w:rsidRPr="008662D6">
        <w:rPr>
          <w:rFonts w:ascii="Candara" w:eastAsia="Candara" w:hAnsi="Candara" w:cs="Candara"/>
          <w:i/>
          <w:iCs/>
          <w:color w:val="000000"/>
          <w:sz w:val="20"/>
          <w:szCs w:val="20"/>
        </w:rPr>
        <w:t>policy decision-making</w:t>
      </w:r>
      <w:r w:rsidRPr="0058082B">
        <w:rPr>
          <w:rFonts w:ascii="Candara" w:eastAsia="Candara" w:hAnsi="Candara" w:cs="Candara"/>
          <w:color w:val="000000"/>
          <w:sz w:val="20"/>
          <w:szCs w:val="20"/>
        </w:rPr>
        <w:t>)</w:t>
      </w:r>
      <w:r w:rsidR="008662D6">
        <w:rPr>
          <w:rFonts w:ascii="Candara" w:eastAsia="Candara" w:hAnsi="Candara" w:cs="Candara"/>
          <w:color w:val="000000"/>
          <w:sz w:val="20"/>
          <w:szCs w:val="20"/>
        </w:rPr>
        <w:t>.</w:t>
      </w:r>
      <w:r w:rsidR="000B5D92">
        <w:rPr>
          <w:rFonts w:ascii="Candara" w:eastAsia="Candara" w:hAnsi="Candara" w:cs="Candara"/>
          <w:color w:val="000000"/>
          <w:sz w:val="20"/>
          <w:szCs w:val="20"/>
        </w:rPr>
        <w:t xml:space="preserve"> </w:t>
      </w:r>
      <w:r w:rsidRPr="0058082B">
        <w:rPr>
          <w:rFonts w:ascii="Candara" w:eastAsia="Candara" w:hAnsi="Candara" w:cs="Candara"/>
          <w:color w:val="000000"/>
          <w:sz w:val="20"/>
          <w:szCs w:val="20"/>
        </w:rPr>
        <w:t>(Arretche, 2010, p. 603)</w:t>
      </w:r>
    </w:p>
    <w:p w14:paraId="52D1E984" w14:textId="5A6E3717" w:rsidR="0058082B" w:rsidRDefault="00C43885" w:rsidP="002B6134">
      <w:pPr>
        <w:spacing w:after="0" w:line="360" w:lineRule="auto"/>
        <w:ind w:firstLine="851"/>
        <w:jc w:val="both"/>
        <w:rPr>
          <w:rFonts w:ascii="Candara" w:eastAsia="Candara" w:hAnsi="Candara" w:cs="Candara"/>
          <w:color w:val="000000"/>
          <w:sz w:val="24"/>
          <w:szCs w:val="24"/>
        </w:rPr>
      </w:pPr>
      <w:r w:rsidRPr="00C43885">
        <w:rPr>
          <w:rFonts w:ascii="Candara" w:eastAsia="Candara" w:hAnsi="Candara" w:cs="Candara"/>
          <w:color w:val="000000"/>
          <w:sz w:val="24"/>
          <w:szCs w:val="24"/>
        </w:rPr>
        <w:t>Usualmente, considerando a abordagem multidimensional para a descentralização, adotam-se três dimensões conceituais distintas, conforme exposto por Arretche</w:t>
      </w:r>
      <w:r w:rsidR="002B6134" w:rsidRPr="002B6134">
        <w:rPr>
          <w:rFonts w:ascii="Candara" w:eastAsia="Candara" w:hAnsi="Candara" w:cs="Candara"/>
          <w:color w:val="000000"/>
          <w:sz w:val="24"/>
          <w:szCs w:val="24"/>
        </w:rPr>
        <w:t xml:space="preserve"> (2012, p. 147):</w:t>
      </w:r>
    </w:p>
    <w:p w14:paraId="26754A89" w14:textId="77777777" w:rsidR="00225222" w:rsidRPr="00225222" w:rsidRDefault="00225222" w:rsidP="00225222">
      <w:pPr>
        <w:spacing w:after="0" w:line="240" w:lineRule="auto"/>
        <w:ind w:left="2268"/>
        <w:jc w:val="both"/>
        <w:rPr>
          <w:rFonts w:ascii="Candara" w:eastAsia="Candara" w:hAnsi="Candara" w:cs="Candara"/>
          <w:color w:val="000000"/>
          <w:sz w:val="20"/>
          <w:szCs w:val="20"/>
        </w:rPr>
      </w:pPr>
      <w:r w:rsidRPr="00225222">
        <w:rPr>
          <w:rFonts w:ascii="Candara" w:eastAsia="Candara" w:hAnsi="Candara" w:cs="Candara"/>
          <w:color w:val="000000"/>
          <w:sz w:val="20"/>
          <w:szCs w:val="20"/>
        </w:rPr>
        <w:lastRenderedPageBreak/>
        <w:t>(1) Descentralização política – relativa à possibilidade de que os governos locais sejam eleitos diretamente e tenham um mandato próprio e, portanto, irrevogável pelos níveis superiores de governo;</w:t>
      </w:r>
    </w:p>
    <w:p w14:paraId="7CB924F6" w14:textId="77777777" w:rsidR="00225222" w:rsidRPr="00225222" w:rsidRDefault="00225222" w:rsidP="00225222">
      <w:pPr>
        <w:spacing w:after="0" w:line="240" w:lineRule="auto"/>
        <w:ind w:left="2268"/>
        <w:jc w:val="both"/>
        <w:rPr>
          <w:rFonts w:ascii="Candara" w:eastAsia="Candara" w:hAnsi="Candara" w:cs="Candara"/>
          <w:color w:val="000000"/>
          <w:sz w:val="20"/>
          <w:szCs w:val="20"/>
        </w:rPr>
      </w:pPr>
      <w:r w:rsidRPr="00225222">
        <w:rPr>
          <w:rFonts w:ascii="Candara" w:eastAsia="Candara" w:hAnsi="Candara" w:cs="Candara"/>
          <w:color w:val="000000"/>
          <w:sz w:val="20"/>
          <w:szCs w:val="20"/>
        </w:rPr>
        <w:t>(2) Descentralização fiscal – relativa à participação das receitas e gastos dos governos subnacionais sobre o gasto agregado;</w:t>
      </w:r>
    </w:p>
    <w:p w14:paraId="01C620FD" w14:textId="65CBDE3C" w:rsidR="002B6134" w:rsidRPr="00225222" w:rsidRDefault="00225222" w:rsidP="00225222">
      <w:pPr>
        <w:spacing w:after="240" w:line="240" w:lineRule="auto"/>
        <w:ind w:left="2268"/>
        <w:jc w:val="both"/>
        <w:rPr>
          <w:rFonts w:ascii="Candara" w:eastAsia="Candara" w:hAnsi="Candara" w:cs="Candara"/>
          <w:color w:val="000000"/>
          <w:sz w:val="20"/>
          <w:szCs w:val="20"/>
        </w:rPr>
      </w:pPr>
      <w:r w:rsidRPr="00225222">
        <w:rPr>
          <w:rFonts w:ascii="Candara" w:eastAsia="Candara" w:hAnsi="Candara" w:cs="Candara"/>
          <w:color w:val="000000"/>
          <w:sz w:val="20"/>
          <w:szCs w:val="20"/>
        </w:rPr>
        <w:t>(3) Descentralização de competências – relativa à responsabilidade pela execução de políticas públicas.</w:t>
      </w:r>
    </w:p>
    <w:p w14:paraId="3403D74F" w14:textId="554A890D" w:rsidR="00F14C21" w:rsidRPr="00F14C21" w:rsidRDefault="00D01559" w:rsidP="00F14C21">
      <w:pPr>
        <w:spacing w:after="0" w:line="360" w:lineRule="auto"/>
        <w:ind w:firstLine="851"/>
        <w:jc w:val="both"/>
        <w:rPr>
          <w:rFonts w:ascii="Candara" w:eastAsia="Candara" w:hAnsi="Candara" w:cs="Candara"/>
          <w:color w:val="000000"/>
          <w:sz w:val="24"/>
          <w:szCs w:val="24"/>
        </w:rPr>
      </w:pPr>
      <w:r w:rsidRPr="00D01559">
        <w:rPr>
          <w:rFonts w:ascii="Candara" w:eastAsia="Candara" w:hAnsi="Candara" w:cs="Candara"/>
          <w:color w:val="000000"/>
          <w:sz w:val="24"/>
          <w:szCs w:val="24"/>
        </w:rPr>
        <w:t>Nessa linha, Arretche (2012, p. 146-147) argumenta que “diferentes dimensões da descentralização não podem ser tomadas como equivalentes”. Semelhantemente, Prado (2020, p. 67) destaca que a “descentralização como norma de organização do setor público não é uma alternativa sempre válida, mas é condicionada às condições políticas e sociais do país em questão”.</w:t>
      </w:r>
    </w:p>
    <w:p w14:paraId="5F03BDC8" w14:textId="77777777" w:rsidR="00FF04F3" w:rsidRDefault="001042EE" w:rsidP="00F14C21">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O</w:t>
      </w:r>
      <w:r w:rsidR="002E2929" w:rsidRPr="002E2929">
        <w:rPr>
          <w:rFonts w:ascii="Candara" w:eastAsia="Candara" w:hAnsi="Candara" w:cs="Candara"/>
          <w:color w:val="000000"/>
          <w:sz w:val="24"/>
          <w:szCs w:val="24"/>
        </w:rPr>
        <w:t xml:space="preserve"> pressuposto teórico da Ciência Política que trata </w:t>
      </w:r>
      <w:r w:rsidR="00162D25">
        <w:rPr>
          <w:rFonts w:ascii="Candara" w:eastAsia="Candara" w:hAnsi="Candara" w:cs="Candara"/>
          <w:color w:val="000000"/>
          <w:sz w:val="24"/>
          <w:szCs w:val="24"/>
        </w:rPr>
        <w:t>o processo d</w:t>
      </w:r>
      <w:r w:rsidR="002E2929" w:rsidRPr="002E2929">
        <w:rPr>
          <w:rFonts w:ascii="Candara" w:eastAsia="Candara" w:hAnsi="Candara" w:cs="Candara"/>
          <w:color w:val="000000"/>
          <w:sz w:val="24"/>
          <w:szCs w:val="24"/>
        </w:rPr>
        <w:t>a descentralização</w:t>
      </w:r>
      <w:r w:rsidR="00093F60">
        <w:rPr>
          <w:rFonts w:ascii="Candara" w:eastAsia="Candara" w:hAnsi="Candara" w:cs="Candara"/>
          <w:color w:val="000000"/>
          <w:sz w:val="24"/>
          <w:szCs w:val="24"/>
        </w:rPr>
        <w:t>,</w:t>
      </w:r>
      <w:r w:rsidR="002E2929" w:rsidRPr="002E2929">
        <w:rPr>
          <w:rFonts w:ascii="Candara" w:eastAsia="Candara" w:hAnsi="Candara" w:cs="Candara"/>
          <w:color w:val="000000"/>
          <w:sz w:val="24"/>
          <w:szCs w:val="24"/>
        </w:rPr>
        <w:t xml:space="preserve"> a partir do teor normativo </w:t>
      </w:r>
      <w:r w:rsidR="00F9439B">
        <w:rPr>
          <w:rFonts w:ascii="Candara" w:eastAsia="Candara" w:hAnsi="Candara" w:cs="Candara"/>
          <w:color w:val="000000"/>
          <w:sz w:val="24"/>
          <w:szCs w:val="24"/>
        </w:rPr>
        <w:t>da CF/1988</w:t>
      </w:r>
      <w:r w:rsidR="00093F60">
        <w:rPr>
          <w:rFonts w:ascii="Candara" w:eastAsia="Candara" w:hAnsi="Candara" w:cs="Candara"/>
          <w:color w:val="000000"/>
          <w:sz w:val="24"/>
          <w:szCs w:val="24"/>
        </w:rPr>
        <w:t xml:space="preserve">, </w:t>
      </w:r>
      <w:r w:rsidR="002E2929" w:rsidRPr="002E2929">
        <w:rPr>
          <w:rFonts w:ascii="Candara" w:eastAsia="Candara" w:hAnsi="Candara" w:cs="Candara"/>
          <w:color w:val="000000"/>
          <w:sz w:val="24"/>
          <w:szCs w:val="24"/>
        </w:rPr>
        <w:t>sustenta que a autonomia política, administrativa e financeira instituída para os governos subnacionais foi pouco acompanhada por mecanismos voltados para fortalecer as relações intergovernamentais.</w:t>
      </w:r>
    </w:p>
    <w:p w14:paraId="1267C852" w14:textId="0F240CFF" w:rsidR="00F14C21" w:rsidRPr="00F14C21" w:rsidRDefault="00564DE5" w:rsidP="00F14C21">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Na visão </w:t>
      </w:r>
      <w:r w:rsidR="006F59A1">
        <w:rPr>
          <w:rFonts w:ascii="Candara" w:eastAsia="Candara" w:hAnsi="Candara" w:cs="Candara"/>
          <w:color w:val="000000"/>
          <w:sz w:val="24"/>
          <w:szCs w:val="24"/>
        </w:rPr>
        <w:t>dos autores,</w:t>
      </w:r>
      <w:r w:rsidR="002E2929" w:rsidRPr="002E2929">
        <w:rPr>
          <w:rFonts w:ascii="Candara" w:eastAsia="Candara" w:hAnsi="Candara" w:cs="Candara"/>
          <w:color w:val="000000"/>
          <w:sz w:val="24"/>
          <w:szCs w:val="24"/>
        </w:rPr>
        <w:t xml:space="preserve"> Grin e Abrucio (2019, p. 80) “produziu-se um novo arranjo federativo, que trouxe maior poder, autonomia e atribuições aos governos municipais, mas essa mudança não foi suficiente para que eles exercessem sem problemas as novas funções e responsabilidades”.</w:t>
      </w:r>
    </w:p>
    <w:p w14:paraId="6D654373" w14:textId="3163B5E8" w:rsidR="0083515B" w:rsidRDefault="004007BF" w:rsidP="00F14C21">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Observa-se que </w:t>
      </w:r>
      <w:r w:rsidR="00F14C21" w:rsidRPr="00F14C21">
        <w:rPr>
          <w:rFonts w:ascii="Candara" w:eastAsia="Candara" w:hAnsi="Candara" w:cs="Candara"/>
          <w:color w:val="000000"/>
          <w:sz w:val="24"/>
          <w:szCs w:val="24"/>
        </w:rPr>
        <w:t xml:space="preserve">a descentralização das políticas públicas </w:t>
      </w:r>
      <w:r w:rsidR="000E1F0B">
        <w:rPr>
          <w:rFonts w:ascii="Candara" w:eastAsia="Candara" w:hAnsi="Candara" w:cs="Candara"/>
          <w:color w:val="000000"/>
          <w:sz w:val="24"/>
          <w:szCs w:val="24"/>
        </w:rPr>
        <w:t xml:space="preserve">preconizadas </w:t>
      </w:r>
      <w:r w:rsidR="00F73D6B">
        <w:rPr>
          <w:rFonts w:ascii="Candara" w:eastAsia="Candara" w:hAnsi="Candara" w:cs="Candara"/>
          <w:color w:val="000000"/>
          <w:sz w:val="24"/>
          <w:szCs w:val="24"/>
        </w:rPr>
        <w:t>pela CF/1988 requer</w:t>
      </w:r>
      <w:r w:rsidR="00F14C21" w:rsidRPr="00F14C21">
        <w:rPr>
          <w:rFonts w:ascii="Candara" w:eastAsia="Candara" w:hAnsi="Candara" w:cs="Candara"/>
          <w:color w:val="000000"/>
          <w:sz w:val="24"/>
          <w:szCs w:val="24"/>
        </w:rPr>
        <w:t xml:space="preserve"> </w:t>
      </w:r>
      <w:r w:rsidR="00F73D6B">
        <w:rPr>
          <w:rFonts w:ascii="Candara" w:eastAsia="Candara" w:hAnsi="Candara" w:cs="Candara"/>
          <w:color w:val="000000"/>
          <w:sz w:val="24"/>
          <w:szCs w:val="24"/>
        </w:rPr>
        <w:t>um</w:t>
      </w:r>
      <w:r w:rsidR="00F14C21" w:rsidRPr="00F14C21">
        <w:rPr>
          <w:rFonts w:ascii="Candara" w:eastAsia="Candara" w:hAnsi="Candara" w:cs="Candara"/>
          <w:color w:val="000000"/>
          <w:sz w:val="24"/>
          <w:szCs w:val="24"/>
        </w:rPr>
        <w:t>a estrutura de incentivos e d</w:t>
      </w:r>
      <w:r w:rsidR="00F73D6B">
        <w:rPr>
          <w:rFonts w:ascii="Candara" w:eastAsia="Candara" w:hAnsi="Candara" w:cs="Candara"/>
          <w:color w:val="000000"/>
          <w:sz w:val="24"/>
          <w:szCs w:val="24"/>
        </w:rPr>
        <w:t>e</w:t>
      </w:r>
      <w:r w:rsidR="00F14C21" w:rsidRPr="00F14C21">
        <w:rPr>
          <w:rFonts w:ascii="Candara" w:eastAsia="Candara" w:hAnsi="Candara" w:cs="Candara"/>
          <w:color w:val="000000"/>
          <w:sz w:val="24"/>
          <w:szCs w:val="24"/>
        </w:rPr>
        <w:t xml:space="preserve"> instrumentos de coordenação mobilizados pelo </w:t>
      </w:r>
      <w:r w:rsidR="003F2634">
        <w:rPr>
          <w:rFonts w:ascii="Candara" w:eastAsia="Candara" w:hAnsi="Candara" w:cs="Candara"/>
          <w:color w:val="000000"/>
          <w:sz w:val="24"/>
          <w:szCs w:val="24"/>
        </w:rPr>
        <w:t>G</w:t>
      </w:r>
      <w:r w:rsidR="00F14C21" w:rsidRPr="00F14C21">
        <w:rPr>
          <w:rFonts w:ascii="Candara" w:eastAsia="Candara" w:hAnsi="Candara" w:cs="Candara"/>
          <w:color w:val="000000"/>
          <w:sz w:val="24"/>
          <w:szCs w:val="24"/>
        </w:rPr>
        <w:t xml:space="preserve">overno </w:t>
      </w:r>
      <w:r w:rsidR="003F2634">
        <w:rPr>
          <w:rFonts w:ascii="Candara" w:eastAsia="Candara" w:hAnsi="Candara" w:cs="Candara"/>
          <w:color w:val="000000"/>
          <w:sz w:val="24"/>
          <w:szCs w:val="24"/>
        </w:rPr>
        <w:t>C</w:t>
      </w:r>
      <w:r w:rsidR="00F14C21" w:rsidRPr="00F14C21">
        <w:rPr>
          <w:rFonts w:ascii="Candara" w:eastAsia="Candara" w:hAnsi="Candara" w:cs="Candara"/>
          <w:color w:val="000000"/>
          <w:sz w:val="24"/>
          <w:szCs w:val="24"/>
        </w:rPr>
        <w:t xml:space="preserve">entral. </w:t>
      </w:r>
      <w:r w:rsidR="00207FD7">
        <w:rPr>
          <w:rFonts w:ascii="Candara" w:eastAsia="Candara" w:hAnsi="Candara" w:cs="Candara"/>
          <w:color w:val="000000"/>
          <w:sz w:val="24"/>
          <w:szCs w:val="24"/>
        </w:rPr>
        <w:t xml:space="preserve">Neste sentido, </w:t>
      </w:r>
      <w:r w:rsidR="006114ED" w:rsidRPr="00F14C21">
        <w:rPr>
          <w:rFonts w:ascii="Candara" w:eastAsia="Candara" w:hAnsi="Candara" w:cs="Candara"/>
          <w:color w:val="000000"/>
          <w:sz w:val="24"/>
          <w:szCs w:val="24"/>
        </w:rPr>
        <w:t xml:space="preserve">a exemplo do SUS, </w:t>
      </w:r>
      <w:r w:rsidR="006114ED">
        <w:rPr>
          <w:rFonts w:ascii="Candara" w:eastAsia="Candara" w:hAnsi="Candara" w:cs="Candara"/>
          <w:color w:val="000000"/>
          <w:sz w:val="24"/>
          <w:szCs w:val="24"/>
        </w:rPr>
        <w:t>a</w:t>
      </w:r>
      <w:r w:rsidR="00F14C21" w:rsidRPr="00F14C21">
        <w:rPr>
          <w:rFonts w:ascii="Candara" w:eastAsia="Candara" w:hAnsi="Candara" w:cs="Candara"/>
          <w:color w:val="000000"/>
          <w:sz w:val="24"/>
          <w:szCs w:val="24"/>
        </w:rPr>
        <w:t xml:space="preserve"> implementação </w:t>
      </w:r>
      <w:r w:rsidR="002E4429">
        <w:rPr>
          <w:rFonts w:ascii="Candara" w:eastAsia="Candara" w:hAnsi="Candara" w:cs="Candara"/>
          <w:color w:val="000000"/>
          <w:sz w:val="24"/>
          <w:szCs w:val="24"/>
        </w:rPr>
        <w:t>de um modelo sistêmico</w:t>
      </w:r>
      <w:r w:rsidR="00FC1E25">
        <w:rPr>
          <w:rFonts w:ascii="Candara" w:eastAsia="Candara" w:hAnsi="Candara" w:cs="Candara"/>
          <w:color w:val="000000"/>
          <w:sz w:val="24"/>
          <w:szCs w:val="24"/>
        </w:rPr>
        <w:t>, coordenado pelo governo federal,</w:t>
      </w:r>
      <w:r w:rsidR="00F14C21" w:rsidRPr="00F14C21">
        <w:rPr>
          <w:rFonts w:ascii="Candara" w:eastAsia="Candara" w:hAnsi="Candara" w:cs="Candara"/>
          <w:color w:val="000000"/>
          <w:sz w:val="24"/>
          <w:szCs w:val="24"/>
        </w:rPr>
        <w:t xml:space="preserve"> </w:t>
      </w:r>
      <w:r w:rsidR="000D2021">
        <w:rPr>
          <w:rFonts w:ascii="Candara" w:eastAsia="Candara" w:hAnsi="Candara" w:cs="Candara"/>
          <w:color w:val="000000"/>
          <w:sz w:val="24"/>
          <w:szCs w:val="24"/>
        </w:rPr>
        <w:t xml:space="preserve">contribuiu </w:t>
      </w:r>
      <w:r w:rsidR="00507DB2">
        <w:rPr>
          <w:rFonts w:ascii="Candara" w:eastAsia="Candara" w:hAnsi="Candara" w:cs="Candara"/>
          <w:color w:val="000000"/>
          <w:sz w:val="24"/>
          <w:szCs w:val="24"/>
        </w:rPr>
        <w:t xml:space="preserve">para </w:t>
      </w:r>
      <w:r w:rsidR="00F14C21" w:rsidRPr="00F14C21">
        <w:rPr>
          <w:rFonts w:ascii="Candara" w:eastAsia="Candara" w:hAnsi="Candara" w:cs="Candara"/>
          <w:color w:val="000000"/>
          <w:sz w:val="24"/>
          <w:szCs w:val="24"/>
        </w:rPr>
        <w:t xml:space="preserve">garantir a combinação de autonomia dos governos subnacionais com redução do impacto </w:t>
      </w:r>
      <w:r w:rsidR="00281880">
        <w:rPr>
          <w:rFonts w:ascii="Candara" w:eastAsia="Candara" w:hAnsi="Candara" w:cs="Candara"/>
          <w:color w:val="000000"/>
          <w:sz w:val="24"/>
          <w:szCs w:val="24"/>
        </w:rPr>
        <w:t xml:space="preserve">proveniente </w:t>
      </w:r>
      <w:r w:rsidR="00F14C21" w:rsidRPr="00F14C21">
        <w:rPr>
          <w:rFonts w:ascii="Candara" w:eastAsia="Candara" w:hAnsi="Candara" w:cs="Candara"/>
          <w:color w:val="000000"/>
          <w:sz w:val="24"/>
          <w:szCs w:val="24"/>
        </w:rPr>
        <w:t>da desigualdade territorial.</w:t>
      </w:r>
    </w:p>
    <w:p w14:paraId="327CA45E" w14:textId="57CEF6AA" w:rsidR="00F14C21" w:rsidRPr="00F14C21" w:rsidRDefault="00D54A7F" w:rsidP="00F14C21">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Mesmo assim</w:t>
      </w:r>
      <w:r w:rsidR="00C637C4" w:rsidRPr="00C637C4">
        <w:rPr>
          <w:rFonts w:ascii="Candara" w:eastAsia="Candara" w:hAnsi="Candara" w:cs="Candara"/>
          <w:color w:val="000000"/>
          <w:sz w:val="24"/>
          <w:szCs w:val="24"/>
        </w:rPr>
        <w:t>, a diversidade na trajetória da</w:t>
      </w:r>
      <w:r w:rsidR="00E43FC3">
        <w:rPr>
          <w:rFonts w:ascii="Candara" w:eastAsia="Candara" w:hAnsi="Candara" w:cs="Candara"/>
          <w:color w:val="000000"/>
          <w:sz w:val="24"/>
          <w:szCs w:val="24"/>
        </w:rPr>
        <w:t>s políticas públicas</w:t>
      </w:r>
      <w:r w:rsidR="00C637C4" w:rsidRPr="00C637C4">
        <w:rPr>
          <w:rFonts w:ascii="Candara" w:eastAsia="Candara" w:hAnsi="Candara" w:cs="Candara"/>
          <w:color w:val="000000"/>
          <w:sz w:val="24"/>
          <w:szCs w:val="24"/>
        </w:rPr>
        <w:t xml:space="preserve">, principalmente, as que não </w:t>
      </w:r>
      <w:r w:rsidR="0099246B">
        <w:rPr>
          <w:rFonts w:ascii="Candara" w:eastAsia="Candara" w:hAnsi="Candara" w:cs="Candara"/>
          <w:color w:val="000000"/>
          <w:sz w:val="24"/>
          <w:szCs w:val="24"/>
        </w:rPr>
        <w:t>tiveram</w:t>
      </w:r>
      <w:r w:rsidR="00C637C4" w:rsidRPr="00C637C4">
        <w:rPr>
          <w:rFonts w:ascii="Candara" w:eastAsia="Candara" w:hAnsi="Candara" w:cs="Candara"/>
          <w:color w:val="000000"/>
          <w:sz w:val="24"/>
          <w:szCs w:val="24"/>
        </w:rPr>
        <w:t xml:space="preserve">, em seu processo de formulação, a implantação sistêmica para sua execução, </w:t>
      </w:r>
      <w:r w:rsidR="00AF3F86">
        <w:rPr>
          <w:rFonts w:ascii="Candara" w:eastAsia="Candara" w:hAnsi="Candara" w:cs="Candara"/>
          <w:color w:val="000000"/>
          <w:sz w:val="24"/>
          <w:szCs w:val="24"/>
        </w:rPr>
        <w:t xml:space="preserve">a descentralização </w:t>
      </w:r>
      <w:r w:rsidR="00FC1585">
        <w:rPr>
          <w:rFonts w:ascii="Candara" w:eastAsia="Candara" w:hAnsi="Candara" w:cs="Candara"/>
          <w:color w:val="000000"/>
          <w:sz w:val="24"/>
          <w:szCs w:val="24"/>
        </w:rPr>
        <w:t xml:space="preserve">trouxe </w:t>
      </w:r>
      <w:r w:rsidR="00E632A9">
        <w:rPr>
          <w:rFonts w:ascii="Candara" w:eastAsia="Candara" w:hAnsi="Candara" w:cs="Candara"/>
          <w:color w:val="000000"/>
          <w:sz w:val="24"/>
          <w:szCs w:val="24"/>
        </w:rPr>
        <w:t xml:space="preserve">inúmeras dificuldades, </w:t>
      </w:r>
      <w:r w:rsidR="00C637C4" w:rsidRPr="00C637C4">
        <w:rPr>
          <w:rFonts w:ascii="Candara" w:eastAsia="Candara" w:hAnsi="Candara" w:cs="Candara"/>
          <w:color w:val="000000"/>
          <w:sz w:val="24"/>
          <w:szCs w:val="24"/>
        </w:rPr>
        <w:t>leva</w:t>
      </w:r>
      <w:r w:rsidR="00E632A9">
        <w:rPr>
          <w:rFonts w:ascii="Candara" w:eastAsia="Candara" w:hAnsi="Candara" w:cs="Candara"/>
          <w:color w:val="000000"/>
          <w:sz w:val="24"/>
          <w:szCs w:val="24"/>
        </w:rPr>
        <w:t>ndo</w:t>
      </w:r>
      <w:r w:rsidR="00C637C4" w:rsidRPr="00C637C4">
        <w:rPr>
          <w:rFonts w:ascii="Candara" w:eastAsia="Candara" w:hAnsi="Candara" w:cs="Candara"/>
          <w:color w:val="000000"/>
          <w:sz w:val="24"/>
          <w:szCs w:val="24"/>
        </w:rPr>
        <w:t xml:space="preserve"> os governos subnacionais a criarem formas inovadoras de gestão pública. Neste caso, os entes</w:t>
      </w:r>
      <w:r w:rsidR="007B5C61">
        <w:rPr>
          <w:rFonts w:ascii="Candara" w:eastAsia="Candara" w:hAnsi="Candara" w:cs="Candara"/>
          <w:color w:val="000000"/>
          <w:sz w:val="24"/>
          <w:szCs w:val="24"/>
        </w:rPr>
        <w:t xml:space="preserve"> municipais</w:t>
      </w:r>
      <w:r w:rsidR="00C637C4" w:rsidRPr="00C637C4">
        <w:rPr>
          <w:rFonts w:ascii="Candara" w:eastAsia="Candara" w:hAnsi="Candara" w:cs="Candara"/>
          <w:color w:val="000000"/>
          <w:sz w:val="24"/>
          <w:szCs w:val="24"/>
        </w:rPr>
        <w:t xml:space="preserve"> adotaram diferentes recursos e instrumentos de cooperação intergovernamental, dado que muitos problemas de caráter público são de natureza</w:t>
      </w:r>
      <w:r w:rsidR="00054ADD">
        <w:rPr>
          <w:rFonts w:ascii="Candara" w:eastAsia="Candara" w:hAnsi="Candara" w:cs="Candara"/>
          <w:color w:val="000000"/>
          <w:sz w:val="24"/>
          <w:szCs w:val="24"/>
        </w:rPr>
        <w:t xml:space="preserve"> intermunicipais</w:t>
      </w:r>
      <w:r w:rsidR="00976585">
        <w:rPr>
          <w:rFonts w:ascii="Candara" w:eastAsia="Candara" w:hAnsi="Candara" w:cs="Candara"/>
          <w:color w:val="000000"/>
          <w:sz w:val="24"/>
          <w:szCs w:val="24"/>
        </w:rPr>
        <w:t xml:space="preserve"> e</w:t>
      </w:r>
      <w:r w:rsidR="00C637C4" w:rsidRPr="00C637C4">
        <w:rPr>
          <w:rFonts w:ascii="Candara" w:eastAsia="Candara" w:hAnsi="Candara" w:cs="Candara"/>
          <w:color w:val="000000"/>
          <w:sz w:val="24"/>
          <w:szCs w:val="24"/>
        </w:rPr>
        <w:t xml:space="preserve"> regionais.</w:t>
      </w:r>
    </w:p>
    <w:p w14:paraId="72BA74ED" w14:textId="6BF62197" w:rsidR="00F14C21" w:rsidRPr="00F14C21" w:rsidRDefault="00BA1566" w:rsidP="00F14C21">
      <w:pPr>
        <w:spacing w:after="0" w:line="360" w:lineRule="auto"/>
        <w:ind w:firstLine="851"/>
        <w:jc w:val="both"/>
        <w:rPr>
          <w:rFonts w:ascii="Candara" w:eastAsia="Candara" w:hAnsi="Candara" w:cs="Candara"/>
          <w:color w:val="000000"/>
          <w:sz w:val="24"/>
          <w:szCs w:val="24"/>
        </w:rPr>
      </w:pPr>
      <w:r w:rsidRPr="00BA1566">
        <w:rPr>
          <w:rFonts w:ascii="Candara" w:eastAsia="Candara" w:hAnsi="Candara" w:cs="Candara"/>
          <w:color w:val="000000"/>
          <w:sz w:val="24"/>
          <w:szCs w:val="24"/>
        </w:rPr>
        <w:t>Dessa forma, a dinâmica da descentralização é fortemente influenciada pelo processo político que, em tese, por meio das articulações entre os entes federados, busca soluções comuns para o enfrentamento dos mesmos problemas, dado que isoladamente seriam incapazes de resolver.</w:t>
      </w:r>
    </w:p>
    <w:p w14:paraId="76248C93" w14:textId="09AD82D4" w:rsidR="00F14C21" w:rsidRPr="00F14C21" w:rsidRDefault="000053E5" w:rsidP="00F14C21">
      <w:pPr>
        <w:spacing w:after="0" w:line="360" w:lineRule="auto"/>
        <w:ind w:firstLine="851"/>
        <w:jc w:val="both"/>
        <w:rPr>
          <w:rFonts w:ascii="Candara" w:eastAsia="Candara" w:hAnsi="Candara" w:cs="Candara"/>
          <w:color w:val="000000"/>
          <w:sz w:val="24"/>
          <w:szCs w:val="24"/>
        </w:rPr>
      </w:pPr>
      <w:r w:rsidRPr="000053E5">
        <w:rPr>
          <w:rFonts w:ascii="Candara" w:eastAsia="Candara" w:hAnsi="Candara" w:cs="Candara"/>
          <w:color w:val="000000"/>
          <w:sz w:val="24"/>
          <w:szCs w:val="24"/>
        </w:rPr>
        <w:t xml:space="preserve">Neste sentido, a expansão e o fortalecimento das políticas públicas que extrapolam as jurisdições territoriais, como as voltadas para o saneamento básico, a questão dos resíduos sólidos, o transporte público, infraestrutura de cidades turísticas, recursos hídricos, entre outras, se deram </w:t>
      </w:r>
      <w:r w:rsidR="00C571D3">
        <w:rPr>
          <w:rFonts w:ascii="Candara" w:eastAsia="Candara" w:hAnsi="Candara" w:cs="Candara"/>
          <w:color w:val="000000"/>
          <w:sz w:val="24"/>
          <w:szCs w:val="24"/>
        </w:rPr>
        <w:t>pela adoção</w:t>
      </w:r>
      <w:r w:rsidRPr="000053E5">
        <w:rPr>
          <w:rFonts w:ascii="Candara" w:eastAsia="Candara" w:hAnsi="Candara" w:cs="Candara"/>
          <w:color w:val="000000"/>
          <w:sz w:val="24"/>
          <w:szCs w:val="24"/>
        </w:rPr>
        <w:t xml:space="preserve"> d</w:t>
      </w:r>
      <w:r w:rsidR="00343BF7">
        <w:rPr>
          <w:rFonts w:ascii="Candara" w:eastAsia="Candara" w:hAnsi="Candara" w:cs="Candara"/>
          <w:color w:val="000000"/>
          <w:sz w:val="24"/>
          <w:szCs w:val="24"/>
        </w:rPr>
        <w:t>o</w:t>
      </w:r>
      <w:r w:rsidRPr="000053E5">
        <w:rPr>
          <w:rFonts w:ascii="Candara" w:eastAsia="Candara" w:hAnsi="Candara" w:cs="Candara"/>
          <w:color w:val="000000"/>
          <w:sz w:val="24"/>
          <w:szCs w:val="24"/>
        </w:rPr>
        <w:t xml:space="preserve"> associativismo. Em geral, assumiram modelos institucionalizados, como os consórcios públicos, nos quais os entes federativos participam por meio d</w:t>
      </w:r>
      <w:r w:rsidR="00C07D34">
        <w:rPr>
          <w:rFonts w:ascii="Candara" w:eastAsia="Candara" w:hAnsi="Candara" w:cs="Candara"/>
          <w:color w:val="000000"/>
          <w:sz w:val="24"/>
          <w:szCs w:val="24"/>
        </w:rPr>
        <w:t>a gestão compartilhada</w:t>
      </w:r>
      <w:r w:rsidRPr="000053E5">
        <w:rPr>
          <w:rFonts w:ascii="Candara" w:eastAsia="Candara" w:hAnsi="Candara" w:cs="Candara"/>
          <w:color w:val="000000"/>
          <w:sz w:val="24"/>
          <w:szCs w:val="24"/>
        </w:rPr>
        <w:t>.</w:t>
      </w:r>
    </w:p>
    <w:p w14:paraId="7331D391" w14:textId="0C3EBF53" w:rsidR="00F14C21" w:rsidRPr="00F14C21" w:rsidRDefault="002D25E6" w:rsidP="00F14C21">
      <w:pPr>
        <w:spacing w:after="0" w:line="360" w:lineRule="auto"/>
        <w:ind w:firstLine="851"/>
        <w:jc w:val="both"/>
        <w:rPr>
          <w:rFonts w:ascii="Candara" w:eastAsia="Candara" w:hAnsi="Candara" w:cs="Candara"/>
          <w:color w:val="000000"/>
          <w:sz w:val="24"/>
          <w:szCs w:val="24"/>
        </w:rPr>
      </w:pPr>
      <w:r w:rsidRPr="002D25E6">
        <w:rPr>
          <w:rFonts w:ascii="Candara" w:eastAsia="Candara" w:hAnsi="Candara" w:cs="Candara"/>
          <w:color w:val="000000"/>
          <w:sz w:val="24"/>
          <w:szCs w:val="24"/>
        </w:rPr>
        <w:t>É nes</w:t>
      </w:r>
      <w:r w:rsidR="00536648">
        <w:rPr>
          <w:rFonts w:ascii="Candara" w:eastAsia="Candara" w:hAnsi="Candara" w:cs="Candara"/>
          <w:color w:val="000000"/>
          <w:sz w:val="24"/>
          <w:szCs w:val="24"/>
        </w:rPr>
        <w:t>t</w:t>
      </w:r>
      <w:r w:rsidRPr="002D25E6">
        <w:rPr>
          <w:rFonts w:ascii="Candara" w:eastAsia="Candara" w:hAnsi="Candara" w:cs="Candara"/>
          <w:color w:val="000000"/>
          <w:sz w:val="24"/>
          <w:szCs w:val="24"/>
        </w:rPr>
        <w:t>e contexto</w:t>
      </w:r>
      <w:r w:rsidR="00540A98">
        <w:rPr>
          <w:rFonts w:ascii="Candara" w:eastAsia="Candara" w:hAnsi="Candara" w:cs="Candara"/>
          <w:color w:val="000000"/>
          <w:sz w:val="24"/>
          <w:szCs w:val="24"/>
        </w:rPr>
        <w:t>,</w:t>
      </w:r>
      <w:r w:rsidRPr="002D25E6">
        <w:rPr>
          <w:rFonts w:ascii="Candara" w:eastAsia="Candara" w:hAnsi="Candara" w:cs="Candara"/>
          <w:color w:val="000000"/>
          <w:sz w:val="24"/>
          <w:szCs w:val="24"/>
        </w:rPr>
        <w:t xml:space="preserve"> ancorado no processo de municipalização das políticas públicas no pós-Constituição de 1988</w:t>
      </w:r>
      <w:r w:rsidR="00534998">
        <w:rPr>
          <w:rFonts w:ascii="Candara" w:eastAsia="Candara" w:hAnsi="Candara" w:cs="Candara"/>
          <w:color w:val="000000"/>
          <w:sz w:val="24"/>
          <w:szCs w:val="24"/>
        </w:rPr>
        <w:t xml:space="preserve">, </w:t>
      </w:r>
      <w:r w:rsidR="004C14AD">
        <w:rPr>
          <w:rFonts w:ascii="Candara" w:eastAsia="Candara" w:hAnsi="Candara" w:cs="Candara"/>
          <w:color w:val="000000"/>
          <w:sz w:val="24"/>
          <w:szCs w:val="24"/>
        </w:rPr>
        <w:t xml:space="preserve">que </w:t>
      </w:r>
      <w:r w:rsidRPr="002D25E6">
        <w:rPr>
          <w:rFonts w:ascii="Candara" w:eastAsia="Candara" w:hAnsi="Candara" w:cs="Candara"/>
          <w:color w:val="000000"/>
          <w:sz w:val="24"/>
          <w:szCs w:val="24"/>
        </w:rPr>
        <w:t>na perspectiva teórica da descentralização, as experiências consorciadas foram vistas como instrumento capaz de resgatar o conceito de cooperação, dado a potencialidade das ações de articulação intergovernamental. Neste sentido, não obstante, o consórcio público ser uma das modalidades de cooperação, a adesão significativa mostra que este mecanismo tem se tornado um dos principais meios de articulação entre os municípios brasileiros.</w:t>
      </w:r>
    </w:p>
    <w:p w14:paraId="4C66CFCF" w14:textId="77777777" w:rsidR="00FB57D4" w:rsidRDefault="00F14C21" w:rsidP="00F14C21">
      <w:pPr>
        <w:spacing w:after="0" w:line="360" w:lineRule="auto"/>
        <w:ind w:firstLine="851"/>
        <w:jc w:val="both"/>
        <w:rPr>
          <w:rFonts w:ascii="Candara" w:eastAsia="Candara" w:hAnsi="Candara" w:cs="Candara"/>
          <w:color w:val="000000"/>
          <w:sz w:val="24"/>
          <w:szCs w:val="24"/>
        </w:rPr>
      </w:pPr>
      <w:r w:rsidRPr="00F14C21">
        <w:rPr>
          <w:rFonts w:ascii="Candara" w:eastAsia="Candara" w:hAnsi="Candara" w:cs="Candara"/>
          <w:color w:val="000000"/>
          <w:sz w:val="24"/>
          <w:szCs w:val="24"/>
        </w:rPr>
        <w:lastRenderedPageBreak/>
        <w:t>Para Brandão (2012) explicitar os conflitos de interesse e construir coletivamente a contratualização das políticas públicas são tarefas dadas aos consórcios públicos cujas bases se sustentam na dinâmica de sua atuação fundamentada por ações que requer estratégias territorializadas de desenvolvimento.</w:t>
      </w:r>
    </w:p>
    <w:p w14:paraId="45D50BEB" w14:textId="7E461778" w:rsidR="00F14C21" w:rsidRPr="00F14C21" w:rsidRDefault="009528FB" w:rsidP="00F14C21">
      <w:pPr>
        <w:spacing w:after="0" w:line="360" w:lineRule="auto"/>
        <w:ind w:firstLine="851"/>
        <w:jc w:val="both"/>
        <w:rPr>
          <w:rFonts w:ascii="Candara" w:eastAsia="Candara" w:hAnsi="Candara" w:cs="Candara"/>
          <w:color w:val="000000"/>
          <w:sz w:val="24"/>
          <w:szCs w:val="24"/>
        </w:rPr>
      </w:pPr>
      <w:r w:rsidRPr="009528FB">
        <w:rPr>
          <w:rFonts w:ascii="Candara" w:eastAsia="Candara" w:hAnsi="Candara" w:cs="Candara"/>
          <w:color w:val="000000"/>
          <w:sz w:val="24"/>
          <w:szCs w:val="24"/>
        </w:rPr>
        <w:t>A partir de 2005, com a aprovação da Lei dos Consórcios Públicos, o Governo Central evidenciou o seu apoio à formação de consórcios públicos, ao preencher a lacuna no marco regulatório das relações intergovernamentais, fortalecendo a cooperação da estrutura federativa brasileira. Com isso, observou-se a ampliação das ações consorciadas, não só para a prestação de serviços públicos, como também para o planejamento regional e a implementação de políticas públicas. Em geral, as ações consorciadas buscam ganhos de escala de produção, racionalizando o uso dos recursos financeiros, humanos e tecnológicos por meio da cooperação, dividindo a responsabilidade da prestação dos serviços públicos.</w:t>
      </w:r>
    </w:p>
    <w:p w14:paraId="5F5CE6AB" w14:textId="755345BD" w:rsidR="00192B49" w:rsidRDefault="00DE4CD7" w:rsidP="00971D5E">
      <w:pPr>
        <w:spacing w:after="0" w:line="360" w:lineRule="auto"/>
        <w:ind w:firstLine="851"/>
        <w:jc w:val="both"/>
        <w:rPr>
          <w:rFonts w:ascii="Candara" w:eastAsia="Candara" w:hAnsi="Candara" w:cs="Candara"/>
          <w:color w:val="000000"/>
          <w:sz w:val="24"/>
          <w:szCs w:val="24"/>
        </w:rPr>
      </w:pPr>
      <w:r w:rsidRPr="00DE4CD7">
        <w:rPr>
          <w:rFonts w:ascii="Candara" w:eastAsia="Candara" w:hAnsi="Candara" w:cs="Candara"/>
          <w:color w:val="000000"/>
          <w:sz w:val="24"/>
          <w:szCs w:val="24"/>
        </w:rPr>
        <w:t>Cabe esclarecer que os consórcios públicos são pessoas jurídicas de direito público ou privado cujas ações são deliberadas pelos prefeitos dos municípios consorciados que possuem a obrigação constitucional de implementar as políticas públicas. Portanto, os consórcios públicos são vistos como instrumentos que possibilitam aos entes federados, essencialmente, os municípios de pequeno porte populacional (até 20 mil habitantes), a proverem a execução de políticas públicas, dado que, individualmente, não teriam condições de ofertar. Neste estudo, consideraram-se os consórcios de caráter de direito público no âmbito municipal, cujos resultados são apresentados na seção 4, a seguir.</w:t>
      </w:r>
    </w:p>
    <w:p w14:paraId="24904461" w14:textId="7D1BD975" w:rsidR="00192B49" w:rsidRDefault="00192B49">
      <w:pPr>
        <w:rPr>
          <w:rFonts w:ascii="Candara" w:eastAsia="Candara" w:hAnsi="Candara" w:cs="Candara"/>
          <w:color w:val="000000"/>
          <w:sz w:val="24"/>
          <w:szCs w:val="24"/>
        </w:rPr>
      </w:pPr>
      <w:r>
        <w:rPr>
          <w:rFonts w:ascii="Candara" w:eastAsia="Candara" w:hAnsi="Candara" w:cs="Candara"/>
          <w:color w:val="000000"/>
          <w:sz w:val="24"/>
          <w:szCs w:val="24"/>
        </w:rPr>
        <w:br w:type="page"/>
      </w:r>
    </w:p>
    <w:p w14:paraId="56027C12" w14:textId="34CAF8A4" w:rsidR="00947775" w:rsidRPr="00607B95" w:rsidRDefault="007D5FD1" w:rsidP="00607B95">
      <w:pPr>
        <w:spacing w:after="120" w:line="360" w:lineRule="auto"/>
        <w:ind w:firstLine="851"/>
        <w:jc w:val="both"/>
        <w:rPr>
          <w:rFonts w:ascii="Candara" w:eastAsia="Candara" w:hAnsi="Candara" w:cs="Candara"/>
          <w:b/>
          <w:bCs/>
          <w:color w:val="000000"/>
          <w:sz w:val="28"/>
          <w:szCs w:val="28"/>
        </w:rPr>
      </w:pPr>
      <w:r w:rsidRPr="00607B95">
        <w:rPr>
          <w:rFonts w:ascii="Candara" w:eastAsia="Candara" w:hAnsi="Candara" w:cs="Candara"/>
          <w:b/>
          <w:bCs/>
          <w:color w:val="000000"/>
          <w:sz w:val="28"/>
          <w:szCs w:val="28"/>
        </w:rPr>
        <w:lastRenderedPageBreak/>
        <w:t xml:space="preserve">4 </w:t>
      </w:r>
      <w:r w:rsidR="00FC26E7" w:rsidRPr="00607B95">
        <w:rPr>
          <w:rFonts w:ascii="Candara" w:eastAsia="Candara" w:hAnsi="Candara" w:cs="Candara"/>
          <w:b/>
          <w:bCs/>
          <w:color w:val="000000"/>
          <w:sz w:val="28"/>
          <w:szCs w:val="28"/>
        </w:rPr>
        <w:t>Resultados e Discussões</w:t>
      </w:r>
    </w:p>
    <w:p w14:paraId="5A846EF7" w14:textId="05AAFD7D" w:rsidR="000B60E5" w:rsidRPr="000B60E5" w:rsidRDefault="0099247F" w:rsidP="000B60E5">
      <w:pPr>
        <w:spacing w:after="0" w:line="360" w:lineRule="auto"/>
        <w:ind w:firstLine="851"/>
        <w:jc w:val="both"/>
        <w:rPr>
          <w:rFonts w:ascii="Candara" w:eastAsia="Candara" w:hAnsi="Candara" w:cs="Candara"/>
          <w:color w:val="000000"/>
          <w:sz w:val="24"/>
          <w:szCs w:val="24"/>
        </w:rPr>
      </w:pPr>
      <w:r w:rsidRPr="0099247F">
        <w:rPr>
          <w:rFonts w:ascii="Candara" w:eastAsia="Candara" w:hAnsi="Candara" w:cs="Candara"/>
          <w:color w:val="000000"/>
          <w:sz w:val="24"/>
          <w:szCs w:val="24"/>
        </w:rPr>
        <w:t>Conforme a metodologia proposta, após a sistematização dos dados da MUNIC 2019 (IBGE), este estudo centrou sua abordagem para as práticas de consorciamento. O objetivo é traçar o atual quadro de adesão dos municípios à gestão compartilhada, destacando as principais áreas de atuação que apresentam um caráter representativo na execução de políticas públicas, por meio do mecanismo de cooperação horizontal.</w:t>
      </w:r>
    </w:p>
    <w:p w14:paraId="25A1D811" w14:textId="34D2C190" w:rsidR="000B60E5" w:rsidRPr="000B60E5" w:rsidRDefault="00036747" w:rsidP="000B60E5">
      <w:pPr>
        <w:spacing w:after="0" w:line="360" w:lineRule="auto"/>
        <w:ind w:firstLine="851"/>
        <w:jc w:val="both"/>
        <w:rPr>
          <w:rFonts w:ascii="Candara" w:eastAsia="Candara" w:hAnsi="Candara" w:cs="Candara"/>
          <w:color w:val="000000"/>
          <w:sz w:val="24"/>
          <w:szCs w:val="24"/>
        </w:rPr>
      </w:pPr>
      <w:r w:rsidRPr="00036747">
        <w:rPr>
          <w:rFonts w:ascii="Candara" w:eastAsia="Candara" w:hAnsi="Candara" w:cs="Candara"/>
          <w:color w:val="000000"/>
          <w:sz w:val="24"/>
          <w:szCs w:val="24"/>
        </w:rPr>
        <w:t>Segundo os dados da MUNIC 2019 (IBGE), a configuração territorial brasileira mostra que 69,2% dos municípios fazem parte de pelo menos um consórcio público cuja pactuação se dá entre os entes federativos – União, Estados, Distrito Federal e Municípios. Considerando somente as parcerias intermunicipais, o percentual de municípios que integram consórcios públicos é de 65,8%, abrangendo 3.665 da totalidade dos municípios do Brasil.</w:t>
      </w:r>
    </w:p>
    <w:p w14:paraId="6504033A" w14:textId="688E3448" w:rsidR="00947775" w:rsidRDefault="009D4A28" w:rsidP="000B60E5">
      <w:pPr>
        <w:spacing w:after="0" w:line="360" w:lineRule="auto"/>
        <w:ind w:firstLine="851"/>
        <w:jc w:val="both"/>
        <w:rPr>
          <w:rFonts w:ascii="Candara" w:eastAsia="Candara" w:hAnsi="Candara" w:cs="Candara"/>
          <w:color w:val="000000"/>
          <w:sz w:val="24"/>
          <w:szCs w:val="24"/>
        </w:rPr>
      </w:pPr>
      <w:r w:rsidRPr="009D4A28">
        <w:rPr>
          <w:rFonts w:ascii="Candara" w:eastAsia="Candara" w:hAnsi="Candara" w:cs="Candara"/>
          <w:color w:val="000000"/>
          <w:sz w:val="24"/>
          <w:szCs w:val="24"/>
        </w:rPr>
        <w:t>Quanto à análise regional, os dados demonstram a prevalência de municípios participantes de consórcios públicos intermunicipais localizados nas regiões Sul (87,2%), Sudeste (78,0%) e Centro-Oeste (63,6%). Enquanto, nas regiões Nordeste (51,1%) e Norte (24,9%), apresentam uma menor incidência participativa, conforme ilustra o Gráfico 1.</w:t>
      </w:r>
    </w:p>
    <w:p w14:paraId="078F66F4" w14:textId="3AA9DADB" w:rsidR="00750D58" w:rsidRDefault="003260B6" w:rsidP="003260B6">
      <w:pPr>
        <w:spacing w:after="0" w:line="360" w:lineRule="auto"/>
        <w:ind w:firstLine="851"/>
        <w:jc w:val="both"/>
        <w:rPr>
          <w:rFonts w:ascii="Candara" w:eastAsia="Candara" w:hAnsi="Candara" w:cs="Candara"/>
          <w:color w:val="000000"/>
          <w:sz w:val="24"/>
          <w:szCs w:val="24"/>
        </w:rPr>
      </w:pPr>
      <w:r w:rsidRPr="003260B6">
        <w:rPr>
          <w:rFonts w:ascii="Candara" w:eastAsia="Candara" w:hAnsi="Candara" w:cs="Candara"/>
          <w:color w:val="000000"/>
          <w:sz w:val="24"/>
          <w:szCs w:val="24"/>
        </w:rPr>
        <w:t>Essa expressiva participação dos municípios em consórcios públicos nas regiões Sul e Sudeste decorre do processo histórico de consorciamento, cuja literatura atribui que as primeiras experiências se deram nessas duas regiões (a constituição do Banco Regional de Desenvolvimento do Extremo Sul, abrangendo os três estados da Região Sul e os consórcios públicos que surgiram no estado de São Paulo na década de 1960).</w:t>
      </w:r>
    </w:p>
    <w:p w14:paraId="4E3D8561" w14:textId="6C53322F" w:rsidR="00750D58" w:rsidRDefault="00B976AE" w:rsidP="00D0397A">
      <w:pPr>
        <w:spacing w:after="120" w:line="360" w:lineRule="auto"/>
        <w:ind w:firstLine="851"/>
        <w:jc w:val="both"/>
        <w:rPr>
          <w:rFonts w:ascii="Candara" w:eastAsia="Candara" w:hAnsi="Candara" w:cs="Candara"/>
          <w:color w:val="000000"/>
          <w:sz w:val="24"/>
          <w:szCs w:val="24"/>
        </w:rPr>
      </w:pPr>
      <w:r w:rsidRPr="00B976AE">
        <w:rPr>
          <w:rFonts w:ascii="Candara" w:eastAsia="Candara" w:hAnsi="Candara" w:cs="Candara"/>
          <w:color w:val="000000"/>
          <w:sz w:val="24"/>
          <w:szCs w:val="24"/>
        </w:rPr>
        <w:lastRenderedPageBreak/>
        <w:t>Nas demais regiões, somente a partir da segunda metade da década de 1990, passaram a ter formação de consórcios públicos para a promoção de políticas públicas e provisão de serviços públicos.</w:t>
      </w:r>
    </w:p>
    <w:p w14:paraId="6E0397D4" w14:textId="77777777" w:rsidR="0055791D" w:rsidRPr="0055791D" w:rsidRDefault="0055791D" w:rsidP="0055791D">
      <w:pPr>
        <w:spacing w:after="120" w:line="240" w:lineRule="auto"/>
        <w:ind w:left="1276" w:hanging="1276"/>
        <w:jc w:val="both"/>
        <w:rPr>
          <w:rFonts w:ascii="Candara" w:eastAsia="Candara" w:hAnsi="Candara" w:cs="Candara"/>
          <w:color w:val="000000"/>
          <w:sz w:val="24"/>
          <w:szCs w:val="24"/>
        </w:rPr>
      </w:pPr>
      <w:r w:rsidRPr="0055791D">
        <w:rPr>
          <w:rFonts w:ascii="Candara" w:eastAsia="Candara" w:hAnsi="Candara" w:cs="Candara"/>
          <w:b/>
          <w:bCs/>
          <w:color w:val="000000"/>
          <w:sz w:val="24"/>
          <w:szCs w:val="24"/>
        </w:rPr>
        <w:t>Gráfico 1</w:t>
      </w:r>
      <w:r w:rsidRPr="0055791D">
        <w:rPr>
          <w:rFonts w:ascii="Candara" w:eastAsia="Candara" w:hAnsi="Candara" w:cs="Candara"/>
          <w:color w:val="000000"/>
          <w:sz w:val="24"/>
          <w:szCs w:val="24"/>
        </w:rPr>
        <w:t xml:space="preserve"> – Brasil: percentual de municípios participantes de consórcios públicos intermunicipais segundo as Grandes Regiões – 2019</w:t>
      </w:r>
    </w:p>
    <w:p w14:paraId="5604FF5A" w14:textId="66D0CA8D" w:rsidR="0055791D" w:rsidRDefault="003D77B5" w:rsidP="003D77B5">
      <w:pPr>
        <w:spacing w:after="0" w:line="360" w:lineRule="auto"/>
        <w:jc w:val="center"/>
        <w:rPr>
          <w:rFonts w:ascii="Candara" w:eastAsia="Candara" w:hAnsi="Candara" w:cs="Candara"/>
          <w:color w:val="000000"/>
          <w:sz w:val="24"/>
          <w:szCs w:val="24"/>
        </w:rPr>
      </w:pPr>
      <w:r>
        <w:rPr>
          <w:rFonts w:ascii="Candara" w:eastAsia="Candara" w:hAnsi="Candara" w:cs="Candara"/>
          <w:noProof/>
          <w:color w:val="000000"/>
          <w:sz w:val="24"/>
          <w:szCs w:val="24"/>
        </w:rPr>
        <w:drawing>
          <wp:inline distT="0" distB="0" distL="0" distR="0" wp14:anchorId="140BFBE0" wp14:editId="7CFF3CEA">
            <wp:extent cx="3420110" cy="1835150"/>
            <wp:effectExtent l="0" t="0" r="0" b="0"/>
            <wp:docPr id="401762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0110" cy="1835150"/>
                    </a:xfrm>
                    <a:prstGeom prst="rect">
                      <a:avLst/>
                    </a:prstGeom>
                    <a:noFill/>
                  </pic:spPr>
                </pic:pic>
              </a:graphicData>
            </a:graphic>
          </wp:inline>
        </w:drawing>
      </w:r>
    </w:p>
    <w:p w14:paraId="299F8504" w14:textId="187012C3" w:rsidR="00947775" w:rsidRPr="0055791D" w:rsidRDefault="0055791D" w:rsidP="00747469">
      <w:pPr>
        <w:spacing w:after="100" w:afterAutospacing="1" w:line="240" w:lineRule="auto"/>
        <w:jc w:val="both"/>
        <w:rPr>
          <w:rFonts w:ascii="Candara" w:eastAsia="Candara" w:hAnsi="Candara" w:cs="Candara"/>
          <w:color w:val="000000"/>
          <w:sz w:val="20"/>
          <w:szCs w:val="20"/>
        </w:rPr>
      </w:pPr>
      <w:r w:rsidRPr="00AC7C80">
        <w:rPr>
          <w:rFonts w:ascii="Candara" w:eastAsia="Candara" w:hAnsi="Candara" w:cs="Candara"/>
          <w:b/>
          <w:bCs/>
          <w:color w:val="000000"/>
          <w:sz w:val="20"/>
          <w:szCs w:val="20"/>
        </w:rPr>
        <w:t>Fonte:</w:t>
      </w:r>
      <w:r w:rsidRPr="0055791D">
        <w:rPr>
          <w:rFonts w:ascii="Candara" w:eastAsia="Candara" w:hAnsi="Candara" w:cs="Candara"/>
          <w:color w:val="000000"/>
          <w:sz w:val="20"/>
          <w:szCs w:val="20"/>
        </w:rPr>
        <w:t xml:space="preserve"> Elaboração própria a partir de dados do IBGE – Diretoria de Pesquisas, Coordenação de População e Indicadores Sociais, Pesquisa de Informações Básicas Municipais (MUNIC, 2019).</w:t>
      </w:r>
    </w:p>
    <w:p w14:paraId="4B477CE3" w14:textId="075D0974" w:rsidR="00DC03D5" w:rsidRDefault="00003767" w:rsidP="0029433F">
      <w:pPr>
        <w:spacing w:after="0" w:line="360" w:lineRule="auto"/>
        <w:ind w:firstLine="851"/>
        <w:jc w:val="both"/>
        <w:rPr>
          <w:rFonts w:ascii="Candara" w:eastAsia="Candara" w:hAnsi="Candara" w:cs="Candara"/>
          <w:color w:val="000000"/>
          <w:sz w:val="24"/>
          <w:szCs w:val="24"/>
        </w:rPr>
      </w:pPr>
      <w:r w:rsidRPr="00003767">
        <w:rPr>
          <w:rFonts w:ascii="Candara" w:eastAsia="Candara" w:hAnsi="Candara" w:cs="Candara"/>
          <w:color w:val="000000"/>
          <w:sz w:val="24"/>
          <w:szCs w:val="24"/>
        </w:rPr>
        <w:t>Na análise por classes de tamanho da população dos municípios, o Gráfico 2 aponta que os de menor porte populacional (até 20 mil hab.) são os que mais apresentam incidência de participação em consórcios públicos, com percentuais acima da média nacional (65,8%). Neste grupo, destacam-se os municípios com até 5 mil hab. dada a expressiva participação, abrangendo 71,2% da totalidade. Por sua vez, os municípios com porte populacional acima de 500 mil hab. exibem o menor percentual de participação em consórcios públicos (41,7%), correspondendo a 20 municípios, dos quais 13 se localizam na Região Sudeste.</w:t>
      </w:r>
    </w:p>
    <w:p w14:paraId="512E59E5" w14:textId="1B9D690C" w:rsidR="004711E5" w:rsidRDefault="00A80671" w:rsidP="00781988">
      <w:pPr>
        <w:spacing w:after="120" w:line="360" w:lineRule="auto"/>
        <w:ind w:firstLine="851"/>
        <w:jc w:val="both"/>
        <w:rPr>
          <w:rFonts w:ascii="Candara" w:eastAsia="Candara" w:hAnsi="Candara" w:cs="Candara"/>
          <w:color w:val="000000"/>
          <w:sz w:val="24"/>
          <w:szCs w:val="24"/>
        </w:rPr>
      </w:pPr>
      <w:r w:rsidRPr="00A80671">
        <w:rPr>
          <w:rFonts w:ascii="Candara" w:eastAsia="Candara" w:hAnsi="Candara" w:cs="Candara"/>
          <w:color w:val="000000"/>
          <w:sz w:val="24"/>
          <w:szCs w:val="24"/>
        </w:rPr>
        <w:t xml:space="preserve">Esse comportamento demonstra que os municípios de menor porte populacional possuem maiores dificuldades para cumprir com suas responsabilidades de prestação de serviços públicos, que embora </w:t>
      </w:r>
      <w:r w:rsidR="00D53EE9">
        <w:rPr>
          <w:rFonts w:ascii="Candara" w:eastAsia="Candara" w:hAnsi="Candara" w:cs="Candara"/>
          <w:color w:val="000000"/>
          <w:sz w:val="24"/>
          <w:szCs w:val="24"/>
        </w:rPr>
        <w:t xml:space="preserve">a CF/1988 </w:t>
      </w:r>
      <w:r w:rsidR="00FB3235">
        <w:rPr>
          <w:rFonts w:ascii="Candara" w:eastAsia="Candara" w:hAnsi="Candara" w:cs="Candara"/>
          <w:color w:val="000000"/>
          <w:sz w:val="24"/>
          <w:szCs w:val="24"/>
        </w:rPr>
        <w:t xml:space="preserve">ter </w:t>
      </w:r>
      <w:r w:rsidR="00FB3235">
        <w:rPr>
          <w:rFonts w:ascii="Candara" w:eastAsia="Candara" w:hAnsi="Candara" w:cs="Candara"/>
          <w:color w:val="000000"/>
          <w:sz w:val="24"/>
          <w:szCs w:val="24"/>
        </w:rPr>
        <w:lastRenderedPageBreak/>
        <w:t xml:space="preserve">possibilitado </w:t>
      </w:r>
      <w:r w:rsidRPr="00A80671">
        <w:rPr>
          <w:rFonts w:ascii="Candara" w:eastAsia="Candara" w:hAnsi="Candara" w:cs="Candara"/>
          <w:color w:val="000000"/>
          <w:sz w:val="24"/>
          <w:szCs w:val="24"/>
        </w:rPr>
        <w:t>mais recursos financeiros, não dispõem de uma estrutura (recursos humanos, materiais, equipamentos) com capacidade para atender a demanda da população. Neste caso, as ações consorciadas buscam ganhos de escala de produção, racionalizando o uso dos recursos financeiros, humanos e tecnológicos por meio da cooperação, dividindo a responsabilidade da prestação dos serviços públicos.</w:t>
      </w:r>
    </w:p>
    <w:p w14:paraId="1CB62E90" w14:textId="77777777" w:rsidR="00112F69" w:rsidRPr="00112F69" w:rsidRDefault="00112F69" w:rsidP="00112F69">
      <w:pPr>
        <w:spacing w:after="120" w:line="240" w:lineRule="auto"/>
        <w:ind w:left="1276" w:hanging="1276"/>
        <w:jc w:val="both"/>
        <w:rPr>
          <w:rFonts w:ascii="Candara" w:eastAsia="Candara" w:hAnsi="Candara" w:cs="Candara"/>
          <w:color w:val="000000"/>
          <w:sz w:val="24"/>
          <w:szCs w:val="24"/>
        </w:rPr>
      </w:pPr>
      <w:r w:rsidRPr="00112F69">
        <w:rPr>
          <w:rFonts w:ascii="Candara" w:eastAsia="Candara" w:hAnsi="Candara" w:cs="Candara"/>
          <w:b/>
          <w:bCs/>
          <w:color w:val="000000"/>
          <w:sz w:val="24"/>
          <w:szCs w:val="24"/>
        </w:rPr>
        <w:t>Gráfico 2</w:t>
      </w:r>
      <w:r w:rsidRPr="00112F69">
        <w:rPr>
          <w:rFonts w:ascii="Candara" w:eastAsia="Candara" w:hAnsi="Candara" w:cs="Candara"/>
          <w:color w:val="000000"/>
          <w:sz w:val="24"/>
          <w:szCs w:val="24"/>
        </w:rPr>
        <w:t xml:space="preserve"> – Brasil: percentual de municípios participantes de consórcios públicos intermunicipais segundo as classes de tamanho da população – 2019</w:t>
      </w:r>
    </w:p>
    <w:p w14:paraId="14251458" w14:textId="2BE6891A" w:rsidR="00112F69" w:rsidRPr="00112F69" w:rsidRDefault="00826835" w:rsidP="00826835">
      <w:pPr>
        <w:spacing w:after="0" w:line="360" w:lineRule="auto"/>
        <w:jc w:val="center"/>
        <w:rPr>
          <w:rFonts w:ascii="Candara" w:eastAsia="Candara" w:hAnsi="Candara" w:cs="Candara"/>
          <w:color w:val="000000"/>
          <w:sz w:val="24"/>
          <w:szCs w:val="24"/>
        </w:rPr>
      </w:pPr>
      <w:r>
        <w:rPr>
          <w:rFonts w:ascii="Candara" w:eastAsia="Candara" w:hAnsi="Candara" w:cs="Candara"/>
          <w:noProof/>
          <w:color w:val="000000"/>
          <w:sz w:val="24"/>
          <w:szCs w:val="24"/>
        </w:rPr>
        <w:drawing>
          <wp:inline distT="0" distB="0" distL="0" distR="0" wp14:anchorId="789CD28D" wp14:editId="4FCAA346">
            <wp:extent cx="3420110" cy="1835150"/>
            <wp:effectExtent l="0" t="0" r="0" b="0"/>
            <wp:docPr id="60495815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0110" cy="1835150"/>
                    </a:xfrm>
                    <a:prstGeom prst="rect">
                      <a:avLst/>
                    </a:prstGeom>
                    <a:noFill/>
                  </pic:spPr>
                </pic:pic>
              </a:graphicData>
            </a:graphic>
          </wp:inline>
        </w:drawing>
      </w:r>
    </w:p>
    <w:p w14:paraId="54DF4E18" w14:textId="78FA5591" w:rsidR="00DC03D5" w:rsidRPr="00112F69" w:rsidRDefault="00112F69" w:rsidP="00112F69">
      <w:pPr>
        <w:spacing w:after="120" w:line="240" w:lineRule="auto"/>
        <w:jc w:val="both"/>
        <w:rPr>
          <w:rFonts w:ascii="Candara" w:eastAsia="Candara" w:hAnsi="Candara" w:cs="Candara"/>
          <w:color w:val="000000"/>
          <w:sz w:val="20"/>
          <w:szCs w:val="20"/>
        </w:rPr>
      </w:pPr>
      <w:r w:rsidRPr="00F46F7E">
        <w:rPr>
          <w:rFonts w:ascii="Candara" w:eastAsia="Candara" w:hAnsi="Candara" w:cs="Candara"/>
          <w:b/>
          <w:bCs/>
          <w:color w:val="000000"/>
          <w:sz w:val="20"/>
          <w:szCs w:val="20"/>
        </w:rPr>
        <w:t>Fonte:</w:t>
      </w:r>
      <w:r w:rsidRPr="00112F69">
        <w:rPr>
          <w:rFonts w:ascii="Candara" w:eastAsia="Candara" w:hAnsi="Candara" w:cs="Candara"/>
          <w:color w:val="000000"/>
          <w:sz w:val="20"/>
          <w:szCs w:val="20"/>
        </w:rPr>
        <w:t xml:space="preserve"> Elaboração própria a partir de dados do IBGE – Diretoria de Pesquisas, Coordenação de População e Indicadores Sociais, Pesquisa de Informações Básicas Municipais (MUNIC, 2019).</w:t>
      </w:r>
    </w:p>
    <w:p w14:paraId="055014DC" w14:textId="1F4BEC92" w:rsidR="008C73D8" w:rsidRDefault="001A1E14" w:rsidP="00B12371">
      <w:pPr>
        <w:spacing w:after="0" w:line="360" w:lineRule="auto"/>
        <w:ind w:firstLine="851"/>
        <w:jc w:val="both"/>
        <w:rPr>
          <w:rFonts w:ascii="Candara" w:eastAsia="Candara" w:hAnsi="Candara" w:cs="Candara"/>
          <w:color w:val="000000"/>
          <w:sz w:val="24"/>
          <w:szCs w:val="24"/>
        </w:rPr>
      </w:pPr>
      <w:r w:rsidRPr="001A1E14">
        <w:rPr>
          <w:rFonts w:ascii="Candara" w:eastAsia="Candara" w:hAnsi="Candara" w:cs="Candara"/>
          <w:color w:val="000000"/>
          <w:sz w:val="24"/>
          <w:szCs w:val="24"/>
        </w:rPr>
        <w:t xml:space="preserve">Verificando a participação dos municípios em consórcios públicos, a partir dos entes estaduais, nota-se que dos 26 estados mais o Distrito Federal, apenas o estado do Amapá informou </w:t>
      </w:r>
      <w:r w:rsidR="00743F67">
        <w:rPr>
          <w:rFonts w:ascii="Candara" w:eastAsia="Candara" w:hAnsi="Candara" w:cs="Candara"/>
          <w:color w:val="000000"/>
          <w:sz w:val="24"/>
          <w:szCs w:val="24"/>
        </w:rPr>
        <w:t xml:space="preserve">a MUNIC 2019 (IBGE) </w:t>
      </w:r>
      <w:r w:rsidRPr="001A1E14">
        <w:rPr>
          <w:rFonts w:ascii="Candara" w:eastAsia="Candara" w:hAnsi="Candara" w:cs="Candara"/>
          <w:color w:val="000000"/>
          <w:sz w:val="24"/>
          <w:szCs w:val="24"/>
        </w:rPr>
        <w:t>que nenhum de seus municípios desempenhava ações compartilhadas por meio de consórcio público.</w:t>
      </w:r>
    </w:p>
    <w:p w14:paraId="2E0935FA" w14:textId="007D0262" w:rsidR="00B12371" w:rsidRPr="00B12371" w:rsidRDefault="009A5094" w:rsidP="00B12371">
      <w:pPr>
        <w:spacing w:after="0" w:line="360" w:lineRule="auto"/>
        <w:ind w:firstLine="851"/>
        <w:jc w:val="both"/>
        <w:rPr>
          <w:rFonts w:ascii="Candara" w:eastAsia="Candara" w:hAnsi="Candara" w:cs="Candara"/>
          <w:color w:val="000000"/>
          <w:sz w:val="24"/>
          <w:szCs w:val="24"/>
        </w:rPr>
      </w:pPr>
      <w:r w:rsidRPr="009A5094">
        <w:rPr>
          <w:rFonts w:ascii="Candara" w:eastAsia="Candara" w:hAnsi="Candara" w:cs="Candara"/>
          <w:color w:val="000000"/>
          <w:sz w:val="24"/>
          <w:szCs w:val="24"/>
        </w:rPr>
        <w:t>Cabe ressaltar que, por razões metodológicas, o IBGE trata o Distrito Federal como município por se ter apenas Brasília como sede do governo federal. Com tal tratamento, o percentual de 100% representa a participação de Brasília em consórcio público. Neste caso, a distribuição de competência e recursos financeiros atendem às ações compartilhadas voltadas para a área de política setorial de resíduos sólidos.</w:t>
      </w:r>
    </w:p>
    <w:p w14:paraId="150E4F50" w14:textId="36EDD1C9" w:rsidR="00DC03D5" w:rsidRDefault="00235F7C" w:rsidP="004D279B">
      <w:pPr>
        <w:spacing w:after="120" w:line="360" w:lineRule="auto"/>
        <w:ind w:firstLine="851"/>
        <w:jc w:val="both"/>
        <w:rPr>
          <w:rFonts w:ascii="Candara" w:eastAsia="Candara" w:hAnsi="Candara" w:cs="Candara"/>
          <w:color w:val="000000"/>
          <w:sz w:val="24"/>
          <w:szCs w:val="24"/>
        </w:rPr>
      </w:pPr>
      <w:r w:rsidRPr="00235F7C">
        <w:rPr>
          <w:rFonts w:ascii="Candara" w:eastAsia="Candara" w:hAnsi="Candara" w:cs="Candara"/>
          <w:color w:val="000000"/>
          <w:sz w:val="24"/>
          <w:szCs w:val="24"/>
        </w:rPr>
        <w:lastRenderedPageBreak/>
        <w:t>Para os demais entes estaduais, constata-se que o Paraná é o estado com maior participação, tendo em vista que 96,5% dos seus municípios executam ações cooperadas em consórcios públicos. Em seguida, os municípios dos estados do Rio Grande do Norte, Santa Catarina, Espírito Santo, Minas Gerais e Mato Grosso também apresentam elevada participação em consórcios públicos, com percentuais acima de 90,0%. Já os estados com menor participação, menos de 10% de seus municípios, executam ações compartilhadas, como se nota no Piauí, Maranhão e Amazonas, conforme destaca o Gráfico 3.</w:t>
      </w:r>
    </w:p>
    <w:p w14:paraId="78A26413" w14:textId="77777777" w:rsidR="00CA3CDF" w:rsidRPr="00CA3CDF" w:rsidRDefault="00CA3CDF" w:rsidP="00CA3CDF">
      <w:pPr>
        <w:spacing w:after="120" w:line="240" w:lineRule="auto"/>
        <w:ind w:left="1276" w:hanging="1276"/>
        <w:jc w:val="both"/>
        <w:rPr>
          <w:rFonts w:ascii="Candara" w:eastAsia="Candara" w:hAnsi="Candara" w:cs="Candara"/>
          <w:color w:val="000000"/>
          <w:sz w:val="24"/>
          <w:szCs w:val="24"/>
        </w:rPr>
      </w:pPr>
      <w:r w:rsidRPr="00CA3CDF">
        <w:rPr>
          <w:rFonts w:ascii="Candara" w:eastAsia="Candara" w:hAnsi="Candara" w:cs="Candara"/>
          <w:b/>
          <w:bCs/>
          <w:color w:val="000000"/>
          <w:sz w:val="24"/>
          <w:szCs w:val="24"/>
        </w:rPr>
        <w:t>Gráfico 3</w:t>
      </w:r>
      <w:r w:rsidRPr="00CA3CDF">
        <w:rPr>
          <w:rFonts w:ascii="Candara" w:eastAsia="Candara" w:hAnsi="Candara" w:cs="Candara"/>
          <w:color w:val="000000"/>
          <w:sz w:val="24"/>
          <w:szCs w:val="24"/>
        </w:rPr>
        <w:t xml:space="preserve"> – Brasil: percentual de municípios participantes de consórcios públicos intermunicipais por estados – 2019</w:t>
      </w:r>
    </w:p>
    <w:p w14:paraId="08E61A74" w14:textId="74823524" w:rsidR="00CA3CDF" w:rsidRPr="00CA3CDF" w:rsidRDefault="00AD5867" w:rsidP="00AD5867">
      <w:pPr>
        <w:spacing w:after="0" w:line="360" w:lineRule="auto"/>
        <w:jc w:val="center"/>
        <w:rPr>
          <w:rFonts w:ascii="Candara" w:eastAsia="Candara" w:hAnsi="Candara" w:cs="Candara"/>
          <w:color w:val="000000"/>
          <w:sz w:val="24"/>
          <w:szCs w:val="24"/>
        </w:rPr>
      </w:pPr>
      <w:r>
        <w:rPr>
          <w:rFonts w:ascii="Candara" w:eastAsia="Candara" w:hAnsi="Candara" w:cs="Candara"/>
          <w:noProof/>
          <w:color w:val="000000"/>
          <w:sz w:val="24"/>
          <w:szCs w:val="24"/>
        </w:rPr>
        <w:drawing>
          <wp:inline distT="0" distB="0" distL="0" distR="0" wp14:anchorId="63521A0E" wp14:editId="4DBD5C13">
            <wp:extent cx="3420110" cy="1835150"/>
            <wp:effectExtent l="0" t="0" r="8890" b="0"/>
            <wp:docPr id="26716619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0110" cy="1835150"/>
                    </a:xfrm>
                    <a:prstGeom prst="rect">
                      <a:avLst/>
                    </a:prstGeom>
                    <a:noFill/>
                  </pic:spPr>
                </pic:pic>
              </a:graphicData>
            </a:graphic>
          </wp:inline>
        </w:drawing>
      </w:r>
    </w:p>
    <w:p w14:paraId="2597C484" w14:textId="5AF60698" w:rsidR="00DC03D5" w:rsidRPr="00CA3CDF" w:rsidRDefault="00CA3CDF" w:rsidP="00CA3CDF">
      <w:pPr>
        <w:spacing w:after="120" w:line="240" w:lineRule="auto"/>
        <w:jc w:val="both"/>
        <w:rPr>
          <w:rFonts w:ascii="Candara" w:eastAsia="Candara" w:hAnsi="Candara" w:cs="Candara"/>
          <w:color w:val="000000"/>
          <w:sz w:val="20"/>
          <w:szCs w:val="20"/>
        </w:rPr>
      </w:pPr>
      <w:r w:rsidRPr="00716904">
        <w:rPr>
          <w:rFonts w:ascii="Candara" w:eastAsia="Candara" w:hAnsi="Candara" w:cs="Candara"/>
          <w:b/>
          <w:bCs/>
          <w:color w:val="000000"/>
          <w:sz w:val="20"/>
          <w:szCs w:val="20"/>
        </w:rPr>
        <w:t>Fonte:</w:t>
      </w:r>
      <w:r w:rsidRPr="00CA3CDF">
        <w:rPr>
          <w:rFonts w:ascii="Candara" w:eastAsia="Candara" w:hAnsi="Candara" w:cs="Candara"/>
          <w:color w:val="000000"/>
          <w:sz w:val="20"/>
          <w:szCs w:val="20"/>
        </w:rPr>
        <w:t xml:space="preserve"> Elaboração própria a partir de dados do IBGE – Diretoria de Pesquisas, Coordenação de População e Indicadores Sociais, Pesquisa de Informações Básicas Municipais (MUNIC, 2019).</w:t>
      </w:r>
    </w:p>
    <w:p w14:paraId="5BEECAAD" w14:textId="6DFFA2E7" w:rsidR="001F131E" w:rsidRDefault="007C6537" w:rsidP="001F131E">
      <w:pPr>
        <w:spacing w:after="0" w:line="360" w:lineRule="auto"/>
        <w:ind w:firstLine="851"/>
        <w:jc w:val="both"/>
        <w:rPr>
          <w:rFonts w:ascii="Candara" w:eastAsia="Candara" w:hAnsi="Candara" w:cs="Candara"/>
          <w:color w:val="000000"/>
          <w:sz w:val="24"/>
          <w:szCs w:val="24"/>
        </w:rPr>
      </w:pPr>
      <w:r w:rsidRPr="007C6537">
        <w:rPr>
          <w:rFonts w:ascii="Candara" w:eastAsia="Candara" w:hAnsi="Candara" w:cs="Candara"/>
          <w:color w:val="000000"/>
          <w:sz w:val="24"/>
          <w:szCs w:val="24"/>
        </w:rPr>
        <w:t>O Gráfico 4 apresenta a atuação dos municípios consorciados nas doze políticas públicas pesquisadas pela MUNIC 2019 (IBGE).</w:t>
      </w:r>
      <w:r w:rsidR="0075408C" w:rsidRPr="0075408C">
        <w:rPr>
          <w:rFonts w:ascii="Candara" w:eastAsia="Candara" w:hAnsi="Candara" w:cs="Candara"/>
          <w:color w:val="000000"/>
          <w:sz w:val="24"/>
          <w:szCs w:val="24"/>
        </w:rPr>
        <w:t xml:space="preserve"> </w:t>
      </w:r>
      <w:r w:rsidR="001F131E" w:rsidRPr="001F131E">
        <w:rPr>
          <w:rFonts w:ascii="Candara" w:eastAsia="Candara" w:hAnsi="Candara" w:cs="Candara"/>
          <w:color w:val="000000"/>
          <w:sz w:val="24"/>
          <w:szCs w:val="24"/>
        </w:rPr>
        <w:t>Em que pesem as assimetrias,</w:t>
      </w:r>
      <w:r w:rsidR="001F131E">
        <w:rPr>
          <w:rFonts w:ascii="Candara" w:eastAsia="Candara" w:hAnsi="Candara" w:cs="Candara"/>
          <w:color w:val="000000"/>
          <w:sz w:val="24"/>
          <w:szCs w:val="24"/>
        </w:rPr>
        <w:t xml:space="preserve"> </w:t>
      </w:r>
      <w:r w:rsidR="001F131E" w:rsidRPr="001F131E">
        <w:rPr>
          <w:rFonts w:ascii="Candara" w:eastAsia="Candara" w:hAnsi="Candara" w:cs="Candara"/>
          <w:color w:val="000000"/>
          <w:sz w:val="24"/>
          <w:szCs w:val="24"/>
        </w:rPr>
        <w:t>observa-se que os maiores percentuais de municípios, as suas ações são direcionadas, principalmente, para as áreas setoriais que envolvem a saúde (79,8%), manejo de resíduos sólidos (32,0%), meio ambiente (25,5%), desenvolvimento urbano (21,8%) e saneamento básico (20,0%).</w:t>
      </w:r>
    </w:p>
    <w:p w14:paraId="2C129E1A" w14:textId="4662EB6F" w:rsidR="00B81DAB" w:rsidRPr="00B81DAB" w:rsidRDefault="00B81DAB" w:rsidP="006F5AB4">
      <w:pPr>
        <w:spacing w:after="120" w:line="240" w:lineRule="auto"/>
        <w:ind w:left="1276" w:hanging="1276"/>
        <w:jc w:val="both"/>
        <w:rPr>
          <w:rFonts w:ascii="Candara" w:eastAsia="Candara" w:hAnsi="Candara" w:cs="Candara"/>
          <w:color w:val="000000"/>
          <w:sz w:val="24"/>
          <w:szCs w:val="24"/>
        </w:rPr>
      </w:pPr>
      <w:r w:rsidRPr="00B81DAB">
        <w:rPr>
          <w:rFonts w:ascii="Candara" w:eastAsia="Candara" w:hAnsi="Candara" w:cs="Candara"/>
          <w:b/>
          <w:bCs/>
          <w:color w:val="000000"/>
          <w:sz w:val="24"/>
          <w:szCs w:val="24"/>
        </w:rPr>
        <w:lastRenderedPageBreak/>
        <w:t>Gráfico 4</w:t>
      </w:r>
      <w:r w:rsidRPr="00B81DAB">
        <w:rPr>
          <w:rFonts w:ascii="Candara" w:eastAsia="Candara" w:hAnsi="Candara" w:cs="Candara"/>
          <w:color w:val="000000"/>
          <w:sz w:val="24"/>
          <w:szCs w:val="24"/>
        </w:rPr>
        <w:t xml:space="preserve"> – Brasil: percentual de municípios participantes de consórcios públicos intermunicipais segundo a área de atuação – 2019</w:t>
      </w:r>
    </w:p>
    <w:p w14:paraId="61481805" w14:textId="6E71765C" w:rsidR="00B81DAB" w:rsidRPr="00B81DAB" w:rsidRDefault="002B79BA" w:rsidP="002B79BA">
      <w:pPr>
        <w:spacing w:after="0" w:line="360" w:lineRule="auto"/>
        <w:jc w:val="center"/>
        <w:rPr>
          <w:rFonts w:ascii="Candara" w:eastAsia="Candara" w:hAnsi="Candara" w:cs="Candara"/>
          <w:color w:val="000000"/>
          <w:sz w:val="24"/>
          <w:szCs w:val="24"/>
        </w:rPr>
      </w:pPr>
      <w:r>
        <w:rPr>
          <w:rFonts w:ascii="Candara" w:eastAsia="Candara" w:hAnsi="Candara" w:cs="Candara"/>
          <w:noProof/>
          <w:color w:val="000000"/>
          <w:sz w:val="24"/>
          <w:szCs w:val="24"/>
        </w:rPr>
        <w:drawing>
          <wp:inline distT="0" distB="0" distL="0" distR="0" wp14:anchorId="7286047D" wp14:editId="25F6218A">
            <wp:extent cx="3420110" cy="1835150"/>
            <wp:effectExtent l="0" t="0" r="8890" b="0"/>
            <wp:docPr id="176173561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0110" cy="1835150"/>
                    </a:xfrm>
                    <a:prstGeom prst="rect">
                      <a:avLst/>
                    </a:prstGeom>
                    <a:noFill/>
                  </pic:spPr>
                </pic:pic>
              </a:graphicData>
            </a:graphic>
          </wp:inline>
        </w:drawing>
      </w:r>
    </w:p>
    <w:p w14:paraId="5BE6BFAE" w14:textId="7998EE18" w:rsidR="00DC03D5" w:rsidRPr="002C7E11" w:rsidRDefault="00B81DAB" w:rsidP="00F370BA">
      <w:pPr>
        <w:spacing w:after="100" w:afterAutospacing="1" w:line="240" w:lineRule="auto"/>
        <w:jc w:val="both"/>
        <w:rPr>
          <w:rFonts w:ascii="Candara" w:eastAsia="Candara" w:hAnsi="Candara" w:cs="Candara"/>
          <w:color w:val="000000"/>
          <w:sz w:val="20"/>
          <w:szCs w:val="20"/>
        </w:rPr>
      </w:pPr>
      <w:r w:rsidRPr="00D42FCD">
        <w:rPr>
          <w:rFonts w:ascii="Candara" w:eastAsia="Candara" w:hAnsi="Candara" w:cs="Candara"/>
          <w:b/>
          <w:bCs/>
          <w:color w:val="000000"/>
          <w:sz w:val="20"/>
          <w:szCs w:val="20"/>
        </w:rPr>
        <w:t>Fonte:</w:t>
      </w:r>
      <w:r w:rsidRPr="002C7E11">
        <w:rPr>
          <w:rFonts w:ascii="Candara" w:eastAsia="Candara" w:hAnsi="Candara" w:cs="Candara"/>
          <w:color w:val="000000"/>
          <w:sz w:val="20"/>
          <w:szCs w:val="20"/>
        </w:rPr>
        <w:t xml:space="preserve"> Elaboração própria a partir de dados do IBGE – Diretoria de Pesquisas, Coordenação de População e Indicadores Sociais, Pesquisa de Informações Básicas Municipais (MUNIC, 2019).</w:t>
      </w:r>
    </w:p>
    <w:p w14:paraId="18DA2365" w14:textId="2A26A43E" w:rsidR="007939F6" w:rsidRPr="0075408C" w:rsidRDefault="003D6C4F" w:rsidP="007939F6">
      <w:pPr>
        <w:spacing w:after="0" w:line="360" w:lineRule="auto"/>
        <w:ind w:firstLine="851"/>
        <w:jc w:val="both"/>
        <w:rPr>
          <w:rFonts w:ascii="Candara" w:eastAsia="Candara" w:hAnsi="Candara" w:cs="Candara"/>
          <w:color w:val="000000"/>
          <w:sz w:val="24"/>
          <w:szCs w:val="24"/>
        </w:rPr>
      </w:pPr>
      <w:r w:rsidRPr="003D6C4F">
        <w:rPr>
          <w:rFonts w:ascii="Candara" w:eastAsia="Candara" w:hAnsi="Candara" w:cs="Candara"/>
          <w:color w:val="000000"/>
          <w:sz w:val="24"/>
          <w:szCs w:val="24"/>
        </w:rPr>
        <w:t>Em parte, atribui-se esse comportamento ao Governo Central ao induzir, por meio da legislação, a formação de consórcios públicos nestas áreas.</w:t>
      </w:r>
      <w:r w:rsidR="008E0C85">
        <w:rPr>
          <w:rFonts w:ascii="Candara" w:eastAsia="Candara" w:hAnsi="Candara" w:cs="Candara"/>
          <w:color w:val="000000"/>
          <w:sz w:val="24"/>
          <w:szCs w:val="24"/>
        </w:rPr>
        <w:t xml:space="preserve"> </w:t>
      </w:r>
      <w:r w:rsidR="008E0C85" w:rsidRPr="008E0C85">
        <w:rPr>
          <w:rFonts w:ascii="Candara" w:eastAsia="Candara" w:hAnsi="Candara" w:cs="Candara"/>
          <w:color w:val="000000"/>
          <w:sz w:val="24"/>
          <w:szCs w:val="24"/>
        </w:rPr>
        <w:t>Neste caso, os marcos regulatórios incentivam a formação de consórcios públicos para a prestação desses serviços com vistas à elevação das escalas de aproveitamento e à redução dos custos.</w:t>
      </w:r>
      <w:r w:rsidR="008E0C85">
        <w:rPr>
          <w:rFonts w:ascii="Candara" w:eastAsia="Candara" w:hAnsi="Candara" w:cs="Candara"/>
          <w:color w:val="000000"/>
          <w:sz w:val="24"/>
          <w:szCs w:val="24"/>
        </w:rPr>
        <w:t xml:space="preserve"> </w:t>
      </w:r>
      <w:r w:rsidR="00EE59FD" w:rsidRPr="00EE59FD">
        <w:rPr>
          <w:rFonts w:ascii="Candara" w:eastAsia="Candara" w:hAnsi="Candara" w:cs="Candara"/>
          <w:color w:val="000000"/>
          <w:sz w:val="24"/>
          <w:szCs w:val="24"/>
        </w:rPr>
        <w:t>Para tanto, se tem a Política Nacional de Saúde (Lei nº 8.080/1990), a Política Nacional do Meio Ambiente (Lei nº 6.938/1981), articulada com a Política Nacional de Educação Ambiental (Lei nº 9.795/1999), a Política Nacional de Saneamento Básico (Lei nº 11.445/2007) e a Política Nacional de Resíduos Sólidos (Lei nº 12.305/2010).</w:t>
      </w:r>
    </w:p>
    <w:p w14:paraId="038C90EB" w14:textId="7DD00D2E" w:rsidR="007939F6" w:rsidRDefault="0099730C" w:rsidP="007939F6">
      <w:pPr>
        <w:spacing w:after="0" w:line="360" w:lineRule="auto"/>
        <w:ind w:firstLine="851"/>
        <w:jc w:val="both"/>
        <w:rPr>
          <w:rFonts w:ascii="Candara" w:eastAsia="Candara" w:hAnsi="Candara" w:cs="Candara"/>
          <w:color w:val="000000"/>
          <w:sz w:val="24"/>
          <w:szCs w:val="24"/>
        </w:rPr>
      </w:pPr>
      <w:r w:rsidRPr="0099730C">
        <w:rPr>
          <w:rFonts w:ascii="Candara" w:eastAsia="Candara" w:hAnsi="Candara" w:cs="Candara"/>
          <w:color w:val="000000"/>
          <w:sz w:val="24"/>
          <w:szCs w:val="24"/>
        </w:rPr>
        <w:t>Quanto ao desenvolvimento urbano, consideram-se os aspectos normativos vinculados ao Estatuto da Metrópole (Lei Federal nº 13.089/2015) que, em alguma medida, compõe o regramento legal sobre as políticas urbanas.</w:t>
      </w:r>
    </w:p>
    <w:p w14:paraId="173D2E54" w14:textId="77777777" w:rsidR="00D4584E" w:rsidRDefault="00EF6B35" w:rsidP="003044BB">
      <w:pPr>
        <w:spacing w:after="0" w:line="360" w:lineRule="auto"/>
        <w:ind w:firstLine="851"/>
        <w:jc w:val="both"/>
        <w:rPr>
          <w:rFonts w:ascii="Candara" w:eastAsia="Candara" w:hAnsi="Candara" w:cs="Candara"/>
          <w:color w:val="000000"/>
          <w:sz w:val="24"/>
          <w:szCs w:val="24"/>
        </w:rPr>
      </w:pPr>
      <w:r w:rsidRPr="00EF6B35">
        <w:rPr>
          <w:rFonts w:ascii="Candara" w:eastAsia="Candara" w:hAnsi="Candara" w:cs="Candara"/>
          <w:color w:val="000000"/>
          <w:sz w:val="24"/>
          <w:szCs w:val="24"/>
        </w:rPr>
        <w:t xml:space="preserve">A despeito das demais áreas setoriais, a incidência de consorciamento por parte dos municípios se revelou menor para a promoção de ações de forma mais articulada e integrada. Esta condição reforça a desigualdade dos municípios em </w:t>
      </w:r>
      <w:r w:rsidRPr="00EF6B35">
        <w:rPr>
          <w:rFonts w:ascii="Candara" w:eastAsia="Candara" w:hAnsi="Candara" w:cs="Candara"/>
          <w:color w:val="000000"/>
          <w:sz w:val="24"/>
          <w:szCs w:val="24"/>
        </w:rPr>
        <w:lastRenderedPageBreak/>
        <w:t>desenvolver relações intergovernamentais capazes de orientar ações compartilhadas para atuação no campo das políticas públicas.</w:t>
      </w:r>
    </w:p>
    <w:p w14:paraId="5EA59F05" w14:textId="212709E2" w:rsidR="003044BB" w:rsidRPr="003044BB" w:rsidRDefault="00EF6B35" w:rsidP="003044BB">
      <w:pPr>
        <w:spacing w:after="0" w:line="360" w:lineRule="auto"/>
        <w:ind w:firstLine="851"/>
        <w:jc w:val="both"/>
        <w:rPr>
          <w:rFonts w:ascii="Candara" w:eastAsia="Candara" w:hAnsi="Candara" w:cs="Candara"/>
          <w:color w:val="000000"/>
          <w:sz w:val="24"/>
          <w:szCs w:val="24"/>
        </w:rPr>
      </w:pPr>
      <w:r w:rsidRPr="00EF6B35">
        <w:rPr>
          <w:rFonts w:ascii="Candara" w:eastAsia="Candara" w:hAnsi="Candara" w:cs="Candara"/>
          <w:color w:val="000000"/>
          <w:sz w:val="24"/>
          <w:szCs w:val="24"/>
        </w:rPr>
        <w:t>De fato, sob a ótica da teoria da descentralização das políticas públicas, os consórcios passaram a ser vistos como instrumento que potencializa a capacidade de provisão dos serviços públicos somente após a promulgação da Lei de Consórcios. Essa relevância atribuída aos consórcios também viabiliza a possibilidade da implementação de políticas regionais como meio de articular as relações intergovernamentais, compatibilizando as ações entre os entes federados.</w:t>
      </w:r>
    </w:p>
    <w:p w14:paraId="12D27D8D" w14:textId="3AF2F3BA" w:rsidR="003044BB" w:rsidRPr="003044BB" w:rsidRDefault="00975D0E" w:rsidP="003044BB">
      <w:pPr>
        <w:spacing w:after="0" w:line="360" w:lineRule="auto"/>
        <w:ind w:firstLine="851"/>
        <w:jc w:val="both"/>
        <w:rPr>
          <w:rFonts w:ascii="Candara" w:eastAsia="Candara" w:hAnsi="Candara" w:cs="Candara"/>
          <w:color w:val="000000"/>
          <w:sz w:val="24"/>
          <w:szCs w:val="24"/>
        </w:rPr>
      </w:pPr>
      <w:r w:rsidRPr="00975D0E">
        <w:rPr>
          <w:rFonts w:ascii="Candara" w:eastAsia="Candara" w:hAnsi="Candara" w:cs="Candara"/>
          <w:color w:val="000000"/>
          <w:sz w:val="24"/>
          <w:szCs w:val="24"/>
        </w:rPr>
        <w:t>De uma perspectiva regional, por meio dos dados da Tabela 1, este estudo evidencia as principais áreas de atuação nas quais os municípios integrantes de consórcios públicos mais desempenham ações consorciadas. Deste modo, o caminho percorrido pelos consórcios públicos mostra que a área da saúde se tornou prioritária para o desenvolvimento de ações consorciadas. Em todas as regiões, a saúde representa a principal área de atuação dos municípios participantes de consórcios, exceto a Região Norte, cuja área de manejo de resíduos sólidos (51,8%) sobressai entre as ações executadas pelos municípios consorciados.</w:t>
      </w:r>
    </w:p>
    <w:p w14:paraId="439B53E1" w14:textId="2C695770" w:rsidR="00DC03D5" w:rsidRDefault="006F508C" w:rsidP="003044BB">
      <w:pPr>
        <w:spacing w:after="0" w:line="360" w:lineRule="auto"/>
        <w:ind w:firstLine="851"/>
        <w:jc w:val="both"/>
        <w:rPr>
          <w:rFonts w:ascii="Candara" w:eastAsia="Candara" w:hAnsi="Candara" w:cs="Candara"/>
          <w:color w:val="000000"/>
          <w:sz w:val="24"/>
          <w:szCs w:val="24"/>
        </w:rPr>
      </w:pPr>
      <w:r w:rsidRPr="006F508C">
        <w:rPr>
          <w:rFonts w:ascii="Candara" w:eastAsia="Candara" w:hAnsi="Candara" w:cs="Candara"/>
          <w:color w:val="000000"/>
          <w:sz w:val="24"/>
          <w:szCs w:val="24"/>
        </w:rPr>
        <w:t>Em seguida, nota-se que as ações direcionadas para o meio ambiente, desenvolvimento urbano, manejo de resíduos sólidos e saneamento básico são as que concentram o maior percentual de municípios, considerando as grandes regiões do território brasileiro. Cabe ressaltar que somente na Região Centro-Oeste as áreas de atuação voltada para Assistência e Desenvolvimento Social (17,8%), Turismo (16,5%) e Gestão das Águas (13,8%) superam o percentual de municípios com ações direcionadas para o Desenvolvimento Urbano (13,1%).</w:t>
      </w:r>
    </w:p>
    <w:p w14:paraId="104534AB" w14:textId="005A23E5" w:rsidR="00DC03D5" w:rsidRDefault="00D46FDD" w:rsidP="00AD156A">
      <w:pPr>
        <w:spacing w:after="0" w:line="240" w:lineRule="auto"/>
        <w:ind w:left="1191" w:hanging="1191"/>
        <w:jc w:val="both"/>
        <w:rPr>
          <w:rFonts w:ascii="Candara" w:eastAsia="Candara" w:hAnsi="Candara" w:cs="Candara"/>
          <w:color w:val="000000"/>
          <w:sz w:val="24"/>
          <w:szCs w:val="24"/>
        </w:rPr>
      </w:pPr>
      <w:r w:rsidRPr="00D46FDD">
        <w:rPr>
          <w:rFonts w:ascii="Candara" w:eastAsia="Candara" w:hAnsi="Candara" w:cs="Candara"/>
          <w:b/>
          <w:bCs/>
          <w:color w:val="000000"/>
          <w:sz w:val="24"/>
          <w:szCs w:val="24"/>
        </w:rPr>
        <w:lastRenderedPageBreak/>
        <w:t>Tabela 1</w:t>
      </w:r>
      <w:r w:rsidRPr="00D46FDD">
        <w:rPr>
          <w:rFonts w:ascii="Candara" w:eastAsia="Candara" w:hAnsi="Candara" w:cs="Candara"/>
          <w:color w:val="000000"/>
          <w:sz w:val="24"/>
          <w:szCs w:val="24"/>
        </w:rPr>
        <w:t xml:space="preserve"> – Brasil: percentual de municípios participantes de consórcios públicos intermunicipais segundo as Grandes Regiões por área de atuação – 2019</w:t>
      </w:r>
    </w:p>
    <w:p w14:paraId="66DF8C11" w14:textId="66FE1DEE" w:rsidR="00A22067" w:rsidRPr="00A22067" w:rsidRDefault="00A22067" w:rsidP="00A22067">
      <w:pPr>
        <w:spacing w:after="0" w:line="240" w:lineRule="auto"/>
        <w:ind w:right="991"/>
        <w:jc w:val="right"/>
        <w:rPr>
          <w:rFonts w:ascii="Candara" w:eastAsia="Candara" w:hAnsi="Candara" w:cs="Candara"/>
          <w:color w:val="000000"/>
          <w:sz w:val="16"/>
          <w:szCs w:val="16"/>
        </w:rPr>
      </w:pPr>
      <w:r w:rsidRPr="00A22067">
        <w:rPr>
          <w:rFonts w:ascii="Candara" w:eastAsia="Candara" w:hAnsi="Candara" w:cs="Candara"/>
          <w:color w:val="000000"/>
          <w:sz w:val="16"/>
          <w:szCs w:val="16"/>
        </w:rPr>
        <w:t>(%)</w:t>
      </w:r>
    </w:p>
    <w:tbl>
      <w:tblPr>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709"/>
        <w:gridCol w:w="850"/>
        <w:gridCol w:w="1134"/>
        <w:gridCol w:w="851"/>
        <w:gridCol w:w="708"/>
      </w:tblGrid>
      <w:tr w:rsidR="003539BE" w:rsidRPr="003539BE" w14:paraId="250D23EF" w14:textId="77777777" w:rsidTr="00BC2DD1">
        <w:trPr>
          <w:trHeight w:val="279"/>
          <w:jc w:val="center"/>
        </w:trPr>
        <w:tc>
          <w:tcPr>
            <w:tcW w:w="2552" w:type="dxa"/>
            <w:tcBorders>
              <w:top w:val="double" w:sz="4" w:space="0" w:color="auto"/>
              <w:left w:val="nil"/>
              <w:bottom w:val="double" w:sz="4" w:space="0" w:color="auto"/>
            </w:tcBorders>
            <w:shd w:val="clear" w:color="auto" w:fill="D9D9D9" w:themeFill="background1" w:themeFillShade="D9"/>
            <w:vAlign w:val="center"/>
          </w:tcPr>
          <w:p w14:paraId="7AB856C2" w14:textId="77777777" w:rsidR="003539BE" w:rsidRPr="003539BE" w:rsidRDefault="003539BE" w:rsidP="00BC2DD1">
            <w:pPr>
              <w:spacing w:after="0" w:line="240" w:lineRule="auto"/>
              <w:jc w:val="both"/>
              <w:rPr>
                <w:rFonts w:ascii="Candara" w:hAnsi="Candara" w:cs="Times New Roman"/>
                <w:b/>
                <w:bCs/>
                <w:sz w:val="16"/>
                <w:szCs w:val="16"/>
              </w:rPr>
            </w:pPr>
            <w:r w:rsidRPr="003539BE">
              <w:rPr>
                <w:rFonts w:ascii="Candara" w:hAnsi="Candara" w:cs="Times New Roman"/>
                <w:b/>
                <w:bCs/>
                <w:sz w:val="16"/>
                <w:szCs w:val="16"/>
              </w:rPr>
              <w:t>Áreas de Atuação</w:t>
            </w:r>
          </w:p>
        </w:tc>
        <w:tc>
          <w:tcPr>
            <w:tcW w:w="709" w:type="dxa"/>
            <w:tcBorders>
              <w:top w:val="double" w:sz="4" w:space="0" w:color="auto"/>
              <w:bottom w:val="double" w:sz="4" w:space="0" w:color="auto"/>
              <w:right w:val="nil"/>
            </w:tcBorders>
            <w:shd w:val="clear" w:color="auto" w:fill="D9D9D9" w:themeFill="background1" w:themeFillShade="D9"/>
            <w:vAlign w:val="center"/>
          </w:tcPr>
          <w:p w14:paraId="0CE55C39" w14:textId="77777777" w:rsidR="003539BE" w:rsidRPr="003539BE" w:rsidRDefault="003539BE" w:rsidP="00BC2DD1">
            <w:pPr>
              <w:spacing w:after="0" w:line="240" w:lineRule="auto"/>
              <w:jc w:val="center"/>
              <w:rPr>
                <w:rFonts w:ascii="Candara" w:hAnsi="Candara" w:cs="Times New Roman"/>
                <w:b/>
                <w:bCs/>
                <w:sz w:val="16"/>
                <w:szCs w:val="16"/>
              </w:rPr>
            </w:pPr>
            <w:r w:rsidRPr="003539BE">
              <w:rPr>
                <w:rFonts w:ascii="Candara" w:hAnsi="Candara" w:cs="Times New Roman"/>
                <w:b/>
                <w:bCs/>
                <w:sz w:val="16"/>
                <w:szCs w:val="16"/>
              </w:rPr>
              <w:t>Região Sul</w:t>
            </w:r>
          </w:p>
        </w:tc>
        <w:tc>
          <w:tcPr>
            <w:tcW w:w="850" w:type="dxa"/>
            <w:tcBorders>
              <w:top w:val="double" w:sz="4" w:space="0" w:color="auto"/>
              <w:bottom w:val="double" w:sz="4" w:space="0" w:color="auto"/>
              <w:right w:val="nil"/>
            </w:tcBorders>
            <w:shd w:val="clear" w:color="auto" w:fill="D9D9D9" w:themeFill="background1" w:themeFillShade="D9"/>
            <w:vAlign w:val="center"/>
          </w:tcPr>
          <w:p w14:paraId="560FA10A" w14:textId="77777777" w:rsidR="003539BE" w:rsidRPr="003539BE" w:rsidRDefault="003539BE" w:rsidP="00BC2DD1">
            <w:pPr>
              <w:spacing w:after="0" w:line="240" w:lineRule="auto"/>
              <w:jc w:val="center"/>
              <w:rPr>
                <w:rFonts w:ascii="Candara" w:hAnsi="Candara" w:cs="Times New Roman"/>
                <w:b/>
                <w:bCs/>
                <w:sz w:val="16"/>
                <w:szCs w:val="16"/>
              </w:rPr>
            </w:pPr>
            <w:r w:rsidRPr="003539BE">
              <w:rPr>
                <w:rFonts w:ascii="Candara" w:hAnsi="Candara" w:cs="Times New Roman"/>
                <w:b/>
                <w:bCs/>
                <w:sz w:val="16"/>
                <w:szCs w:val="16"/>
              </w:rPr>
              <w:t>Região Sudeste</w:t>
            </w:r>
          </w:p>
        </w:tc>
        <w:tc>
          <w:tcPr>
            <w:tcW w:w="1134" w:type="dxa"/>
            <w:tcBorders>
              <w:top w:val="double" w:sz="4" w:space="0" w:color="auto"/>
              <w:bottom w:val="double" w:sz="4" w:space="0" w:color="auto"/>
              <w:right w:val="nil"/>
            </w:tcBorders>
            <w:shd w:val="clear" w:color="auto" w:fill="D9D9D9" w:themeFill="background1" w:themeFillShade="D9"/>
            <w:vAlign w:val="center"/>
          </w:tcPr>
          <w:p w14:paraId="30A1EE86" w14:textId="77777777" w:rsidR="003539BE" w:rsidRPr="003539BE" w:rsidRDefault="003539BE" w:rsidP="00BC2DD1">
            <w:pPr>
              <w:spacing w:after="0" w:line="240" w:lineRule="auto"/>
              <w:jc w:val="center"/>
              <w:rPr>
                <w:rFonts w:ascii="Candara" w:hAnsi="Candara" w:cs="Times New Roman"/>
                <w:b/>
                <w:bCs/>
                <w:sz w:val="16"/>
                <w:szCs w:val="16"/>
              </w:rPr>
            </w:pPr>
            <w:r w:rsidRPr="003539BE">
              <w:rPr>
                <w:rFonts w:ascii="Candara" w:hAnsi="Candara" w:cs="Times New Roman"/>
                <w:b/>
                <w:bCs/>
                <w:sz w:val="16"/>
                <w:szCs w:val="16"/>
              </w:rPr>
              <w:t>Região</w:t>
            </w:r>
          </w:p>
          <w:p w14:paraId="4F48681D" w14:textId="77777777" w:rsidR="003539BE" w:rsidRPr="003539BE" w:rsidRDefault="003539BE" w:rsidP="00BC2DD1">
            <w:pPr>
              <w:spacing w:after="0" w:line="240" w:lineRule="auto"/>
              <w:jc w:val="center"/>
              <w:rPr>
                <w:rFonts w:ascii="Candara" w:hAnsi="Candara" w:cs="Times New Roman"/>
                <w:b/>
                <w:bCs/>
                <w:sz w:val="16"/>
                <w:szCs w:val="16"/>
              </w:rPr>
            </w:pPr>
            <w:r w:rsidRPr="003539BE">
              <w:rPr>
                <w:rFonts w:ascii="Candara" w:hAnsi="Candara" w:cs="Times New Roman"/>
                <w:b/>
                <w:bCs/>
                <w:sz w:val="16"/>
                <w:szCs w:val="16"/>
              </w:rPr>
              <w:t>Centro-Oeste</w:t>
            </w:r>
          </w:p>
        </w:tc>
        <w:tc>
          <w:tcPr>
            <w:tcW w:w="851" w:type="dxa"/>
            <w:tcBorders>
              <w:top w:val="double" w:sz="4" w:space="0" w:color="auto"/>
              <w:bottom w:val="double" w:sz="4" w:space="0" w:color="auto"/>
              <w:right w:val="nil"/>
            </w:tcBorders>
            <w:shd w:val="clear" w:color="auto" w:fill="D9D9D9" w:themeFill="background1" w:themeFillShade="D9"/>
            <w:vAlign w:val="center"/>
          </w:tcPr>
          <w:p w14:paraId="27CF0DC8" w14:textId="77777777" w:rsidR="003539BE" w:rsidRPr="003539BE" w:rsidRDefault="003539BE" w:rsidP="00BC2DD1">
            <w:pPr>
              <w:spacing w:after="0" w:line="240" w:lineRule="auto"/>
              <w:jc w:val="center"/>
              <w:rPr>
                <w:rFonts w:ascii="Candara" w:hAnsi="Candara" w:cs="Times New Roman"/>
                <w:b/>
                <w:bCs/>
                <w:sz w:val="16"/>
                <w:szCs w:val="16"/>
              </w:rPr>
            </w:pPr>
            <w:r w:rsidRPr="003539BE">
              <w:rPr>
                <w:rFonts w:ascii="Candara" w:hAnsi="Candara" w:cs="Times New Roman"/>
                <w:b/>
                <w:bCs/>
                <w:sz w:val="16"/>
                <w:szCs w:val="16"/>
              </w:rPr>
              <w:t>Região Nordeste</w:t>
            </w:r>
          </w:p>
        </w:tc>
        <w:tc>
          <w:tcPr>
            <w:tcW w:w="708" w:type="dxa"/>
            <w:tcBorders>
              <w:top w:val="double" w:sz="4" w:space="0" w:color="auto"/>
              <w:bottom w:val="double" w:sz="4" w:space="0" w:color="auto"/>
              <w:right w:val="nil"/>
            </w:tcBorders>
            <w:shd w:val="clear" w:color="auto" w:fill="D9D9D9" w:themeFill="background1" w:themeFillShade="D9"/>
            <w:vAlign w:val="center"/>
          </w:tcPr>
          <w:p w14:paraId="4D50850D" w14:textId="77777777" w:rsidR="003539BE" w:rsidRPr="003539BE" w:rsidRDefault="003539BE" w:rsidP="00BC2DD1">
            <w:pPr>
              <w:spacing w:after="0" w:line="240" w:lineRule="auto"/>
              <w:jc w:val="center"/>
              <w:rPr>
                <w:rFonts w:ascii="Candara" w:hAnsi="Candara" w:cs="Times New Roman"/>
                <w:b/>
                <w:bCs/>
                <w:sz w:val="16"/>
                <w:szCs w:val="16"/>
              </w:rPr>
            </w:pPr>
            <w:r w:rsidRPr="003539BE">
              <w:rPr>
                <w:rFonts w:ascii="Candara" w:hAnsi="Candara" w:cs="Times New Roman"/>
                <w:b/>
                <w:bCs/>
                <w:sz w:val="16"/>
                <w:szCs w:val="16"/>
              </w:rPr>
              <w:t>Região Norte</w:t>
            </w:r>
          </w:p>
        </w:tc>
      </w:tr>
      <w:tr w:rsidR="003539BE" w:rsidRPr="003539BE" w14:paraId="345774D5" w14:textId="77777777" w:rsidTr="00BC2DD1">
        <w:trPr>
          <w:trHeight w:hRule="exact" w:val="259"/>
          <w:jc w:val="center"/>
        </w:trPr>
        <w:tc>
          <w:tcPr>
            <w:tcW w:w="2552" w:type="dxa"/>
            <w:tcBorders>
              <w:top w:val="double" w:sz="4" w:space="0" w:color="auto"/>
              <w:left w:val="nil"/>
              <w:bottom w:val="single" w:sz="4" w:space="0" w:color="auto"/>
            </w:tcBorders>
            <w:shd w:val="clear" w:color="auto" w:fill="auto"/>
            <w:vAlign w:val="center"/>
          </w:tcPr>
          <w:p w14:paraId="042843FF"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Saúde</w:t>
            </w:r>
          </w:p>
        </w:tc>
        <w:tc>
          <w:tcPr>
            <w:tcW w:w="709" w:type="dxa"/>
            <w:tcBorders>
              <w:top w:val="double" w:sz="4" w:space="0" w:color="auto"/>
              <w:bottom w:val="single" w:sz="4" w:space="0" w:color="auto"/>
              <w:right w:val="nil"/>
            </w:tcBorders>
            <w:vAlign w:val="center"/>
          </w:tcPr>
          <w:p w14:paraId="17C53BA5" w14:textId="77777777" w:rsidR="003539BE" w:rsidRPr="003539BE" w:rsidRDefault="003539BE" w:rsidP="00BC2DD1">
            <w:pPr>
              <w:spacing w:after="0" w:line="240" w:lineRule="auto"/>
              <w:jc w:val="center"/>
              <w:rPr>
                <w:rFonts w:ascii="Candara" w:hAnsi="Candara" w:cs="Times New Roman"/>
                <w:sz w:val="16"/>
                <w:szCs w:val="16"/>
              </w:rPr>
            </w:pPr>
            <w:r w:rsidRPr="003539BE">
              <w:rPr>
                <w:rFonts w:ascii="Candara" w:hAnsi="Candara" w:cs="Times New Roman"/>
                <w:sz w:val="16"/>
                <w:szCs w:val="16"/>
              </w:rPr>
              <w:t>94,7</w:t>
            </w:r>
          </w:p>
        </w:tc>
        <w:tc>
          <w:tcPr>
            <w:tcW w:w="850" w:type="dxa"/>
            <w:tcBorders>
              <w:top w:val="double" w:sz="4" w:space="0" w:color="auto"/>
              <w:bottom w:val="single" w:sz="4" w:space="0" w:color="auto"/>
              <w:right w:val="nil"/>
            </w:tcBorders>
            <w:vAlign w:val="center"/>
          </w:tcPr>
          <w:p w14:paraId="048DF0A7" w14:textId="77777777" w:rsidR="003539BE" w:rsidRPr="003539BE" w:rsidRDefault="003539BE" w:rsidP="00BC2DD1">
            <w:pPr>
              <w:spacing w:after="0" w:line="240" w:lineRule="auto"/>
              <w:jc w:val="center"/>
              <w:rPr>
                <w:rFonts w:ascii="Candara" w:hAnsi="Candara" w:cs="Times New Roman"/>
                <w:sz w:val="16"/>
                <w:szCs w:val="16"/>
              </w:rPr>
            </w:pPr>
            <w:r w:rsidRPr="003539BE">
              <w:rPr>
                <w:rFonts w:ascii="Candara" w:hAnsi="Candara" w:cs="Times New Roman"/>
                <w:sz w:val="16"/>
                <w:szCs w:val="16"/>
              </w:rPr>
              <w:t>88,5</w:t>
            </w:r>
          </w:p>
        </w:tc>
        <w:tc>
          <w:tcPr>
            <w:tcW w:w="1134" w:type="dxa"/>
            <w:tcBorders>
              <w:top w:val="double" w:sz="4" w:space="0" w:color="auto"/>
              <w:bottom w:val="single" w:sz="4" w:space="0" w:color="auto"/>
              <w:right w:val="nil"/>
            </w:tcBorders>
            <w:vAlign w:val="center"/>
          </w:tcPr>
          <w:p w14:paraId="5455E3A0" w14:textId="77777777" w:rsidR="003539BE" w:rsidRPr="003539BE" w:rsidRDefault="003539BE" w:rsidP="00BC2DD1">
            <w:pPr>
              <w:spacing w:after="0" w:line="240" w:lineRule="auto"/>
              <w:jc w:val="center"/>
              <w:rPr>
                <w:rFonts w:ascii="Candara" w:hAnsi="Candara" w:cs="Times New Roman"/>
                <w:sz w:val="16"/>
                <w:szCs w:val="16"/>
              </w:rPr>
            </w:pPr>
            <w:r w:rsidRPr="003539BE">
              <w:rPr>
                <w:rFonts w:ascii="Candara" w:hAnsi="Candara" w:cs="Times New Roman"/>
                <w:sz w:val="16"/>
                <w:szCs w:val="16"/>
              </w:rPr>
              <w:t>56,6</w:t>
            </w:r>
          </w:p>
        </w:tc>
        <w:tc>
          <w:tcPr>
            <w:tcW w:w="851" w:type="dxa"/>
            <w:tcBorders>
              <w:top w:val="double" w:sz="4" w:space="0" w:color="auto"/>
              <w:bottom w:val="single" w:sz="4" w:space="0" w:color="auto"/>
              <w:right w:val="nil"/>
            </w:tcBorders>
            <w:vAlign w:val="center"/>
          </w:tcPr>
          <w:p w14:paraId="7E0A4A5C" w14:textId="77777777" w:rsidR="003539BE" w:rsidRPr="003539BE" w:rsidRDefault="003539BE" w:rsidP="00BC2DD1">
            <w:pPr>
              <w:spacing w:after="0" w:line="240" w:lineRule="auto"/>
              <w:jc w:val="center"/>
              <w:rPr>
                <w:rFonts w:ascii="Candara" w:hAnsi="Candara" w:cs="Times New Roman"/>
                <w:sz w:val="16"/>
                <w:szCs w:val="16"/>
              </w:rPr>
            </w:pPr>
            <w:r w:rsidRPr="003539BE">
              <w:rPr>
                <w:rFonts w:ascii="Candara" w:hAnsi="Candara" w:cs="Times New Roman"/>
                <w:sz w:val="16"/>
                <w:szCs w:val="16"/>
              </w:rPr>
              <w:t>61,7</w:t>
            </w:r>
          </w:p>
        </w:tc>
        <w:tc>
          <w:tcPr>
            <w:tcW w:w="708" w:type="dxa"/>
            <w:tcBorders>
              <w:top w:val="double" w:sz="4" w:space="0" w:color="auto"/>
              <w:bottom w:val="single" w:sz="4" w:space="0" w:color="auto"/>
              <w:right w:val="nil"/>
            </w:tcBorders>
            <w:vAlign w:val="center"/>
          </w:tcPr>
          <w:p w14:paraId="6BD3B86F" w14:textId="77777777" w:rsidR="003539BE" w:rsidRPr="003539BE" w:rsidRDefault="003539BE" w:rsidP="00BC2DD1">
            <w:pPr>
              <w:spacing w:after="0" w:line="240" w:lineRule="auto"/>
              <w:jc w:val="center"/>
              <w:rPr>
                <w:rFonts w:ascii="Candara" w:hAnsi="Candara" w:cs="Times New Roman"/>
                <w:sz w:val="16"/>
                <w:szCs w:val="16"/>
              </w:rPr>
            </w:pPr>
            <w:r w:rsidRPr="003539BE">
              <w:rPr>
                <w:rFonts w:ascii="Candara" w:hAnsi="Candara" w:cs="Times New Roman"/>
                <w:sz w:val="16"/>
                <w:szCs w:val="16"/>
              </w:rPr>
              <w:t>48,2</w:t>
            </w:r>
          </w:p>
        </w:tc>
      </w:tr>
      <w:tr w:rsidR="003539BE" w:rsidRPr="003539BE" w14:paraId="38DA4D7B"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1A29E89F"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Meio Ambiente</w:t>
            </w:r>
          </w:p>
        </w:tc>
        <w:tc>
          <w:tcPr>
            <w:tcW w:w="709" w:type="dxa"/>
            <w:tcBorders>
              <w:top w:val="single" w:sz="4" w:space="0" w:color="auto"/>
              <w:bottom w:val="single" w:sz="4" w:space="0" w:color="auto"/>
              <w:right w:val="nil"/>
            </w:tcBorders>
            <w:vAlign w:val="center"/>
          </w:tcPr>
          <w:p w14:paraId="54CDDC0D"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25,5</w:t>
            </w:r>
          </w:p>
        </w:tc>
        <w:tc>
          <w:tcPr>
            <w:tcW w:w="850" w:type="dxa"/>
            <w:tcBorders>
              <w:top w:val="single" w:sz="4" w:space="0" w:color="auto"/>
              <w:bottom w:val="single" w:sz="4" w:space="0" w:color="auto"/>
              <w:right w:val="nil"/>
            </w:tcBorders>
            <w:vAlign w:val="center"/>
          </w:tcPr>
          <w:p w14:paraId="787FB2B7"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20,5</w:t>
            </w:r>
          </w:p>
        </w:tc>
        <w:tc>
          <w:tcPr>
            <w:tcW w:w="1134" w:type="dxa"/>
            <w:tcBorders>
              <w:top w:val="single" w:sz="4" w:space="0" w:color="auto"/>
              <w:bottom w:val="single" w:sz="4" w:space="0" w:color="auto"/>
              <w:right w:val="nil"/>
            </w:tcBorders>
            <w:vAlign w:val="center"/>
          </w:tcPr>
          <w:p w14:paraId="55F80812"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39,1</w:t>
            </w:r>
          </w:p>
        </w:tc>
        <w:tc>
          <w:tcPr>
            <w:tcW w:w="851" w:type="dxa"/>
            <w:tcBorders>
              <w:top w:val="single" w:sz="4" w:space="0" w:color="auto"/>
              <w:bottom w:val="single" w:sz="4" w:space="0" w:color="auto"/>
              <w:right w:val="nil"/>
            </w:tcBorders>
            <w:vAlign w:val="center"/>
          </w:tcPr>
          <w:p w14:paraId="275A8277"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27,8</w:t>
            </w:r>
          </w:p>
        </w:tc>
        <w:tc>
          <w:tcPr>
            <w:tcW w:w="708" w:type="dxa"/>
            <w:tcBorders>
              <w:top w:val="single" w:sz="4" w:space="0" w:color="auto"/>
              <w:bottom w:val="single" w:sz="4" w:space="0" w:color="auto"/>
              <w:right w:val="nil"/>
            </w:tcBorders>
            <w:vAlign w:val="center"/>
          </w:tcPr>
          <w:p w14:paraId="564BE699"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28,6</w:t>
            </w:r>
          </w:p>
        </w:tc>
      </w:tr>
      <w:tr w:rsidR="003539BE" w:rsidRPr="003539BE" w14:paraId="51B7E96A"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29DB2F9E"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Desenvolvimento Urbano</w:t>
            </w:r>
          </w:p>
        </w:tc>
        <w:tc>
          <w:tcPr>
            <w:tcW w:w="709" w:type="dxa"/>
            <w:tcBorders>
              <w:top w:val="single" w:sz="4" w:space="0" w:color="auto"/>
              <w:bottom w:val="single" w:sz="4" w:space="0" w:color="auto"/>
              <w:right w:val="nil"/>
            </w:tcBorders>
            <w:vAlign w:val="center"/>
          </w:tcPr>
          <w:p w14:paraId="58BE8242"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24,8</w:t>
            </w:r>
          </w:p>
        </w:tc>
        <w:tc>
          <w:tcPr>
            <w:tcW w:w="850" w:type="dxa"/>
            <w:tcBorders>
              <w:top w:val="single" w:sz="4" w:space="0" w:color="auto"/>
              <w:bottom w:val="single" w:sz="4" w:space="0" w:color="auto"/>
              <w:right w:val="nil"/>
            </w:tcBorders>
            <w:vAlign w:val="center"/>
          </w:tcPr>
          <w:p w14:paraId="1F981138"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19,1</w:t>
            </w:r>
          </w:p>
        </w:tc>
        <w:tc>
          <w:tcPr>
            <w:tcW w:w="1134" w:type="dxa"/>
            <w:tcBorders>
              <w:top w:val="single" w:sz="4" w:space="0" w:color="auto"/>
              <w:bottom w:val="single" w:sz="4" w:space="0" w:color="auto"/>
              <w:right w:val="nil"/>
            </w:tcBorders>
            <w:vAlign w:val="center"/>
          </w:tcPr>
          <w:p w14:paraId="27D952C2"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13,1</w:t>
            </w:r>
          </w:p>
        </w:tc>
        <w:tc>
          <w:tcPr>
            <w:tcW w:w="851" w:type="dxa"/>
            <w:tcBorders>
              <w:top w:val="single" w:sz="4" w:space="0" w:color="auto"/>
              <w:bottom w:val="single" w:sz="4" w:space="0" w:color="auto"/>
              <w:right w:val="nil"/>
            </w:tcBorders>
            <w:vAlign w:val="center"/>
          </w:tcPr>
          <w:p w14:paraId="5748A5E8"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25,0</w:t>
            </w:r>
          </w:p>
        </w:tc>
        <w:tc>
          <w:tcPr>
            <w:tcW w:w="708" w:type="dxa"/>
            <w:tcBorders>
              <w:top w:val="single" w:sz="4" w:space="0" w:color="auto"/>
              <w:bottom w:val="single" w:sz="4" w:space="0" w:color="auto"/>
              <w:right w:val="nil"/>
            </w:tcBorders>
            <w:vAlign w:val="center"/>
          </w:tcPr>
          <w:p w14:paraId="19118F6C"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22,3</w:t>
            </w:r>
          </w:p>
        </w:tc>
      </w:tr>
      <w:tr w:rsidR="003539BE" w:rsidRPr="003539BE" w14:paraId="2583828C"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178276C7"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Manejo de Resíduos Sólidos</w:t>
            </w:r>
          </w:p>
        </w:tc>
        <w:tc>
          <w:tcPr>
            <w:tcW w:w="709" w:type="dxa"/>
            <w:tcBorders>
              <w:top w:val="single" w:sz="4" w:space="0" w:color="auto"/>
              <w:bottom w:val="single" w:sz="4" w:space="0" w:color="auto"/>
              <w:right w:val="nil"/>
            </w:tcBorders>
            <w:vAlign w:val="center"/>
          </w:tcPr>
          <w:p w14:paraId="03138005"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23,9</w:t>
            </w:r>
          </w:p>
        </w:tc>
        <w:tc>
          <w:tcPr>
            <w:tcW w:w="850" w:type="dxa"/>
            <w:tcBorders>
              <w:top w:val="single" w:sz="4" w:space="0" w:color="auto"/>
              <w:bottom w:val="single" w:sz="4" w:space="0" w:color="auto"/>
              <w:right w:val="nil"/>
            </w:tcBorders>
            <w:vAlign w:val="center"/>
          </w:tcPr>
          <w:p w14:paraId="1E22FD7C"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25,0</w:t>
            </w:r>
          </w:p>
        </w:tc>
        <w:tc>
          <w:tcPr>
            <w:tcW w:w="1134" w:type="dxa"/>
            <w:tcBorders>
              <w:top w:val="single" w:sz="4" w:space="0" w:color="auto"/>
              <w:bottom w:val="single" w:sz="4" w:space="0" w:color="auto"/>
              <w:right w:val="nil"/>
            </w:tcBorders>
            <w:vAlign w:val="center"/>
          </w:tcPr>
          <w:p w14:paraId="3F634455"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44,1</w:t>
            </w:r>
          </w:p>
        </w:tc>
        <w:tc>
          <w:tcPr>
            <w:tcW w:w="851" w:type="dxa"/>
            <w:tcBorders>
              <w:top w:val="single" w:sz="4" w:space="0" w:color="auto"/>
              <w:bottom w:val="single" w:sz="4" w:space="0" w:color="auto"/>
              <w:right w:val="nil"/>
            </w:tcBorders>
            <w:vAlign w:val="center"/>
          </w:tcPr>
          <w:p w14:paraId="5E4149E4"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44,2</w:t>
            </w:r>
          </w:p>
        </w:tc>
        <w:tc>
          <w:tcPr>
            <w:tcW w:w="708" w:type="dxa"/>
            <w:tcBorders>
              <w:top w:val="single" w:sz="4" w:space="0" w:color="auto"/>
              <w:bottom w:val="single" w:sz="4" w:space="0" w:color="auto"/>
              <w:right w:val="nil"/>
            </w:tcBorders>
            <w:vAlign w:val="center"/>
          </w:tcPr>
          <w:p w14:paraId="09BCA7F1"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51,8</w:t>
            </w:r>
          </w:p>
        </w:tc>
      </w:tr>
      <w:tr w:rsidR="003539BE" w:rsidRPr="003539BE" w14:paraId="528AAD9D"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4133FEF7"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Saneamento Básico</w:t>
            </w:r>
          </w:p>
        </w:tc>
        <w:tc>
          <w:tcPr>
            <w:tcW w:w="709" w:type="dxa"/>
            <w:tcBorders>
              <w:top w:val="single" w:sz="4" w:space="0" w:color="auto"/>
              <w:bottom w:val="single" w:sz="4" w:space="0" w:color="auto"/>
              <w:right w:val="nil"/>
            </w:tcBorders>
            <w:vAlign w:val="center"/>
          </w:tcPr>
          <w:p w14:paraId="02C915DD"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23,9</w:t>
            </w:r>
          </w:p>
        </w:tc>
        <w:tc>
          <w:tcPr>
            <w:tcW w:w="850" w:type="dxa"/>
            <w:tcBorders>
              <w:top w:val="single" w:sz="4" w:space="0" w:color="auto"/>
              <w:bottom w:val="single" w:sz="4" w:space="0" w:color="auto"/>
              <w:right w:val="nil"/>
            </w:tcBorders>
            <w:vAlign w:val="center"/>
          </w:tcPr>
          <w:p w14:paraId="77586160"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15,3</w:t>
            </w:r>
          </w:p>
        </w:tc>
        <w:tc>
          <w:tcPr>
            <w:tcW w:w="1134" w:type="dxa"/>
            <w:tcBorders>
              <w:top w:val="single" w:sz="4" w:space="0" w:color="auto"/>
              <w:bottom w:val="single" w:sz="4" w:space="0" w:color="auto"/>
              <w:right w:val="nil"/>
            </w:tcBorders>
            <w:vAlign w:val="center"/>
          </w:tcPr>
          <w:p w14:paraId="149C9285"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17,8</w:t>
            </w:r>
          </w:p>
        </w:tc>
        <w:tc>
          <w:tcPr>
            <w:tcW w:w="851" w:type="dxa"/>
            <w:tcBorders>
              <w:top w:val="single" w:sz="4" w:space="0" w:color="auto"/>
              <w:bottom w:val="single" w:sz="4" w:space="0" w:color="auto"/>
              <w:right w:val="nil"/>
            </w:tcBorders>
            <w:vAlign w:val="center"/>
          </w:tcPr>
          <w:p w14:paraId="55ADBF6C"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22,6</w:t>
            </w:r>
          </w:p>
        </w:tc>
        <w:tc>
          <w:tcPr>
            <w:tcW w:w="708" w:type="dxa"/>
            <w:tcBorders>
              <w:top w:val="single" w:sz="4" w:space="0" w:color="auto"/>
              <w:bottom w:val="single" w:sz="4" w:space="0" w:color="auto"/>
              <w:right w:val="nil"/>
            </w:tcBorders>
            <w:vAlign w:val="center"/>
          </w:tcPr>
          <w:p w14:paraId="05957A8A"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24,1</w:t>
            </w:r>
          </w:p>
        </w:tc>
      </w:tr>
      <w:tr w:rsidR="003539BE" w:rsidRPr="003539BE" w14:paraId="41D8035B"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2D3343B1"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Turismo</w:t>
            </w:r>
          </w:p>
        </w:tc>
        <w:tc>
          <w:tcPr>
            <w:tcW w:w="709" w:type="dxa"/>
            <w:tcBorders>
              <w:top w:val="single" w:sz="4" w:space="0" w:color="auto"/>
              <w:bottom w:val="single" w:sz="4" w:space="0" w:color="auto"/>
              <w:right w:val="nil"/>
            </w:tcBorders>
            <w:vAlign w:val="center"/>
          </w:tcPr>
          <w:p w14:paraId="22B8A71B"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18,6</w:t>
            </w:r>
          </w:p>
        </w:tc>
        <w:tc>
          <w:tcPr>
            <w:tcW w:w="850" w:type="dxa"/>
            <w:tcBorders>
              <w:top w:val="single" w:sz="4" w:space="0" w:color="auto"/>
              <w:bottom w:val="single" w:sz="4" w:space="0" w:color="auto"/>
              <w:right w:val="nil"/>
            </w:tcBorders>
            <w:vAlign w:val="center"/>
          </w:tcPr>
          <w:p w14:paraId="20EF8D6E"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10,8</w:t>
            </w:r>
          </w:p>
        </w:tc>
        <w:tc>
          <w:tcPr>
            <w:tcW w:w="1134" w:type="dxa"/>
            <w:tcBorders>
              <w:top w:val="single" w:sz="4" w:space="0" w:color="auto"/>
              <w:bottom w:val="single" w:sz="4" w:space="0" w:color="auto"/>
              <w:right w:val="nil"/>
            </w:tcBorders>
            <w:vAlign w:val="center"/>
          </w:tcPr>
          <w:p w14:paraId="2111678A"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16,5</w:t>
            </w:r>
          </w:p>
        </w:tc>
        <w:tc>
          <w:tcPr>
            <w:tcW w:w="851" w:type="dxa"/>
            <w:tcBorders>
              <w:top w:val="single" w:sz="4" w:space="0" w:color="auto"/>
              <w:bottom w:val="single" w:sz="4" w:space="0" w:color="auto"/>
              <w:right w:val="nil"/>
            </w:tcBorders>
            <w:vAlign w:val="center"/>
          </w:tcPr>
          <w:p w14:paraId="33BDE3EA"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11,3</w:t>
            </w:r>
          </w:p>
        </w:tc>
        <w:tc>
          <w:tcPr>
            <w:tcW w:w="708" w:type="dxa"/>
            <w:tcBorders>
              <w:top w:val="single" w:sz="4" w:space="0" w:color="auto"/>
              <w:bottom w:val="single" w:sz="4" w:space="0" w:color="auto"/>
              <w:right w:val="nil"/>
            </w:tcBorders>
            <w:vAlign w:val="center"/>
          </w:tcPr>
          <w:p w14:paraId="16DD4620"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14,3</w:t>
            </w:r>
          </w:p>
        </w:tc>
      </w:tr>
      <w:tr w:rsidR="003539BE" w:rsidRPr="003539BE" w14:paraId="2F0144B4"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170589B6"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Assistência e Desenvolvimento Social</w:t>
            </w:r>
          </w:p>
        </w:tc>
        <w:tc>
          <w:tcPr>
            <w:tcW w:w="709" w:type="dxa"/>
            <w:tcBorders>
              <w:top w:val="single" w:sz="4" w:space="0" w:color="auto"/>
              <w:bottom w:val="single" w:sz="4" w:space="0" w:color="auto"/>
              <w:right w:val="nil"/>
            </w:tcBorders>
            <w:vAlign w:val="center"/>
          </w:tcPr>
          <w:p w14:paraId="4A80C1D1"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15,4</w:t>
            </w:r>
          </w:p>
        </w:tc>
        <w:tc>
          <w:tcPr>
            <w:tcW w:w="850" w:type="dxa"/>
            <w:tcBorders>
              <w:top w:val="single" w:sz="4" w:space="0" w:color="auto"/>
              <w:bottom w:val="single" w:sz="4" w:space="0" w:color="auto"/>
              <w:right w:val="nil"/>
            </w:tcBorders>
            <w:vAlign w:val="center"/>
          </w:tcPr>
          <w:p w14:paraId="48983954"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10,2</w:t>
            </w:r>
          </w:p>
        </w:tc>
        <w:tc>
          <w:tcPr>
            <w:tcW w:w="1134" w:type="dxa"/>
            <w:tcBorders>
              <w:top w:val="single" w:sz="4" w:space="0" w:color="auto"/>
              <w:bottom w:val="single" w:sz="4" w:space="0" w:color="auto"/>
              <w:right w:val="nil"/>
            </w:tcBorders>
            <w:vAlign w:val="center"/>
          </w:tcPr>
          <w:p w14:paraId="12DC3385"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17,8</w:t>
            </w:r>
          </w:p>
        </w:tc>
        <w:tc>
          <w:tcPr>
            <w:tcW w:w="851" w:type="dxa"/>
            <w:tcBorders>
              <w:top w:val="single" w:sz="4" w:space="0" w:color="auto"/>
              <w:bottom w:val="single" w:sz="4" w:space="0" w:color="auto"/>
              <w:right w:val="nil"/>
            </w:tcBorders>
            <w:vAlign w:val="center"/>
          </w:tcPr>
          <w:p w14:paraId="24B12D4A"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15,2</w:t>
            </w:r>
          </w:p>
        </w:tc>
        <w:tc>
          <w:tcPr>
            <w:tcW w:w="708" w:type="dxa"/>
            <w:tcBorders>
              <w:top w:val="single" w:sz="4" w:space="0" w:color="auto"/>
              <w:bottom w:val="single" w:sz="4" w:space="0" w:color="auto"/>
              <w:right w:val="nil"/>
            </w:tcBorders>
            <w:vAlign w:val="center"/>
          </w:tcPr>
          <w:p w14:paraId="3C233DA9"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9,8</w:t>
            </w:r>
          </w:p>
        </w:tc>
      </w:tr>
      <w:tr w:rsidR="003539BE" w:rsidRPr="003539BE" w14:paraId="42ED603B"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5EB56BBB"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Educação</w:t>
            </w:r>
          </w:p>
        </w:tc>
        <w:tc>
          <w:tcPr>
            <w:tcW w:w="709" w:type="dxa"/>
            <w:tcBorders>
              <w:top w:val="single" w:sz="4" w:space="0" w:color="auto"/>
              <w:bottom w:val="single" w:sz="4" w:space="0" w:color="auto"/>
              <w:right w:val="nil"/>
            </w:tcBorders>
            <w:vAlign w:val="center"/>
          </w:tcPr>
          <w:p w14:paraId="70F2C391"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11,9</w:t>
            </w:r>
          </w:p>
        </w:tc>
        <w:tc>
          <w:tcPr>
            <w:tcW w:w="850" w:type="dxa"/>
            <w:tcBorders>
              <w:top w:val="single" w:sz="4" w:space="0" w:color="auto"/>
              <w:bottom w:val="single" w:sz="4" w:space="0" w:color="auto"/>
              <w:right w:val="nil"/>
            </w:tcBorders>
            <w:vAlign w:val="center"/>
          </w:tcPr>
          <w:p w14:paraId="2C457B54"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7,9</w:t>
            </w:r>
          </w:p>
        </w:tc>
        <w:tc>
          <w:tcPr>
            <w:tcW w:w="1134" w:type="dxa"/>
            <w:tcBorders>
              <w:top w:val="single" w:sz="4" w:space="0" w:color="auto"/>
              <w:bottom w:val="single" w:sz="4" w:space="0" w:color="auto"/>
              <w:right w:val="nil"/>
            </w:tcBorders>
            <w:vAlign w:val="center"/>
          </w:tcPr>
          <w:p w14:paraId="0098FD7E"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8,4</w:t>
            </w:r>
          </w:p>
        </w:tc>
        <w:tc>
          <w:tcPr>
            <w:tcW w:w="851" w:type="dxa"/>
            <w:tcBorders>
              <w:top w:val="single" w:sz="4" w:space="0" w:color="auto"/>
              <w:bottom w:val="single" w:sz="4" w:space="0" w:color="auto"/>
              <w:right w:val="nil"/>
            </w:tcBorders>
            <w:vAlign w:val="center"/>
          </w:tcPr>
          <w:p w14:paraId="08417230"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18,4</w:t>
            </w:r>
          </w:p>
        </w:tc>
        <w:tc>
          <w:tcPr>
            <w:tcW w:w="708" w:type="dxa"/>
            <w:tcBorders>
              <w:top w:val="single" w:sz="4" w:space="0" w:color="auto"/>
              <w:bottom w:val="single" w:sz="4" w:space="0" w:color="auto"/>
              <w:right w:val="nil"/>
            </w:tcBorders>
            <w:vAlign w:val="center"/>
          </w:tcPr>
          <w:p w14:paraId="51C663BE"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13,4</w:t>
            </w:r>
          </w:p>
        </w:tc>
      </w:tr>
      <w:tr w:rsidR="003539BE" w:rsidRPr="003539BE" w14:paraId="6CEF3100"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27917E51"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Cultura</w:t>
            </w:r>
          </w:p>
        </w:tc>
        <w:tc>
          <w:tcPr>
            <w:tcW w:w="709" w:type="dxa"/>
            <w:tcBorders>
              <w:top w:val="single" w:sz="4" w:space="0" w:color="auto"/>
              <w:bottom w:val="single" w:sz="4" w:space="0" w:color="auto"/>
              <w:right w:val="nil"/>
            </w:tcBorders>
            <w:vAlign w:val="center"/>
          </w:tcPr>
          <w:p w14:paraId="13A7BCD3"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10,7</w:t>
            </w:r>
          </w:p>
        </w:tc>
        <w:tc>
          <w:tcPr>
            <w:tcW w:w="850" w:type="dxa"/>
            <w:tcBorders>
              <w:top w:val="single" w:sz="4" w:space="0" w:color="auto"/>
              <w:bottom w:val="single" w:sz="4" w:space="0" w:color="auto"/>
              <w:right w:val="nil"/>
            </w:tcBorders>
            <w:vAlign w:val="center"/>
          </w:tcPr>
          <w:p w14:paraId="2503A480"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7,5</w:t>
            </w:r>
          </w:p>
        </w:tc>
        <w:tc>
          <w:tcPr>
            <w:tcW w:w="1134" w:type="dxa"/>
            <w:tcBorders>
              <w:top w:val="single" w:sz="4" w:space="0" w:color="auto"/>
              <w:bottom w:val="single" w:sz="4" w:space="0" w:color="auto"/>
              <w:right w:val="nil"/>
            </w:tcBorders>
            <w:vAlign w:val="center"/>
          </w:tcPr>
          <w:p w14:paraId="17CA7EAC"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9,8</w:t>
            </w:r>
          </w:p>
        </w:tc>
        <w:tc>
          <w:tcPr>
            <w:tcW w:w="851" w:type="dxa"/>
            <w:tcBorders>
              <w:top w:val="single" w:sz="4" w:space="0" w:color="auto"/>
              <w:bottom w:val="single" w:sz="4" w:space="0" w:color="auto"/>
              <w:right w:val="nil"/>
            </w:tcBorders>
            <w:vAlign w:val="center"/>
          </w:tcPr>
          <w:p w14:paraId="4E6A3A7D"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14,2</w:t>
            </w:r>
          </w:p>
        </w:tc>
        <w:tc>
          <w:tcPr>
            <w:tcW w:w="708" w:type="dxa"/>
            <w:tcBorders>
              <w:top w:val="single" w:sz="4" w:space="0" w:color="auto"/>
              <w:bottom w:val="single" w:sz="4" w:space="0" w:color="auto"/>
              <w:right w:val="nil"/>
            </w:tcBorders>
            <w:vAlign w:val="center"/>
          </w:tcPr>
          <w:p w14:paraId="5C52BB7A"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8,9</w:t>
            </w:r>
          </w:p>
        </w:tc>
      </w:tr>
      <w:tr w:rsidR="003539BE" w:rsidRPr="003539BE" w14:paraId="1AC493FF"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2F37CC9B"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Gestão das Águas</w:t>
            </w:r>
          </w:p>
        </w:tc>
        <w:tc>
          <w:tcPr>
            <w:tcW w:w="709" w:type="dxa"/>
            <w:tcBorders>
              <w:top w:val="single" w:sz="4" w:space="0" w:color="auto"/>
              <w:bottom w:val="single" w:sz="4" w:space="0" w:color="auto"/>
              <w:right w:val="nil"/>
            </w:tcBorders>
            <w:vAlign w:val="center"/>
          </w:tcPr>
          <w:p w14:paraId="0AB116AD"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10,0</w:t>
            </w:r>
          </w:p>
        </w:tc>
        <w:tc>
          <w:tcPr>
            <w:tcW w:w="850" w:type="dxa"/>
            <w:tcBorders>
              <w:top w:val="single" w:sz="4" w:space="0" w:color="auto"/>
              <w:bottom w:val="single" w:sz="4" w:space="0" w:color="auto"/>
              <w:right w:val="nil"/>
            </w:tcBorders>
            <w:vAlign w:val="center"/>
          </w:tcPr>
          <w:p w14:paraId="46BF9F72"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9,1</w:t>
            </w:r>
          </w:p>
        </w:tc>
        <w:tc>
          <w:tcPr>
            <w:tcW w:w="1134" w:type="dxa"/>
            <w:tcBorders>
              <w:top w:val="single" w:sz="4" w:space="0" w:color="auto"/>
              <w:bottom w:val="single" w:sz="4" w:space="0" w:color="auto"/>
              <w:right w:val="nil"/>
            </w:tcBorders>
            <w:vAlign w:val="center"/>
          </w:tcPr>
          <w:p w14:paraId="4054C5E2"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13,8</w:t>
            </w:r>
          </w:p>
        </w:tc>
        <w:tc>
          <w:tcPr>
            <w:tcW w:w="851" w:type="dxa"/>
            <w:tcBorders>
              <w:top w:val="single" w:sz="4" w:space="0" w:color="auto"/>
              <w:bottom w:val="single" w:sz="4" w:space="0" w:color="auto"/>
              <w:right w:val="nil"/>
            </w:tcBorders>
            <w:vAlign w:val="center"/>
          </w:tcPr>
          <w:p w14:paraId="0F385768"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14,1</w:t>
            </w:r>
          </w:p>
        </w:tc>
        <w:tc>
          <w:tcPr>
            <w:tcW w:w="708" w:type="dxa"/>
            <w:tcBorders>
              <w:top w:val="single" w:sz="4" w:space="0" w:color="auto"/>
              <w:bottom w:val="single" w:sz="4" w:space="0" w:color="auto"/>
              <w:right w:val="nil"/>
            </w:tcBorders>
            <w:vAlign w:val="center"/>
          </w:tcPr>
          <w:p w14:paraId="7F7DDE42"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11,6</w:t>
            </w:r>
          </w:p>
        </w:tc>
      </w:tr>
      <w:tr w:rsidR="003539BE" w:rsidRPr="003539BE" w14:paraId="7D201CCF" w14:textId="77777777" w:rsidTr="00BC2DD1">
        <w:trPr>
          <w:trHeight w:hRule="exact" w:val="261"/>
          <w:jc w:val="center"/>
        </w:trPr>
        <w:tc>
          <w:tcPr>
            <w:tcW w:w="2552" w:type="dxa"/>
            <w:tcBorders>
              <w:top w:val="single" w:sz="4" w:space="0" w:color="auto"/>
              <w:left w:val="nil"/>
              <w:bottom w:val="single" w:sz="4" w:space="0" w:color="auto"/>
            </w:tcBorders>
            <w:shd w:val="clear" w:color="auto" w:fill="auto"/>
            <w:vAlign w:val="center"/>
          </w:tcPr>
          <w:p w14:paraId="026E6798"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Transporte</w:t>
            </w:r>
          </w:p>
        </w:tc>
        <w:tc>
          <w:tcPr>
            <w:tcW w:w="709" w:type="dxa"/>
            <w:tcBorders>
              <w:top w:val="single" w:sz="4" w:space="0" w:color="auto"/>
              <w:bottom w:val="single" w:sz="4" w:space="0" w:color="auto"/>
              <w:right w:val="nil"/>
            </w:tcBorders>
            <w:vAlign w:val="center"/>
          </w:tcPr>
          <w:p w14:paraId="6088F068"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8,5</w:t>
            </w:r>
          </w:p>
        </w:tc>
        <w:tc>
          <w:tcPr>
            <w:tcW w:w="850" w:type="dxa"/>
            <w:tcBorders>
              <w:top w:val="single" w:sz="4" w:space="0" w:color="auto"/>
              <w:bottom w:val="single" w:sz="4" w:space="0" w:color="auto"/>
              <w:right w:val="nil"/>
            </w:tcBorders>
            <w:vAlign w:val="center"/>
          </w:tcPr>
          <w:p w14:paraId="007BBCD9"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5,0</w:t>
            </w:r>
          </w:p>
        </w:tc>
        <w:tc>
          <w:tcPr>
            <w:tcW w:w="1134" w:type="dxa"/>
            <w:tcBorders>
              <w:top w:val="single" w:sz="4" w:space="0" w:color="auto"/>
              <w:bottom w:val="single" w:sz="4" w:space="0" w:color="auto"/>
              <w:right w:val="nil"/>
            </w:tcBorders>
            <w:vAlign w:val="center"/>
          </w:tcPr>
          <w:p w14:paraId="26088D00"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11,1</w:t>
            </w:r>
          </w:p>
        </w:tc>
        <w:tc>
          <w:tcPr>
            <w:tcW w:w="851" w:type="dxa"/>
            <w:tcBorders>
              <w:top w:val="single" w:sz="4" w:space="0" w:color="auto"/>
              <w:bottom w:val="single" w:sz="4" w:space="0" w:color="auto"/>
              <w:right w:val="nil"/>
            </w:tcBorders>
            <w:vAlign w:val="center"/>
          </w:tcPr>
          <w:p w14:paraId="31160D5F"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15,3</w:t>
            </w:r>
          </w:p>
        </w:tc>
        <w:tc>
          <w:tcPr>
            <w:tcW w:w="708" w:type="dxa"/>
            <w:tcBorders>
              <w:top w:val="single" w:sz="4" w:space="0" w:color="auto"/>
              <w:bottom w:val="single" w:sz="4" w:space="0" w:color="auto"/>
              <w:right w:val="nil"/>
            </w:tcBorders>
            <w:vAlign w:val="center"/>
          </w:tcPr>
          <w:p w14:paraId="360BC8B8"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8,9</w:t>
            </w:r>
          </w:p>
        </w:tc>
      </w:tr>
      <w:tr w:rsidR="003539BE" w:rsidRPr="003539BE" w14:paraId="350E4AEB" w14:textId="77777777" w:rsidTr="00BC2DD1">
        <w:trPr>
          <w:trHeight w:hRule="exact" w:val="261"/>
          <w:jc w:val="center"/>
        </w:trPr>
        <w:tc>
          <w:tcPr>
            <w:tcW w:w="2552" w:type="dxa"/>
            <w:tcBorders>
              <w:top w:val="single" w:sz="4" w:space="0" w:color="auto"/>
              <w:left w:val="nil"/>
              <w:bottom w:val="double" w:sz="4" w:space="0" w:color="auto"/>
            </w:tcBorders>
            <w:shd w:val="clear" w:color="auto" w:fill="auto"/>
            <w:vAlign w:val="center"/>
          </w:tcPr>
          <w:p w14:paraId="53FE312D" w14:textId="77777777" w:rsidR="003539BE" w:rsidRPr="003539BE" w:rsidRDefault="003539BE" w:rsidP="00BC2DD1">
            <w:pPr>
              <w:spacing w:after="0" w:line="240" w:lineRule="auto"/>
              <w:rPr>
                <w:rFonts w:ascii="Candara" w:hAnsi="Candara" w:cs="Times New Roman"/>
                <w:bCs/>
                <w:sz w:val="16"/>
                <w:szCs w:val="16"/>
              </w:rPr>
            </w:pPr>
            <w:r w:rsidRPr="003539BE">
              <w:rPr>
                <w:rFonts w:ascii="Candara" w:hAnsi="Candara" w:cs="Times New Roman"/>
                <w:bCs/>
                <w:sz w:val="16"/>
                <w:szCs w:val="16"/>
              </w:rPr>
              <w:t>Habitação</w:t>
            </w:r>
          </w:p>
        </w:tc>
        <w:tc>
          <w:tcPr>
            <w:tcW w:w="709" w:type="dxa"/>
            <w:tcBorders>
              <w:top w:val="single" w:sz="4" w:space="0" w:color="auto"/>
              <w:bottom w:val="double" w:sz="4" w:space="0" w:color="auto"/>
              <w:right w:val="nil"/>
            </w:tcBorders>
            <w:vAlign w:val="center"/>
          </w:tcPr>
          <w:p w14:paraId="59B16E7A"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6,2</w:t>
            </w:r>
          </w:p>
        </w:tc>
        <w:tc>
          <w:tcPr>
            <w:tcW w:w="850" w:type="dxa"/>
            <w:tcBorders>
              <w:top w:val="single" w:sz="4" w:space="0" w:color="auto"/>
              <w:bottom w:val="double" w:sz="4" w:space="0" w:color="auto"/>
              <w:right w:val="nil"/>
            </w:tcBorders>
            <w:vAlign w:val="center"/>
          </w:tcPr>
          <w:p w14:paraId="06E82414"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5,3</w:t>
            </w:r>
          </w:p>
        </w:tc>
        <w:tc>
          <w:tcPr>
            <w:tcW w:w="1134" w:type="dxa"/>
            <w:tcBorders>
              <w:top w:val="single" w:sz="4" w:space="0" w:color="auto"/>
              <w:bottom w:val="double" w:sz="4" w:space="0" w:color="auto"/>
              <w:right w:val="nil"/>
            </w:tcBorders>
            <w:vAlign w:val="center"/>
          </w:tcPr>
          <w:p w14:paraId="12BCBA02"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8,4</w:t>
            </w:r>
          </w:p>
        </w:tc>
        <w:tc>
          <w:tcPr>
            <w:tcW w:w="851" w:type="dxa"/>
            <w:tcBorders>
              <w:top w:val="single" w:sz="4" w:space="0" w:color="auto"/>
              <w:bottom w:val="double" w:sz="4" w:space="0" w:color="auto"/>
              <w:right w:val="nil"/>
            </w:tcBorders>
            <w:vAlign w:val="center"/>
          </w:tcPr>
          <w:p w14:paraId="6D388EAE"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13,3</w:t>
            </w:r>
          </w:p>
        </w:tc>
        <w:tc>
          <w:tcPr>
            <w:tcW w:w="708" w:type="dxa"/>
            <w:tcBorders>
              <w:top w:val="single" w:sz="4" w:space="0" w:color="auto"/>
              <w:bottom w:val="double" w:sz="4" w:space="0" w:color="auto"/>
              <w:right w:val="nil"/>
            </w:tcBorders>
            <w:vAlign w:val="center"/>
          </w:tcPr>
          <w:p w14:paraId="2DC68CA4" w14:textId="77777777" w:rsidR="003539BE" w:rsidRPr="003539BE" w:rsidRDefault="003539BE" w:rsidP="00BC2DD1">
            <w:pPr>
              <w:spacing w:after="0" w:line="240" w:lineRule="auto"/>
              <w:jc w:val="center"/>
              <w:rPr>
                <w:rFonts w:ascii="Candara" w:hAnsi="Candara" w:cs="Times New Roman"/>
                <w:color w:val="000000" w:themeColor="text1"/>
                <w:sz w:val="16"/>
                <w:szCs w:val="16"/>
              </w:rPr>
            </w:pPr>
            <w:r w:rsidRPr="003539BE">
              <w:rPr>
                <w:rFonts w:ascii="Candara" w:hAnsi="Candara" w:cs="Times New Roman"/>
                <w:color w:val="000000" w:themeColor="text1"/>
                <w:sz w:val="16"/>
                <w:szCs w:val="16"/>
              </w:rPr>
              <w:t>6,3</w:t>
            </w:r>
          </w:p>
        </w:tc>
      </w:tr>
    </w:tbl>
    <w:p w14:paraId="53A2A8AA" w14:textId="34CEBCAD" w:rsidR="00DC03D5" w:rsidRPr="00286020" w:rsidRDefault="00286020" w:rsidP="00DF2A1A">
      <w:pPr>
        <w:spacing w:before="120" w:after="100" w:afterAutospacing="1" w:line="240" w:lineRule="auto"/>
        <w:jc w:val="both"/>
        <w:rPr>
          <w:rFonts w:ascii="Candara" w:eastAsia="Candara" w:hAnsi="Candara" w:cs="Candara"/>
          <w:color w:val="000000"/>
          <w:sz w:val="20"/>
          <w:szCs w:val="20"/>
        </w:rPr>
      </w:pPr>
      <w:r w:rsidRPr="008F0BAF">
        <w:rPr>
          <w:rFonts w:ascii="Candara" w:eastAsia="Candara" w:hAnsi="Candara" w:cs="Candara"/>
          <w:b/>
          <w:bCs/>
          <w:color w:val="000000"/>
          <w:sz w:val="20"/>
          <w:szCs w:val="20"/>
        </w:rPr>
        <w:t>Fonte:</w:t>
      </w:r>
      <w:r w:rsidRPr="00286020">
        <w:rPr>
          <w:rFonts w:ascii="Candara" w:eastAsia="Candara" w:hAnsi="Candara" w:cs="Candara"/>
          <w:color w:val="000000"/>
          <w:sz w:val="20"/>
          <w:szCs w:val="20"/>
        </w:rPr>
        <w:t xml:space="preserve"> Elaboração própria a partir de dados do IBGE – Diretoria de Pesquisas, Coordenação de População e Indicadores Sociais, Pesquisa de Informações Básicas Municipais (MUNIC, 2019).</w:t>
      </w:r>
    </w:p>
    <w:p w14:paraId="5472EEBD" w14:textId="429ED0EF" w:rsidR="00BE19AF" w:rsidRPr="00BE19AF" w:rsidRDefault="00722B32" w:rsidP="00BE19AF">
      <w:pPr>
        <w:spacing w:after="0" w:line="360" w:lineRule="auto"/>
        <w:ind w:firstLine="851"/>
        <w:jc w:val="both"/>
        <w:rPr>
          <w:rFonts w:ascii="Candara" w:eastAsia="Candara" w:hAnsi="Candara" w:cs="Candara"/>
          <w:color w:val="000000"/>
          <w:sz w:val="24"/>
          <w:szCs w:val="24"/>
        </w:rPr>
      </w:pPr>
      <w:r w:rsidRPr="00722B32">
        <w:rPr>
          <w:rFonts w:ascii="Candara" w:eastAsia="Candara" w:hAnsi="Candara" w:cs="Candara"/>
          <w:color w:val="000000"/>
          <w:sz w:val="24"/>
          <w:szCs w:val="24"/>
        </w:rPr>
        <w:t>Por sua vez, os setores de transporte e habitação apresentam os menores percentuais de municípios engajados em atividades consorciadas nas regiões Sul, Sudeste e Norte. Em parte, esse comportamento se diferencia nas regiões Centro-Oeste e Nordeste, que além do setor habitacional, a cultura e o turismo possuem reduzida participação, respectivamente.</w:t>
      </w:r>
    </w:p>
    <w:p w14:paraId="434D752A" w14:textId="5AE1304B" w:rsidR="00DC03D5" w:rsidRDefault="00B34F00" w:rsidP="00BE19AF">
      <w:pPr>
        <w:spacing w:after="0" w:line="360" w:lineRule="auto"/>
        <w:ind w:firstLine="851"/>
        <w:jc w:val="both"/>
        <w:rPr>
          <w:rFonts w:ascii="Candara" w:eastAsia="Candara" w:hAnsi="Candara" w:cs="Candara"/>
          <w:color w:val="000000"/>
          <w:sz w:val="24"/>
          <w:szCs w:val="24"/>
        </w:rPr>
      </w:pPr>
      <w:r w:rsidRPr="00B34F00">
        <w:rPr>
          <w:rFonts w:ascii="Candara" w:eastAsia="Candara" w:hAnsi="Candara" w:cs="Candara"/>
          <w:color w:val="000000"/>
          <w:sz w:val="24"/>
          <w:szCs w:val="24"/>
        </w:rPr>
        <w:t>Considerando os municípios participantes de consórcios públicos, segundo as classes de tamanho da população e sua área de atuação, os dados da Tabela 2 mostram que a área da saúde continua sendo prioritária em todas as sete faixas populacionais, conforme a classificação do IBGE. Em seguida, os setores que envolvem o manejo de resíduos sólidos, o meio ambiente, o desenvolvimento urbano e o saneamento básico continuam sendo os maiores percentuais de municípios integrantes de consórcios públicos.</w:t>
      </w:r>
    </w:p>
    <w:p w14:paraId="1B8F54ED" w14:textId="2C461C45" w:rsidR="00DC03D5" w:rsidRDefault="002B1E49" w:rsidP="006B11F9">
      <w:pPr>
        <w:spacing w:after="0" w:line="240" w:lineRule="auto"/>
        <w:ind w:left="1247" w:hanging="1247"/>
        <w:jc w:val="both"/>
        <w:rPr>
          <w:rFonts w:ascii="Candara" w:eastAsia="Candara" w:hAnsi="Candara" w:cs="Candara"/>
          <w:color w:val="000000"/>
          <w:sz w:val="24"/>
          <w:szCs w:val="24"/>
        </w:rPr>
      </w:pPr>
      <w:r w:rsidRPr="002B1E49">
        <w:rPr>
          <w:rFonts w:ascii="Candara" w:eastAsia="Candara" w:hAnsi="Candara" w:cs="Candara"/>
          <w:b/>
          <w:bCs/>
          <w:color w:val="000000"/>
          <w:sz w:val="24"/>
          <w:szCs w:val="24"/>
        </w:rPr>
        <w:lastRenderedPageBreak/>
        <w:t>Tabela 2</w:t>
      </w:r>
      <w:r w:rsidRPr="002B1E49">
        <w:rPr>
          <w:rFonts w:ascii="Candara" w:eastAsia="Candara" w:hAnsi="Candara" w:cs="Candara"/>
          <w:color w:val="000000"/>
          <w:sz w:val="24"/>
          <w:szCs w:val="24"/>
        </w:rPr>
        <w:t xml:space="preserve"> – Brasil: percentual de municípios participantes de consórcios públicos segundo as classes de tamanho da população por área de atuação – 2019</w:t>
      </w:r>
    </w:p>
    <w:p w14:paraId="0D0BB971" w14:textId="77777777" w:rsidR="00DC0CA8" w:rsidRPr="00A22067" w:rsidRDefault="00DC0CA8" w:rsidP="00DC0CA8">
      <w:pPr>
        <w:spacing w:after="0" w:line="240" w:lineRule="auto"/>
        <w:jc w:val="right"/>
        <w:rPr>
          <w:rFonts w:ascii="Candara" w:eastAsia="Candara" w:hAnsi="Candara" w:cs="Candara"/>
          <w:color w:val="000000"/>
          <w:sz w:val="16"/>
          <w:szCs w:val="16"/>
        </w:rPr>
      </w:pPr>
      <w:r w:rsidRPr="00A22067">
        <w:rPr>
          <w:rFonts w:ascii="Candara" w:eastAsia="Candara" w:hAnsi="Candara" w:cs="Candara"/>
          <w:color w:val="000000"/>
          <w:sz w:val="16"/>
          <w:szCs w:val="16"/>
        </w:rPr>
        <w:t>(%)</w:t>
      </w:r>
    </w:p>
    <w:tbl>
      <w:tblPr>
        <w:tblW w:w="8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849"/>
        <w:gridCol w:w="851"/>
        <w:gridCol w:w="992"/>
        <w:gridCol w:w="992"/>
        <w:gridCol w:w="993"/>
        <w:gridCol w:w="992"/>
        <w:gridCol w:w="850"/>
      </w:tblGrid>
      <w:tr w:rsidR="000E03B8" w:rsidRPr="000E03B8" w14:paraId="4F8ABC78" w14:textId="77777777" w:rsidTr="0063429A">
        <w:trPr>
          <w:trHeight w:val="279"/>
          <w:jc w:val="center"/>
        </w:trPr>
        <w:tc>
          <w:tcPr>
            <w:tcW w:w="2127" w:type="dxa"/>
            <w:tcBorders>
              <w:top w:val="double" w:sz="4" w:space="0" w:color="auto"/>
              <w:left w:val="nil"/>
              <w:bottom w:val="double" w:sz="4" w:space="0" w:color="auto"/>
            </w:tcBorders>
            <w:shd w:val="clear" w:color="auto" w:fill="D9D9D9" w:themeFill="background1" w:themeFillShade="D9"/>
            <w:vAlign w:val="center"/>
          </w:tcPr>
          <w:p w14:paraId="0C08EA54" w14:textId="77777777" w:rsidR="000E03B8" w:rsidRPr="000E03B8" w:rsidRDefault="000E03B8" w:rsidP="00BC2DD1">
            <w:pPr>
              <w:spacing w:after="0" w:line="240" w:lineRule="auto"/>
              <w:jc w:val="both"/>
              <w:rPr>
                <w:rFonts w:ascii="Candara" w:hAnsi="Candara" w:cs="Times New Roman"/>
                <w:b/>
                <w:bCs/>
                <w:sz w:val="16"/>
                <w:szCs w:val="16"/>
              </w:rPr>
            </w:pPr>
            <w:r w:rsidRPr="000E03B8">
              <w:rPr>
                <w:rFonts w:ascii="Candara" w:hAnsi="Candara" w:cs="Times New Roman"/>
                <w:b/>
                <w:bCs/>
                <w:sz w:val="16"/>
                <w:szCs w:val="16"/>
              </w:rPr>
              <w:t>Áreas de Atuação</w:t>
            </w:r>
          </w:p>
        </w:tc>
        <w:tc>
          <w:tcPr>
            <w:tcW w:w="849" w:type="dxa"/>
            <w:tcBorders>
              <w:top w:val="double" w:sz="4" w:space="0" w:color="auto"/>
              <w:bottom w:val="double" w:sz="4" w:space="0" w:color="auto"/>
              <w:right w:val="nil"/>
            </w:tcBorders>
            <w:shd w:val="clear" w:color="auto" w:fill="D9D9D9" w:themeFill="background1" w:themeFillShade="D9"/>
            <w:vAlign w:val="center"/>
          </w:tcPr>
          <w:p w14:paraId="4D124300" w14:textId="77777777" w:rsidR="000E03B8" w:rsidRPr="000E03B8" w:rsidRDefault="000E03B8" w:rsidP="00BC2DD1">
            <w:pPr>
              <w:spacing w:after="0" w:line="240" w:lineRule="auto"/>
              <w:jc w:val="center"/>
              <w:rPr>
                <w:rFonts w:ascii="Candara" w:hAnsi="Candara" w:cs="Times New Roman"/>
                <w:b/>
                <w:bCs/>
                <w:sz w:val="16"/>
                <w:szCs w:val="16"/>
              </w:rPr>
            </w:pPr>
            <w:r w:rsidRPr="000E03B8">
              <w:rPr>
                <w:rFonts w:ascii="Candara" w:hAnsi="Candara" w:cs="Times New Roman"/>
                <w:b/>
                <w:bCs/>
                <w:sz w:val="16"/>
                <w:szCs w:val="16"/>
              </w:rPr>
              <w:t>Até 5 mil hab.</w:t>
            </w:r>
          </w:p>
        </w:tc>
        <w:tc>
          <w:tcPr>
            <w:tcW w:w="851" w:type="dxa"/>
            <w:tcBorders>
              <w:top w:val="double" w:sz="4" w:space="0" w:color="auto"/>
              <w:bottom w:val="double" w:sz="4" w:space="0" w:color="auto"/>
              <w:right w:val="nil"/>
            </w:tcBorders>
            <w:shd w:val="clear" w:color="auto" w:fill="D9D9D9" w:themeFill="background1" w:themeFillShade="D9"/>
            <w:vAlign w:val="center"/>
          </w:tcPr>
          <w:p w14:paraId="50A13077" w14:textId="77777777" w:rsidR="000E03B8" w:rsidRPr="000E03B8" w:rsidRDefault="000E03B8" w:rsidP="00BC2DD1">
            <w:pPr>
              <w:spacing w:after="0" w:line="240" w:lineRule="auto"/>
              <w:jc w:val="center"/>
              <w:rPr>
                <w:rFonts w:ascii="Candara" w:hAnsi="Candara" w:cs="Times New Roman"/>
                <w:b/>
                <w:bCs/>
                <w:sz w:val="16"/>
                <w:szCs w:val="16"/>
              </w:rPr>
            </w:pPr>
            <w:r w:rsidRPr="000E03B8">
              <w:rPr>
                <w:rFonts w:ascii="Candara" w:hAnsi="Candara" w:cs="Times New Roman"/>
                <w:b/>
                <w:bCs/>
                <w:sz w:val="16"/>
                <w:szCs w:val="16"/>
              </w:rPr>
              <w:t>De 5.001 a 10 mil hab.</w:t>
            </w:r>
          </w:p>
        </w:tc>
        <w:tc>
          <w:tcPr>
            <w:tcW w:w="992" w:type="dxa"/>
            <w:tcBorders>
              <w:top w:val="double" w:sz="4" w:space="0" w:color="auto"/>
              <w:bottom w:val="double" w:sz="4" w:space="0" w:color="auto"/>
              <w:right w:val="nil"/>
            </w:tcBorders>
            <w:shd w:val="clear" w:color="auto" w:fill="D9D9D9" w:themeFill="background1" w:themeFillShade="D9"/>
            <w:vAlign w:val="center"/>
          </w:tcPr>
          <w:p w14:paraId="52CD1A6C" w14:textId="77777777" w:rsidR="000E03B8" w:rsidRPr="000E03B8" w:rsidRDefault="000E03B8" w:rsidP="00BC2DD1">
            <w:pPr>
              <w:spacing w:after="0" w:line="240" w:lineRule="auto"/>
              <w:jc w:val="center"/>
              <w:rPr>
                <w:rFonts w:ascii="Candara" w:hAnsi="Candara" w:cs="Times New Roman"/>
                <w:b/>
                <w:bCs/>
                <w:sz w:val="16"/>
                <w:szCs w:val="16"/>
              </w:rPr>
            </w:pPr>
            <w:r w:rsidRPr="000E03B8">
              <w:rPr>
                <w:rFonts w:ascii="Candara" w:hAnsi="Candara" w:cs="Times New Roman"/>
                <w:b/>
                <w:bCs/>
                <w:sz w:val="16"/>
                <w:szCs w:val="16"/>
              </w:rPr>
              <w:t>De 10.001 a 20 mil hab.</w:t>
            </w:r>
          </w:p>
        </w:tc>
        <w:tc>
          <w:tcPr>
            <w:tcW w:w="992" w:type="dxa"/>
            <w:tcBorders>
              <w:top w:val="double" w:sz="4" w:space="0" w:color="auto"/>
              <w:bottom w:val="double" w:sz="4" w:space="0" w:color="auto"/>
              <w:right w:val="nil"/>
            </w:tcBorders>
            <w:shd w:val="clear" w:color="auto" w:fill="D9D9D9" w:themeFill="background1" w:themeFillShade="D9"/>
            <w:vAlign w:val="center"/>
          </w:tcPr>
          <w:p w14:paraId="217B8F3B" w14:textId="77777777" w:rsidR="000E03B8" w:rsidRPr="000E03B8" w:rsidRDefault="000E03B8" w:rsidP="00BC2DD1">
            <w:pPr>
              <w:spacing w:after="0" w:line="240" w:lineRule="auto"/>
              <w:jc w:val="center"/>
              <w:rPr>
                <w:rFonts w:ascii="Candara" w:hAnsi="Candara" w:cs="Times New Roman"/>
                <w:b/>
                <w:bCs/>
                <w:sz w:val="16"/>
                <w:szCs w:val="16"/>
              </w:rPr>
            </w:pPr>
            <w:r w:rsidRPr="000E03B8">
              <w:rPr>
                <w:rFonts w:ascii="Candara" w:hAnsi="Candara" w:cs="Times New Roman"/>
                <w:b/>
                <w:bCs/>
                <w:sz w:val="16"/>
                <w:szCs w:val="16"/>
              </w:rPr>
              <w:t>De 20.001 a 50 mil hab.</w:t>
            </w:r>
          </w:p>
        </w:tc>
        <w:tc>
          <w:tcPr>
            <w:tcW w:w="993" w:type="dxa"/>
            <w:tcBorders>
              <w:top w:val="double" w:sz="4" w:space="0" w:color="auto"/>
              <w:bottom w:val="double" w:sz="4" w:space="0" w:color="auto"/>
            </w:tcBorders>
            <w:shd w:val="clear" w:color="auto" w:fill="D9D9D9" w:themeFill="background1" w:themeFillShade="D9"/>
            <w:vAlign w:val="center"/>
          </w:tcPr>
          <w:p w14:paraId="1C3296CA" w14:textId="77777777" w:rsidR="000E03B8" w:rsidRPr="000E03B8" w:rsidRDefault="000E03B8" w:rsidP="00BC2DD1">
            <w:pPr>
              <w:spacing w:after="0" w:line="240" w:lineRule="auto"/>
              <w:jc w:val="center"/>
              <w:rPr>
                <w:rFonts w:ascii="Candara" w:hAnsi="Candara" w:cs="Times New Roman"/>
                <w:b/>
                <w:bCs/>
                <w:sz w:val="16"/>
                <w:szCs w:val="16"/>
              </w:rPr>
            </w:pPr>
            <w:r w:rsidRPr="000E03B8">
              <w:rPr>
                <w:rFonts w:ascii="Candara" w:hAnsi="Candara" w:cs="Times New Roman"/>
                <w:b/>
                <w:bCs/>
                <w:sz w:val="16"/>
                <w:szCs w:val="16"/>
              </w:rPr>
              <w:t>De 50.001 a 100 mil hab.</w:t>
            </w:r>
          </w:p>
        </w:tc>
        <w:tc>
          <w:tcPr>
            <w:tcW w:w="992" w:type="dxa"/>
            <w:tcBorders>
              <w:top w:val="double" w:sz="4" w:space="0" w:color="auto"/>
              <w:bottom w:val="double" w:sz="4" w:space="0" w:color="auto"/>
            </w:tcBorders>
            <w:shd w:val="clear" w:color="auto" w:fill="D9D9D9" w:themeFill="background1" w:themeFillShade="D9"/>
            <w:vAlign w:val="center"/>
          </w:tcPr>
          <w:p w14:paraId="5BCF7A61" w14:textId="77777777" w:rsidR="000E03B8" w:rsidRPr="000E03B8" w:rsidRDefault="000E03B8" w:rsidP="00BC2DD1">
            <w:pPr>
              <w:spacing w:after="0" w:line="240" w:lineRule="auto"/>
              <w:jc w:val="center"/>
              <w:rPr>
                <w:rFonts w:ascii="Candara" w:hAnsi="Candara" w:cs="Times New Roman"/>
                <w:b/>
                <w:bCs/>
                <w:sz w:val="16"/>
                <w:szCs w:val="16"/>
              </w:rPr>
            </w:pPr>
            <w:r w:rsidRPr="000E03B8">
              <w:rPr>
                <w:rFonts w:ascii="Candara" w:hAnsi="Candara" w:cs="Times New Roman"/>
                <w:b/>
                <w:bCs/>
                <w:sz w:val="16"/>
                <w:szCs w:val="16"/>
              </w:rPr>
              <w:t>De 100.001 a 500 mil hab.</w:t>
            </w:r>
          </w:p>
        </w:tc>
        <w:tc>
          <w:tcPr>
            <w:tcW w:w="850" w:type="dxa"/>
            <w:tcBorders>
              <w:top w:val="double" w:sz="4" w:space="0" w:color="auto"/>
              <w:bottom w:val="double" w:sz="4" w:space="0" w:color="auto"/>
              <w:right w:val="nil"/>
            </w:tcBorders>
            <w:shd w:val="clear" w:color="auto" w:fill="D9D9D9" w:themeFill="background1" w:themeFillShade="D9"/>
            <w:vAlign w:val="center"/>
          </w:tcPr>
          <w:p w14:paraId="4196C184" w14:textId="77777777" w:rsidR="000E03B8" w:rsidRPr="000E03B8" w:rsidRDefault="000E03B8" w:rsidP="00BC2DD1">
            <w:pPr>
              <w:spacing w:after="0" w:line="240" w:lineRule="auto"/>
              <w:jc w:val="center"/>
              <w:rPr>
                <w:rFonts w:ascii="Candara" w:hAnsi="Candara" w:cs="Times New Roman"/>
                <w:b/>
                <w:bCs/>
                <w:sz w:val="16"/>
                <w:szCs w:val="16"/>
              </w:rPr>
            </w:pPr>
            <w:r w:rsidRPr="000E03B8">
              <w:rPr>
                <w:rFonts w:ascii="Candara" w:hAnsi="Candara" w:cs="Times New Roman"/>
                <w:b/>
                <w:bCs/>
                <w:sz w:val="16"/>
                <w:szCs w:val="16"/>
              </w:rPr>
              <w:t>Acima de 500 mil hab.</w:t>
            </w:r>
          </w:p>
        </w:tc>
      </w:tr>
      <w:tr w:rsidR="000E03B8" w:rsidRPr="000E03B8" w14:paraId="0C814311" w14:textId="77777777" w:rsidTr="0063429A">
        <w:trPr>
          <w:trHeight w:hRule="exact" w:val="259"/>
          <w:jc w:val="center"/>
        </w:trPr>
        <w:tc>
          <w:tcPr>
            <w:tcW w:w="2127" w:type="dxa"/>
            <w:tcBorders>
              <w:top w:val="double" w:sz="4" w:space="0" w:color="auto"/>
              <w:left w:val="nil"/>
              <w:bottom w:val="single" w:sz="4" w:space="0" w:color="auto"/>
            </w:tcBorders>
            <w:shd w:val="clear" w:color="auto" w:fill="auto"/>
            <w:vAlign w:val="center"/>
          </w:tcPr>
          <w:p w14:paraId="186D276E"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Saúde</w:t>
            </w:r>
          </w:p>
        </w:tc>
        <w:tc>
          <w:tcPr>
            <w:tcW w:w="849" w:type="dxa"/>
            <w:tcBorders>
              <w:top w:val="double" w:sz="4" w:space="0" w:color="auto"/>
              <w:bottom w:val="single" w:sz="4" w:space="0" w:color="auto"/>
              <w:right w:val="nil"/>
            </w:tcBorders>
            <w:vAlign w:val="center"/>
          </w:tcPr>
          <w:p w14:paraId="2E8E66A7" w14:textId="77777777" w:rsidR="000E03B8" w:rsidRPr="000E03B8" w:rsidRDefault="000E03B8" w:rsidP="00BC2DD1">
            <w:pPr>
              <w:spacing w:after="0" w:line="240" w:lineRule="auto"/>
              <w:jc w:val="center"/>
              <w:rPr>
                <w:rFonts w:ascii="Candara" w:hAnsi="Candara" w:cs="Times New Roman"/>
                <w:sz w:val="16"/>
                <w:szCs w:val="16"/>
              </w:rPr>
            </w:pPr>
            <w:r w:rsidRPr="000E03B8">
              <w:rPr>
                <w:rFonts w:ascii="Candara" w:hAnsi="Candara" w:cs="Times New Roman"/>
                <w:sz w:val="16"/>
                <w:szCs w:val="16"/>
              </w:rPr>
              <w:t>85,4</w:t>
            </w:r>
          </w:p>
        </w:tc>
        <w:tc>
          <w:tcPr>
            <w:tcW w:w="851" w:type="dxa"/>
            <w:tcBorders>
              <w:top w:val="double" w:sz="4" w:space="0" w:color="auto"/>
              <w:bottom w:val="single" w:sz="4" w:space="0" w:color="auto"/>
              <w:right w:val="nil"/>
            </w:tcBorders>
            <w:vAlign w:val="center"/>
          </w:tcPr>
          <w:p w14:paraId="2804D748" w14:textId="77777777" w:rsidR="000E03B8" w:rsidRPr="000E03B8" w:rsidRDefault="000E03B8" w:rsidP="00BC2DD1">
            <w:pPr>
              <w:spacing w:after="0" w:line="240" w:lineRule="auto"/>
              <w:jc w:val="center"/>
              <w:rPr>
                <w:rFonts w:ascii="Candara" w:hAnsi="Candara" w:cs="Times New Roman"/>
                <w:sz w:val="16"/>
                <w:szCs w:val="16"/>
              </w:rPr>
            </w:pPr>
            <w:r w:rsidRPr="000E03B8">
              <w:rPr>
                <w:rFonts w:ascii="Candara" w:hAnsi="Candara" w:cs="Times New Roman"/>
                <w:sz w:val="16"/>
                <w:szCs w:val="16"/>
              </w:rPr>
              <w:t>81,3</w:t>
            </w:r>
          </w:p>
        </w:tc>
        <w:tc>
          <w:tcPr>
            <w:tcW w:w="992" w:type="dxa"/>
            <w:tcBorders>
              <w:top w:val="double" w:sz="4" w:space="0" w:color="auto"/>
              <w:bottom w:val="single" w:sz="4" w:space="0" w:color="auto"/>
              <w:right w:val="nil"/>
            </w:tcBorders>
            <w:vAlign w:val="center"/>
          </w:tcPr>
          <w:p w14:paraId="5CC3AAFD" w14:textId="77777777" w:rsidR="000E03B8" w:rsidRPr="000E03B8" w:rsidRDefault="000E03B8" w:rsidP="00BC2DD1">
            <w:pPr>
              <w:spacing w:after="0" w:line="240" w:lineRule="auto"/>
              <w:jc w:val="center"/>
              <w:rPr>
                <w:rFonts w:ascii="Candara" w:hAnsi="Candara" w:cs="Times New Roman"/>
                <w:sz w:val="16"/>
                <w:szCs w:val="16"/>
              </w:rPr>
            </w:pPr>
            <w:r w:rsidRPr="000E03B8">
              <w:rPr>
                <w:rFonts w:ascii="Candara" w:hAnsi="Candara" w:cs="Times New Roman"/>
                <w:sz w:val="16"/>
                <w:szCs w:val="16"/>
              </w:rPr>
              <w:t>78,7</w:t>
            </w:r>
          </w:p>
        </w:tc>
        <w:tc>
          <w:tcPr>
            <w:tcW w:w="992" w:type="dxa"/>
            <w:tcBorders>
              <w:top w:val="double" w:sz="4" w:space="0" w:color="auto"/>
              <w:bottom w:val="single" w:sz="4" w:space="0" w:color="auto"/>
              <w:right w:val="nil"/>
            </w:tcBorders>
            <w:vAlign w:val="center"/>
          </w:tcPr>
          <w:p w14:paraId="598390D6" w14:textId="77777777" w:rsidR="000E03B8" w:rsidRPr="000E03B8" w:rsidRDefault="000E03B8" w:rsidP="00BC2DD1">
            <w:pPr>
              <w:spacing w:after="0" w:line="240" w:lineRule="auto"/>
              <w:jc w:val="center"/>
              <w:rPr>
                <w:rFonts w:ascii="Candara" w:hAnsi="Candara" w:cs="Times New Roman"/>
                <w:sz w:val="16"/>
                <w:szCs w:val="16"/>
              </w:rPr>
            </w:pPr>
            <w:r w:rsidRPr="000E03B8">
              <w:rPr>
                <w:rFonts w:ascii="Candara" w:hAnsi="Candara" w:cs="Times New Roman"/>
                <w:sz w:val="16"/>
                <w:szCs w:val="16"/>
              </w:rPr>
              <w:t>74,3</w:t>
            </w:r>
          </w:p>
        </w:tc>
        <w:tc>
          <w:tcPr>
            <w:tcW w:w="993" w:type="dxa"/>
            <w:tcBorders>
              <w:top w:val="double" w:sz="4" w:space="0" w:color="auto"/>
              <w:bottom w:val="single" w:sz="4" w:space="0" w:color="auto"/>
            </w:tcBorders>
            <w:vAlign w:val="center"/>
          </w:tcPr>
          <w:p w14:paraId="27585549" w14:textId="77777777" w:rsidR="000E03B8" w:rsidRPr="000E03B8" w:rsidRDefault="000E03B8" w:rsidP="00BC2DD1">
            <w:pPr>
              <w:spacing w:after="0" w:line="240" w:lineRule="auto"/>
              <w:jc w:val="center"/>
              <w:rPr>
                <w:rFonts w:ascii="Candara" w:hAnsi="Candara" w:cs="Times New Roman"/>
                <w:sz w:val="16"/>
                <w:szCs w:val="16"/>
              </w:rPr>
            </w:pPr>
            <w:r w:rsidRPr="000E03B8">
              <w:rPr>
                <w:rFonts w:ascii="Candara" w:hAnsi="Candara" w:cs="Times New Roman"/>
                <w:sz w:val="16"/>
                <w:szCs w:val="16"/>
              </w:rPr>
              <w:t>76,2</w:t>
            </w:r>
          </w:p>
        </w:tc>
        <w:tc>
          <w:tcPr>
            <w:tcW w:w="992" w:type="dxa"/>
            <w:tcBorders>
              <w:top w:val="double" w:sz="4" w:space="0" w:color="auto"/>
              <w:bottom w:val="single" w:sz="4" w:space="0" w:color="auto"/>
            </w:tcBorders>
            <w:vAlign w:val="center"/>
          </w:tcPr>
          <w:p w14:paraId="02CC8872" w14:textId="77777777" w:rsidR="000E03B8" w:rsidRPr="000E03B8" w:rsidRDefault="000E03B8" w:rsidP="00BC2DD1">
            <w:pPr>
              <w:spacing w:after="0" w:line="240" w:lineRule="auto"/>
              <w:jc w:val="center"/>
              <w:rPr>
                <w:rFonts w:ascii="Candara" w:hAnsi="Candara" w:cs="Times New Roman"/>
                <w:sz w:val="16"/>
                <w:szCs w:val="16"/>
              </w:rPr>
            </w:pPr>
            <w:r w:rsidRPr="000E03B8">
              <w:rPr>
                <w:rFonts w:ascii="Candara" w:hAnsi="Candara" w:cs="Times New Roman"/>
                <w:sz w:val="16"/>
                <w:szCs w:val="16"/>
              </w:rPr>
              <w:t>75,5</w:t>
            </w:r>
          </w:p>
        </w:tc>
        <w:tc>
          <w:tcPr>
            <w:tcW w:w="850" w:type="dxa"/>
            <w:tcBorders>
              <w:top w:val="double" w:sz="4" w:space="0" w:color="auto"/>
              <w:bottom w:val="single" w:sz="4" w:space="0" w:color="auto"/>
              <w:right w:val="nil"/>
            </w:tcBorders>
            <w:vAlign w:val="center"/>
          </w:tcPr>
          <w:p w14:paraId="7B9B365B" w14:textId="77777777" w:rsidR="000E03B8" w:rsidRPr="000E03B8" w:rsidRDefault="000E03B8" w:rsidP="00BC2DD1">
            <w:pPr>
              <w:spacing w:after="0" w:line="240" w:lineRule="auto"/>
              <w:jc w:val="center"/>
              <w:rPr>
                <w:rFonts w:ascii="Candara" w:hAnsi="Candara" w:cs="Times New Roman"/>
                <w:sz w:val="16"/>
                <w:szCs w:val="16"/>
              </w:rPr>
            </w:pPr>
            <w:r w:rsidRPr="000E03B8">
              <w:rPr>
                <w:rFonts w:ascii="Candara" w:hAnsi="Candara" w:cs="Times New Roman"/>
                <w:sz w:val="16"/>
                <w:szCs w:val="16"/>
              </w:rPr>
              <w:t>75,0</w:t>
            </w:r>
          </w:p>
        </w:tc>
      </w:tr>
      <w:tr w:rsidR="000E03B8" w:rsidRPr="000E03B8" w14:paraId="04641554"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55F68CE9"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Manejo de Resíduos Sólidos</w:t>
            </w:r>
          </w:p>
        </w:tc>
        <w:tc>
          <w:tcPr>
            <w:tcW w:w="849" w:type="dxa"/>
            <w:tcBorders>
              <w:top w:val="single" w:sz="4" w:space="0" w:color="auto"/>
              <w:bottom w:val="single" w:sz="4" w:space="0" w:color="auto"/>
              <w:right w:val="nil"/>
            </w:tcBorders>
            <w:vAlign w:val="center"/>
          </w:tcPr>
          <w:p w14:paraId="6E88A72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28,0</w:t>
            </w:r>
          </w:p>
        </w:tc>
        <w:tc>
          <w:tcPr>
            <w:tcW w:w="851" w:type="dxa"/>
            <w:tcBorders>
              <w:top w:val="single" w:sz="4" w:space="0" w:color="auto"/>
              <w:bottom w:val="single" w:sz="4" w:space="0" w:color="auto"/>
              <w:right w:val="nil"/>
            </w:tcBorders>
            <w:vAlign w:val="center"/>
          </w:tcPr>
          <w:p w14:paraId="0B815B3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31,0</w:t>
            </w:r>
          </w:p>
        </w:tc>
        <w:tc>
          <w:tcPr>
            <w:tcW w:w="992" w:type="dxa"/>
            <w:tcBorders>
              <w:top w:val="single" w:sz="4" w:space="0" w:color="auto"/>
              <w:bottom w:val="single" w:sz="4" w:space="0" w:color="auto"/>
              <w:right w:val="nil"/>
            </w:tcBorders>
            <w:vAlign w:val="center"/>
          </w:tcPr>
          <w:p w14:paraId="7C94EA93"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31,9</w:t>
            </w:r>
          </w:p>
        </w:tc>
        <w:tc>
          <w:tcPr>
            <w:tcW w:w="992" w:type="dxa"/>
            <w:tcBorders>
              <w:top w:val="single" w:sz="4" w:space="0" w:color="auto"/>
              <w:bottom w:val="single" w:sz="4" w:space="0" w:color="auto"/>
              <w:right w:val="nil"/>
            </w:tcBorders>
            <w:vAlign w:val="center"/>
          </w:tcPr>
          <w:p w14:paraId="77F7FFF0"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37,4</w:t>
            </w:r>
          </w:p>
        </w:tc>
        <w:tc>
          <w:tcPr>
            <w:tcW w:w="993" w:type="dxa"/>
            <w:tcBorders>
              <w:top w:val="single" w:sz="4" w:space="0" w:color="auto"/>
              <w:bottom w:val="single" w:sz="4" w:space="0" w:color="auto"/>
            </w:tcBorders>
            <w:vAlign w:val="center"/>
          </w:tcPr>
          <w:p w14:paraId="002281D1"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32,5</w:t>
            </w:r>
          </w:p>
        </w:tc>
        <w:tc>
          <w:tcPr>
            <w:tcW w:w="992" w:type="dxa"/>
            <w:tcBorders>
              <w:top w:val="single" w:sz="4" w:space="0" w:color="auto"/>
              <w:bottom w:val="single" w:sz="4" w:space="0" w:color="auto"/>
            </w:tcBorders>
            <w:vAlign w:val="center"/>
          </w:tcPr>
          <w:p w14:paraId="46DAEA7E"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31,3</w:t>
            </w:r>
          </w:p>
        </w:tc>
        <w:tc>
          <w:tcPr>
            <w:tcW w:w="850" w:type="dxa"/>
            <w:tcBorders>
              <w:top w:val="single" w:sz="4" w:space="0" w:color="auto"/>
              <w:bottom w:val="single" w:sz="4" w:space="0" w:color="auto"/>
              <w:right w:val="nil"/>
            </w:tcBorders>
            <w:vAlign w:val="center"/>
          </w:tcPr>
          <w:p w14:paraId="5762CD1F"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40,0</w:t>
            </w:r>
          </w:p>
        </w:tc>
      </w:tr>
      <w:tr w:rsidR="000E03B8" w:rsidRPr="000E03B8" w14:paraId="55BB2A86"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0E92DCAF"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Meio Ambiente</w:t>
            </w:r>
          </w:p>
        </w:tc>
        <w:tc>
          <w:tcPr>
            <w:tcW w:w="849" w:type="dxa"/>
            <w:tcBorders>
              <w:top w:val="single" w:sz="4" w:space="0" w:color="auto"/>
              <w:bottom w:val="single" w:sz="4" w:space="0" w:color="auto"/>
              <w:right w:val="nil"/>
            </w:tcBorders>
            <w:vAlign w:val="center"/>
          </w:tcPr>
          <w:p w14:paraId="3328DCA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21,5</w:t>
            </w:r>
          </w:p>
        </w:tc>
        <w:tc>
          <w:tcPr>
            <w:tcW w:w="851" w:type="dxa"/>
            <w:tcBorders>
              <w:top w:val="single" w:sz="4" w:space="0" w:color="auto"/>
              <w:bottom w:val="single" w:sz="4" w:space="0" w:color="auto"/>
              <w:right w:val="nil"/>
            </w:tcBorders>
            <w:vAlign w:val="center"/>
          </w:tcPr>
          <w:p w14:paraId="41A59330"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24,8</w:t>
            </w:r>
          </w:p>
        </w:tc>
        <w:tc>
          <w:tcPr>
            <w:tcW w:w="992" w:type="dxa"/>
            <w:tcBorders>
              <w:top w:val="single" w:sz="4" w:space="0" w:color="auto"/>
              <w:bottom w:val="single" w:sz="4" w:space="0" w:color="auto"/>
              <w:right w:val="nil"/>
            </w:tcBorders>
            <w:vAlign w:val="center"/>
          </w:tcPr>
          <w:p w14:paraId="080C6BD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26,2</w:t>
            </w:r>
          </w:p>
        </w:tc>
        <w:tc>
          <w:tcPr>
            <w:tcW w:w="992" w:type="dxa"/>
            <w:tcBorders>
              <w:top w:val="single" w:sz="4" w:space="0" w:color="auto"/>
              <w:bottom w:val="single" w:sz="4" w:space="0" w:color="auto"/>
              <w:right w:val="nil"/>
            </w:tcBorders>
            <w:vAlign w:val="center"/>
          </w:tcPr>
          <w:p w14:paraId="5F91AA9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29,9</w:t>
            </w:r>
          </w:p>
        </w:tc>
        <w:tc>
          <w:tcPr>
            <w:tcW w:w="993" w:type="dxa"/>
            <w:tcBorders>
              <w:top w:val="single" w:sz="4" w:space="0" w:color="auto"/>
              <w:bottom w:val="single" w:sz="4" w:space="0" w:color="auto"/>
            </w:tcBorders>
            <w:vAlign w:val="center"/>
          </w:tcPr>
          <w:p w14:paraId="724A1F0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23,8</w:t>
            </w:r>
          </w:p>
        </w:tc>
        <w:tc>
          <w:tcPr>
            <w:tcW w:w="992" w:type="dxa"/>
            <w:tcBorders>
              <w:top w:val="single" w:sz="4" w:space="0" w:color="auto"/>
              <w:bottom w:val="single" w:sz="4" w:space="0" w:color="auto"/>
            </w:tcBorders>
            <w:vAlign w:val="center"/>
          </w:tcPr>
          <w:p w14:paraId="2094FD8D"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29,4</w:t>
            </w:r>
          </w:p>
        </w:tc>
        <w:tc>
          <w:tcPr>
            <w:tcW w:w="850" w:type="dxa"/>
            <w:tcBorders>
              <w:top w:val="single" w:sz="4" w:space="0" w:color="auto"/>
              <w:bottom w:val="single" w:sz="4" w:space="0" w:color="auto"/>
              <w:right w:val="nil"/>
            </w:tcBorders>
            <w:vAlign w:val="center"/>
          </w:tcPr>
          <w:p w14:paraId="0ECFD21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35,0</w:t>
            </w:r>
          </w:p>
        </w:tc>
      </w:tr>
      <w:tr w:rsidR="000E03B8" w:rsidRPr="000E03B8" w14:paraId="620BE420"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085B27AE"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Desenvolvimento Urbano</w:t>
            </w:r>
          </w:p>
        </w:tc>
        <w:tc>
          <w:tcPr>
            <w:tcW w:w="849" w:type="dxa"/>
            <w:tcBorders>
              <w:top w:val="single" w:sz="4" w:space="0" w:color="auto"/>
              <w:bottom w:val="single" w:sz="4" w:space="0" w:color="auto"/>
              <w:right w:val="nil"/>
            </w:tcBorders>
            <w:vAlign w:val="center"/>
          </w:tcPr>
          <w:p w14:paraId="2C0DFF40"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16,9</w:t>
            </w:r>
          </w:p>
        </w:tc>
        <w:tc>
          <w:tcPr>
            <w:tcW w:w="851" w:type="dxa"/>
            <w:tcBorders>
              <w:top w:val="single" w:sz="4" w:space="0" w:color="auto"/>
              <w:bottom w:val="single" w:sz="4" w:space="0" w:color="auto"/>
              <w:right w:val="nil"/>
            </w:tcBorders>
            <w:vAlign w:val="center"/>
          </w:tcPr>
          <w:p w14:paraId="30060734"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21,5</w:t>
            </w:r>
          </w:p>
        </w:tc>
        <w:tc>
          <w:tcPr>
            <w:tcW w:w="992" w:type="dxa"/>
            <w:tcBorders>
              <w:top w:val="single" w:sz="4" w:space="0" w:color="auto"/>
              <w:bottom w:val="single" w:sz="4" w:space="0" w:color="auto"/>
              <w:right w:val="nil"/>
            </w:tcBorders>
            <w:vAlign w:val="center"/>
          </w:tcPr>
          <w:p w14:paraId="724F1E4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24,9</w:t>
            </w:r>
          </w:p>
        </w:tc>
        <w:tc>
          <w:tcPr>
            <w:tcW w:w="992" w:type="dxa"/>
            <w:tcBorders>
              <w:top w:val="single" w:sz="4" w:space="0" w:color="auto"/>
              <w:bottom w:val="single" w:sz="4" w:space="0" w:color="auto"/>
              <w:right w:val="nil"/>
            </w:tcBorders>
            <w:vAlign w:val="center"/>
          </w:tcPr>
          <w:p w14:paraId="604928BD"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23,2</w:t>
            </w:r>
          </w:p>
        </w:tc>
        <w:tc>
          <w:tcPr>
            <w:tcW w:w="993" w:type="dxa"/>
            <w:tcBorders>
              <w:top w:val="single" w:sz="4" w:space="0" w:color="auto"/>
              <w:bottom w:val="single" w:sz="4" w:space="0" w:color="auto"/>
            </w:tcBorders>
            <w:vAlign w:val="center"/>
          </w:tcPr>
          <w:p w14:paraId="71ACB53F"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26,2</w:t>
            </w:r>
          </w:p>
        </w:tc>
        <w:tc>
          <w:tcPr>
            <w:tcW w:w="992" w:type="dxa"/>
            <w:tcBorders>
              <w:top w:val="single" w:sz="4" w:space="0" w:color="auto"/>
              <w:bottom w:val="single" w:sz="4" w:space="0" w:color="auto"/>
            </w:tcBorders>
            <w:vAlign w:val="center"/>
          </w:tcPr>
          <w:p w14:paraId="09B222E2"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20,9</w:t>
            </w:r>
          </w:p>
        </w:tc>
        <w:tc>
          <w:tcPr>
            <w:tcW w:w="850" w:type="dxa"/>
            <w:tcBorders>
              <w:top w:val="single" w:sz="4" w:space="0" w:color="auto"/>
              <w:bottom w:val="single" w:sz="4" w:space="0" w:color="auto"/>
              <w:right w:val="nil"/>
            </w:tcBorders>
            <w:vAlign w:val="center"/>
          </w:tcPr>
          <w:p w14:paraId="11F0E849"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25,0</w:t>
            </w:r>
          </w:p>
        </w:tc>
      </w:tr>
      <w:tr w:rsidR="000E03B8" w:rsidRPr="000E03B8" w14:paraId="1F845D2E"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7D3B94E2"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Saneamento Básico</w:t>
            </w:r>
          </w:p>
        </w:tc>
        <w:tc>
          <w:tcPr>
            <w:tcW w:w="849" w:type="dxa"/>
            <w:tcBorders>
              <w:top w:val="single" w:sz="4" w:space="0" w:color="auto"/>
              <w:bottom w:val="single" w:sz="4" w:space="0" w:color="auto"/>
              <w:right w:val="nil"/>
            </w:tcBorders>
            <w:vAlign w:val="center"/>
          </w:tcPr>
          <w:p w14:paraId="71CBAC91"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16,8</w:t>
            </w:r>
          </w:p>
        </w:tc>
        <w:tc>
          <w:tcPr>
            <w:tcW w:w="851" w:type="dxa"/>
            <w:tcBorders>
              <w:top w:val="single" w:sz="4" w:space="0" w:color="auto"/>
              <w:bottom w:val="single" w:sz="4" w:space="0" w:color="auto"/>
              <w:right w:val="nil"/>
            </w:tcBorders>
            <w:vAlign w:val="center"/>
          </w:tcPr>
          <w:p w14:paraId="2DA82A4B"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20,0</w:t>
            </w:r>
          </w:p>
        </w:tc>
        <w:tc>
          <w:tcPr>
            <w:tcW w:w="992" w:type="dxa"/>
            <w:tcBorders>
              <w:top w:val="single" w:sz="4" w:space="0" w:color="auto"/>
              <w:bottom w:val="single" w:sz="4" w:space="0" w:color="auto"/>
              <w:right w:val="nil"/>
            </w:tcBorders>
            <w:vAlign w:val="center"/>
          </w:tcPr>
          <w:p w14:paraId="276B3D37"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19,3</w:t>
            </w:r>
          </w:p>
        </w:tc>
        <w:tc>
          <w:tcPr>
            <w:tcW w:w="992" w:type="dxa"/>
            <w:tcBorders>
              <w:top w:val="single" w:sz="4" w:space="0" w:color="auto"/>
              <w:bottom w:val="single" w:sz="4" w:space="0" w:color="auto"/>
              <w:right w:val="nil"/>
            </w:tcBorders>
            <w:vAlign w:val="center"/>
          </w:tcPr>
          <w:p w14:paraId="581822C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21,6</w:t>
            </w:r>
          </w:p>
        </w:tc>
        <w:tc>
          <w:tcPr>
            <w:tcW w:w="993" w:type="dxa"/>
            <w:tcBorders>
              <w:top w:val="single" w:sz="4" w:space="0" w:color="auto"/>
              <w:bottom w:val="single" w:sz="4" w:space="0" w:color="auto"/>
            </w:tcBorders>
            <w:vAlign w:val="center"/>
          </w:tcPr>
          <w:p w14:paraId="30FADDD2"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26,2</w:t>
            </w:r>
          </w:p>
        </w:tc>
        <w:tc>
          <w:tcPr>
            <w:tcW w:w="992" w:type="dxa"/>
            <w:tcBorders>
              <w:top w:val="single" w:sz="4" w:space="0" w:color="auto"/>
              <w:bottom w:val="single" w:sz="4" w:space="0" w:color="auto"/>
            </w:tcBorders>
            <w:vAlign w:val="center"/>
          </w:tcPr>
          <w:p w14:paraId="231C9D9A"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25,8</w:t>
            </w:r>
          </w:p>
        </w:tc>
        <w:tc>
          <w:tcPr>
            <w:tcW w:w="850" w:type="dxa"/>
            <w:tcBorders>
              <w:top w:val="single" w:sz="4" w:space="0" w:color="auto"/>
              <w:bottom w:val="single" w:sz="4" w:space="0" w:color="auto"/>
              <w:right w:val="nil"/>
            </w:tcBorders>
            <w:vAlign w:val="center"/>
          </w:tcPr>
          <w:p w14:paraId="1BD6EE6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30,0</w:t>
            </w:r>
          </w:p>
        </w:tc>
      </w:tr>
      <w:tr w:rsidR="000E03B8" w:rsidRPr="000E03B8" w14:paraId="63F05D97"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33F761F0"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Turismo</w:t>
            </w:r>
          </w:p>
        </w:tc>
        <w:tc>
          <w:tcPr>
            <w:tcW w:w="849" w:type="dxa"/>
            <w:tcBorders>
              <w:top w:val="single" w:sz="4" w:space="0" w:color="auto"/>
              <w:bottom w:val="single" w:sz="4" w:space="0" w:color="auto"/>
              <w:right w:val="nil"/>
            </w:tcBorders>
            <w:vAlign w:val="center"/>
          </w:tcPr>
          <w:p w14:paraId="3474FED1"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10,3</w:t>
            </w:r>
          </w:p>
        </w:tc>
        <w:tc>
          <w:tcPr>
            <w:tcW w:w="851" w:type="dxa"/>
            <w:tcBorders>
              <w:top w:val="single" w:sz="4" w:space="0" w:color="auto"/>
              <w:bottom w:val="single" w:sz="4" w:space="0" w:color="auto"/>
              <w:right w:val="nil"/>
            </w:tcBorders>
            <w:vAlign w:val="center"/>
          </w:tcPr>
          <w:p w14:paraId="07606E79"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14,1</w:t>
            </w:r>
          </w:p>
        </w:tc>
        <w:tc>
          <w:tcPr>
            <w:tcW w:w="992" w:type="dxa"/>
            <w:tcBorders>
              <w:top w:val="single" w:sz="4" w:space="0" w:color="auto"/>
              <w:bottom w:val="single" w:sz="4" w:space="0" w:color="auto"/>
              <w:right w:val="nil"/>
            </w:tcBorders>
            <w:vAlign w:val="center"/>
          </w:tcPr>
          <w:p w14:paraId="197AC391"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13,0</w:t>
            </w:r>
          </w:p>
        </w:tc>
        <w:tc>
          <w:tcPr>
            <w:tcW w:w="992" w:type="dxa"/>
            <w:tcBorders>
              <w:top w:val="single" w:sz="4" w:space="0" w:color="auto"/>
              <w:bottom w:val="single" w:sz="4" w:space="0" w:color="auto"/>
              <w:right w:val="nil"/>
            </w:tcBorders>
            <w:vAlign w:val="center"/>
          </w:tcPr>
          <w:p w14:paraId="15AD6094"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16,2</w:t>
            </w:r>
          </w:p>
        </w:tc>
        <w:tc>
          <w:tcPr>
            <w:tcW w:w="993" w:type="dxa"/>
            <w:tcBorders>
              <w:top w:val="single" w:sz="4" w:space="0" w:color="auto"/>
              <w:bottom w:val="single" w:sz="4" w:space="0" w:color="auto"/>
            </w:tcBorders>
            <w:vAlign w:val="center"/>
          </w:tcPr>
          <w:p w14:paraId="375ECB82"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17,0</w:t>
            </w:r>
          </w:p>
        </w:tc>
        <w:tc>
          <w:tcPr>
            <w:tcW w:w="992" w:type="dxa"/>
            <w:tcBorders>
              <w:top w:val="single" w:sz="4" w:space="0" w:color="auto"/>
              <w:bottom w:val="single" w:sz="4" w:space="0" w:color="auto"/>
            </w:tcBorders>
            <w:vAlign w:val="center"/>
          </w:tcPr>
          <w:p w14:paraId="4AB2077A"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19,0</w:t>
            </w:r>
          </w:p>
        </w:tc>
        <w:tc>
          <w:tcPr>
            <w:tcW w:w="850" w:type="dxa"/>
            <w:tcBorders>
              <w:top w:val="single" w:sz="4" w:space="0" w:color="auto"/>
              <w:bottom w:val="single" w:sz="4" w:space="0" w:color="auto"/>
              <w:right w:val="nil"/>
            </w:tcBorders>
            <w:vAlign w:val="center"/>
          </w:tcPr>
          <w:p w14:paraId="2AD5B793"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20,0</w:t>
            </w:r>
          </w:p>
        </w:tc>
      </w:tr>
      <w:tr w:rsidR="000E03B8" w:rsidRPr="000E03B8" w14:paraId="1824F966"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174345DF"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Assistência e Desenvolvimento Social</w:t>
            </w:r>
          </w:p>
        </w:tc>
        <w:tc>
          <w:tcPr>
            <w:tcW w:w="849" w:type="dxa"/>
            <w:tcBorders>
              <w:top w:val="single" w:sz="4" w:space="0" w:color="auto"/>
              <w:bottom w:val="single" w:sz="4" w:space="0" w:color="auto"/>
              <w:right w:val="nil"/>
            </w:tcBorders>
            <w:vAlign w:val="center"/>
          </w:tcPr>
          <w:p w14:paraId="0ADC3197"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10,5</w:t>
            </w:r>
          </w:p>
        </w:tc>
        <w:tc>
          <w:tcPr>
            <w:tcW w:w="851" w:type="dxa"/>
            <w:tcBorders>
              <w:top w:val="single" w:sz="4" w:space="0" w:color="auto"/>
              <w:bottom w:val="single" w:sz="4" w:space="0" w:color="auto"/>
              <w:right w:val="nil"/>
            </w:tcBorders>
            <w:vAlign w:val="center"/>
          </w:tcPr>
          <w:p w14:paraId="3C671C7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14,4</w:t>
            </w:r>
          </w:p>
        </w:tc>
        <w:tc>
          <w:tcPr>
            <w:tcW w:w="992" w:type="dxa"/>
            <w:tcBorders>
              <w:top w:val="single" w:sz="4" w:space="0" w:color="auto"/>
              <w:bottom w:val="single" w:sz="4" w:space="0" w:color="auto"/>
              <w:right w:val="nil"/>
            </w:tcBorders>
            <w:vAlign w:val="center"/>
          </w:tcPr>
          <w:p w14:paraId="5ABBB3F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14,1</w:t>
            </w:r>
          </w:p>
        </w:tc>
        <w:tc>
          <w:tcPr>
            <w:tcW w:w="992" w:type="dxa"/>
            <w:tcBorders>
              <w:top w:val="single" w:sz="4" w:space="0" w:color="auto"/>
              <w:bottom w:val="single" w:sz="4" w:space="0" w:color="auto"/>
              <w:right w:val="nil"/>
            </w:tcBorders>
            <w:vAlign w:val="center"/>
          </w:tcPr>
          <w:p w14:paraId="6DF396B7"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13,9</w:t>
            </w:r>
          </w:p>
        </w:tc>
        <w:tc>
          <w:tcPr>
            <w:tcW w:w="993" w:type="dxa"/>
            <w:tcBorders>
              <w:top w:val="single" w:sz="4" w:space="0" w:color="auto"/>
              <w:bottom w:val="single" w:sz="4" w:space="0" w:color="auto"/>
            </w:tcBorders>
            <w:vAlign w:val="center"/>
          </w:tcPr>
          <w:p w14:paraId="34E9ED1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15,0</w:t>
            </w:r>
          </w:p>
        </w:tc>
        <w:tc>
          <w:tcPr>
            <w:tcW w:w="992" w:type="dxa"/>
            <w:tcBorders>
              <w:top w:val="single" w:sz="4" w:space="0" w:color="auto"/>
              <w:bottom w:val="single" w:sz="4" w:space="0" w:color="auto"/>
            </w:tcBorders>
            <w:vAlign w:val="center"/>
          </w:tcPr>
          <w:p w14:paraId="0D390930"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16,6</w:t>
            </w:r>
          </w:p>
        </w:tc>
        <w:tc>
          <w:tcPr>
            <w:tcW w:w="850" w:type="dxa"/>
            <w:tcBorders>
              <w:top w:val="single" w:sz="4" w:space="0" w:color="auto"/>
              <w:bottom w:val="single" w:sz="4" w:space="0" w:color="auto"/>
              <w:right w:val="nil"/>
            </w:tcBorders>
            <w:vAlign w:val="center"/>
          </w:tcPr>
          <w:p w14:paraId="60221FA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35,0</w:t>
            </w:r>
          </w:p>
        </w:tc>
      </w:tr>
      <w:tr w:rsidR="000E03B8" w:rsidRPr="000E03B8" w14:paraId="6D85CF57"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5D808C94"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Educação</w:t>
            </w:r>
          </w:p>
        </w:tc>
        <w:tc>
          <w:tcPr>
            <w:tcW w:w="849" w:type="dxa"/>
            <w:tcBorders>
              <w:top w:val="single" w:sz="4" w:space="0" w:color="auto"/>
              <w:bottom w:val="single" w:sz="4" w:space="0" w:color="auto"/>
              <w:right w:val="nil"/>
            </w:tcBorders>
            <w:vAlign w:val="center"/>
          </w:tcPr>
          <w:p w14:paraId="279DF16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8,3</w:t>
            </w:r>
          </w:p>
        </w:tc>
        <w:tc>
          <w:tcPr>
            <w:tcW w:w="851" w:type="dxa"/>
            <w:tcBorders>
              <w:top w:val="single" w:sz="4" w:space="0" w:color="auto"/>
              <w:bottom w:val="single" w:sz="4" w:space="0" w:color="auto"/>
              <w:right w:val="nil"/>
            </w:tcBorders>
            <w:vAlign w:val="center"/>
          </w:tcPr>
          <w:p w14:paraId="71426B2F"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11,4</w:t>
            </w:r>
          </w:p>
        </w:tc>
        <w:tc>
          <w:tcPr>
            <w:tcW w:w="992" w:type="dxa"/>
            <w:tcBorders>
              <w:top w:val="single" w:sz="4" w:space="0" w:color="auto"/>
              <w:bottom w:val="single" w:sz="4" w:space="0" w:color="auto"/>
              <w:right w:val="nil"/>
            </w:tcBorders>
            <w:vAlign w:val="center"/>
          </w:tcPr>
          <w:p w14:paraId="1C16CC7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12,7</w:t>
            </w:r>
          </w:p>
        </w:tc>
        <w:tc>
          <w:tcPr>
            <w:tcW w:w="992" w:type="dxa"/>
            <w:tcBorders>
              <w:top w:val="single" w:sz="4" w:space="0" w:color="auto"/>
              <w:bottom w:val="single" w:sz="4" w:space="0" w:color="auto"/>
              <w:right w:val="nil"/>
            </w:tcBorders>
            <w:vAlign w:val="center"/>
          </w:tcPr>
          <w:p w14:paraId="31AE6B03"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13,6</w:t>
            </w:r>
          </w:p>
        </w:tc>
        <w:tc>
          <w:tcPr>
            <w:tcW w:w="993" w:type="dxa"/>
            <w:tcBorders>
              <w:top w:val="single" w:sz="4" w:space="0" w:color="auto"/>
              <w:bottom w:val="single" w:sz="4" w:space="0" w:color="auto"/>
            </w:tcBorders>
            <w:vAlign w:val="center"/>
          </w:tcPr>
          <w:p w14:paraId="0B4C2903"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17,0</w:t>
            </w:r>
          </w:p>
        </w:tc>
        <w:tc>
          <w:tcPr>
            <w:tcW w:w="992" w:type="dxa"/>
            <w:tcBorders>
              <w:top w:val="single" w:sz="4" w:space="0" w:color="auto"/>
              <w:bottom w:val="single" w:sz="4" w:space="0" w:color="auto"/>
            </w:tcBorders>
            <w:vAlign w:val="center"/>
          </w:tcPr>
          <w:p w14:paraId="03CE002E"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14,1</w:t>
            </w:r>
          </w:p>
        </w:tc>
        <w:tc>
          <w:tcPr>
            <w:tcW w:w="850" w:type="dxa"/>
            <w:tcBorders>
              <w:top w:val="single" w:sz="4" w:space="0" w:color="auto"/>
              <w:bottom w:val="single" w:sz="4" w:space="0" w:color="auto"/>
              <w:right w:val="nil"/>
            </w:tcBorders>
            <w:vAlign w:val="center"/>
          </w:tcPr>
          <w:p w14:paraId="10E99F02"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30,0</w:t>
            </w:r>
          </w:p>
        </w:tc>
      </w:tr>
      <w:tr w:rsidR="000E03B8" w:rsidRPr="000E03B8" w14:paraId="23A8EA16"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41701E9D"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Gestão das Águas</w:t>
            </w:r>
          </w:p>
        </w:tc>
        <w:tc>
          <w:tcPr>
            <w:tcW w:w="849" w:type="dxa"/>
            <w:tcBorders>
              <w:top w:val="single" w:sz="4" w:space="0" w:color="auto"/>
              <w:bottom w:val="single" w:sz="4" w:space="0" w:color="auto"/>
              <w:right w:val="nil"/>
            </w:tcBorders>
            <w:vAlign w:val="center"/>
          </w:tcPr>
          <w:p w14:paraId="055336FE"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6,1</w:t>
            </w:r>
          </w:p>
        </w:tc>
        <w:tc>
          <w:tcPr>
            <w:tcW w:w="851" w:type="dxa"/>
            <w:tcBorders>
              <w:top w:val="single" w:sz="4" w:space="0" w:color="auto"/>
              <w:bottom w:val="single" w:sz="4" w:space="0" w:color="auto"/>
              <w:right w:val="nil"/>
            </w:tcBorders>
            <w:vAlign w:val="center"/>
          </w:tcPr>
          <w:p w14:paraId="64716C7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10,5</w:t>
            </w:r>
          </w:p>
        </w:tc>
        <w:tc>
          <w:tcPr>
            <w:tcW w:w="992" w:type="dxa"/>
            <w:tcBorders>
              <w:top w:val="single" w:sz="4" w:space="0" w:color="auto"/>
              <w:bottom w:val="single" w:sz="4" w:space="0" w:color="auto"/>
              <w:right w:val="nil"/>
            </w:tcBorders>
            <w:vAlign w:val="center"/>
          </w:tcPr>
          <w:p w14:paraId="6E5AE1ED"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10,5</w:t>
            </w:r>
          </w:p>
        </w:tc>
        <w:tc>
          <w:tcPr>
            <w:tcW w:w="992" w:type="dxa"/>
            <w:tcBorders>
              <w:top w:val="single" w:sz="4" w:space="0" w:color="auto"/>
              <w:bottom w:val="single" w:sz="4" w:space="0" w:color="auto"/>
              <w:right w:val="nil"/>
            </w:tcBorders>
            <w:vAlign w:val="center"/>
          </w:tcPr>
          <w:p w14:paraId="2F9A32FD"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14,4</w:t>
            </w:r>
          </w:p>
        </w:tc>
        <w:tc>
          <w:tcPr>
            <w:tcW w:w="993" w:type="dxa"/>
            <w:tcBorders>
              <w:top w:val="single" w:sz="4" w:space="0" w:color="auto"/>
              <w:bottom w:val="single" w:sz="4" w:space="0" w:color="auto"/>
            </w:tcBorders>
            <w:vAlign w:val="center"/>
          </w:tcPr>
          <w:p w14:paraId="49A2F158"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14,6</w:t>
            </w:r>
          </w:p>
        </w:tc>
        <w:tc>
          <w:tcPr>
            <w:tcW w:w="992" w:type="dxa"/>
            <w:tcBorders>
              <w:top w:val="single" w:sz="4" w:space="0" w:color="auto"/>
              <w:bottom w:val="single" w:sz="4" w:space="0" w:color="auto"/>
            </w:tcBorders>
            <w:vAlign w:val="center"/>
          </w:tcPr>
          <w:p w14:paraId="0B11AA38"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23,9</w:t>
            </w:r>
          </w:p>
        </w:tc>
        <w:tc>
          <w:tcPr>
            <w:tcW w:w="850" w:type="dxa"/>
            <w:tcBorders>
              <w:top w:val="single" w:sz="4" w:space="0" w:color="auto"/>
              <w:bottom w:val="single" w:sz="4" w:space="0" w:color="auto"/>
              <w:right w:val="nil"/>
            </w:tcBorders>
            <w:vAlign w:val="center"/>
          </w:tcPr>
          <w:p w14:paraId="3FBBD360"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25,0</w:t>
            </w:r>
          </w:p>
        </w:tc>
      </w:tr>
      <w:tr w:rsidR="000E03B8" w:rsidRPr="000E03B8" w14:paraId="17E21172"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22290A29"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Cultura</w:t>
            </w:r>
          </w:p>
        </w:tc>
        <w:tc>
          <w:tcPr>
            <w:tcW w:w="849" w:type="dxa"/>
            <w:tcBorders>
              <w:top w:val="single" w:sz="4" w:space="0" w:color="auto"/>
              <w:bottom w:val="single" w:sz="4" w:space="0" w:color="auto"/>
              <w:right w:val="nil"/>
            </w:tcBorders>
            <w:vAlign w:val="center"/>
          </w:tcPr>
          <w:p w14:paraId="1B779B44"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7,2</w:t>
            </w:r>
          </w:p>
        </w:tc>
        <w:tc>
          <w:tcPr>
            <w:tcW w:w="851" w:type="dxa"/>
            <w:tcBorders>
              <w:top w:val="single" w:sz="4" w:space="0" w:color="auto"/>
              <w:bottom w:val="single" w:sz="4" w:space="0" w:color="auto"/>
              <w:right w:val="nil"/>
            </w:tcBorders>
            <w:vAlign w:val="center"/>
          </w:tcPr>
          <w:p w14:paraId="568C4769"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10,0</w:t>
            </w:r>
          </w:p>
        </w:tc>
        <w:tc>
          <w:tcPr>
            <w:tcW w:w="992" w:type="dxa"/>
            <w:tcBorders>
              <w:top w:val="single" w:sz="4" w:space="0" w:color="auto"/>
              <w:bottom w:val="single" w:sz="4" w:space="0" w:color="auto"/>
              <w:right w:val="nil"/>
            </w:tcBorders>
            <w:vAlign w:val="center"/>
          </w:tcPr>
          <w:p w14:paraId="5E9C5A77"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11,3</w:t>
            </w:r>
          </w:p>
        </w:tc>
        <w:tc>
          <w:tcPr>
            <w:tcW w:w="992" w:type="dxa"/>
            <w:tcBorders>
              <w:top w:val="single" w:sz="4" w:space="0" w:color="auto"/>
              <w:bottom w:val="single" w:sz="4" w:space="0" w:color="auto"/>
              <w:right w:val="nil"/>
            </w:tcBorders>
            <w:vAlign w:val="center"/>
          </w:tcPr>
          <w:p w14:paraId="2F476079"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11,5</w:t>
            </w:r>
          </w:p>
        </w:tc>
        <w:tc>
          <w:tcPr>
            <w:tcW w:w="993" w:type="dxa"/>
            <w:tcBorders>
              <w:top w:val="single" w:sz="4" w:space="0" w:color="auto"/>
              <w:bottom w:val="single" w:sz="4" w:space="0" w:color="auto"/>
            </w:tcBorders>
            <w:vAlign w:val="center"/>
          </w:tcPr>
          <w:p w14:paraId="604CC23E"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13,6</w:t>
            </w:r>
          </w:p>
        </w:tc>
        <w:tc>
          <w:tcPr>
            <w:tcW w:w="992" w:type="dxa"/>
            <w:tcBorders>
              <w:top w:val="single" w:sz="4" w:space="0" w:color="auto"/>
              <w:bottom w:val="single" w:sz="4" w:space="0" w:color="auto"/>
            </w:tcBorders>
            <w:vAlign w:val="center"/>
          </w:tcPr>
          <w:p w14:paraId="7BC4BEE1"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12,3</w:t>
            </w:r>
          </w:p>
        </w:tc>
        <w:tc>
          <w:tcPr>
            <w:tcW w:w="850" w:type="dxa"/>
            <w:tcBorders>
              <w:top w:val="single" w:sz="4" w:space="0" w:color="auto"/>
              <w:bottom w:val="single" w:sz="4" w:space="0" w:color="auto"/>
              <w:right w:val="nil"/>
            </w:tcBorders>
            <w:vAlign w:val="center"/>
          </w:tcPr>
          <w:p w14:paraId="45DBAF54"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25,0</w:t>
            </w:r>
          </w:p>
        </w:tc>
      </w:tr>
      <w:tr w:rsidR="000E03B8" w:rsidRPr="000E03B8" w14:paraId="4E7DA1EF" w14:textId="77777777" w:rsidTr="0063429A">
        <w:trPr>
          <w:trHeight w:hRule="exact" w:val="261"/>
          <w:jc w:val="center"/>
        </w:trPr>
        <w:tc>
          <w:tcPr>
            <w:tcW w:w="2127" w:type="dxa"/>
            <w:tcBorders>
              <w:top w:val="single" w:sz="4" w:space="0" w:color="auto"/>
              <w:left w:val="nil"/>
              <w:bottom w:val="single" w:sz="4" w:space="0" w:color="auto"/>
            </w:tcBorders>
            <w:shd w:val="clear" w:color="auto" w:fill="auto"/>
            <w:vAlign w:val="center"/>
          </w:tcPr>
          <w:p w14:paraId="56C3F36B"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Transporte</w:t>
            </w:r>
          </w:p>
        </w:tc>
        <w:tc>
          <w:tcPr>
            <w:tcW w:w="849" w:type="dxa"/>
            <w:tcBorders>
              <w:top w:val="single" w:sz="4" w:space="0" w:color="auto"/>
              <w:bottom w:val="single" w:sz="4" w:space="0" w:color="auto"/>
              <w:right w:val="nil"/>
            </w:tcBorders>
            <w:vAlign w:val="center"/>
          </w:tcPr>
          <w:p w14:paraId="365E21C5"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4,9</w:t>
            </w:r>
          </w:p>
        </w:tc>
        <w:tc>
          <w:tcPr>
            <w:tcW w:w="851" w:type="dxa"/>
            <w:tcBorders>
              <w:top w:val="single" w:sz="4" w:space="0" w:color="auto"/>
              <w:bottom w:val="single" w:sz="4" w:space="0" w:color="auto"/>
              <w:right w:val="nil"/>
            </w:tcBorders>
            <w:vAlign w:val="center"/>
          </w:tcPr>
          <w:p w14:paraId="54424A7F"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8,9</w:t>
            </w:r>
          </w:p>
        </w:tc>
        <w:tc>
          <w:tcPr>
            <w:tcW w:w="992" w:type="dxa"/>
            <w:tcBorders>
              <w:top w:val="single" w:sz="4" w:space="0" w:color="auto"/>
              <w:bottom w:val="single" w:sz="4" w:space="0" w:color="auto"/>
              <w:right w:val="nil"/>
            </w:tcBorders>
            <w:vAlign w:val="center"/>
          </w:tcPr>
          <w:p w14:paraId="0E30D25E"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10,2</w:t>
            </w:r>
          </w:p>
        </w:tc>
        <w:tc>
          <w:tcPr>
            <w:tcW w:w="992" w:type="dxa"/>
            <w:tcBorders>
              <w:top w:val="single" w:sz="4" w:space="0" w:color="auto"/>
              <w:bottom w:val="single" w:sz="4" w:space="0" w:color="auto"/>
              <w:right w:val="nil"/>
            </w:tcBorders>
            <w:vAlign w:val="center"/>
          </w:tcPr>
          <w:p w14:paraId="020306AA"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10,7</w:t>
            </w:r>
          </w:p>
        </w:tc>
        <w:tc>
          <w:tcPr>
            <w:tcW w:w="993" w:type="dxa"/>
            <w:tcBorders>
              <w:top w:val="single" w:sz="4" w:space="0" w:color="auto"/>
              <w:bottom w:val="single" w:sz="4" w:space="0" w:color="auto"/>
            </w:tcBorders>
            <w:vAlign w:val="center"/>
          </w:tcPr>
          <w:p w14:paraId="4923692C"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12,6</w:t>
            </w:r>
          </w:p>
        </w:tc>
        <w:tc>
          <w:tcPr>
            <w:tcW w:w="992" w:type="dxa"/>
            <w:tcBorders>
              <w:top w:val="single" w:sz="4" w:space="0" w:color="auto"/>
              <w:bottom w:val="single" w:sz="4" w:space="0" w:color="auto"/>
            </w:tcBorders>
            <w:vAlign w:val="center"/>
          </w:tcPr>
          <w:p w14:paraId="6E86866A"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14,7</w:t>
            </w:r>
          </w:p>
        </w:tc>
        <w:tc>
          <w:tcPr>
            <w:tcW w:w="850" w:type="dxa"/>
            <w:tcBorders>
              <w:top w:val="single" w:sz="4" w:space="0" w:color="auto"/>
              <w:bottom w:val="single" w:sz="4" w:space="0" w:color="auto"/>
              <w:right w:val="nil"/>
            </w:tcBorders>
            <w:vAlign w:val="center"/>
          </w:tcPr>
          <w:p w14:paraId="39DF81A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30,0</w:t>
            </w:r>
          </w:p>
        </w:tc>
      </w:tr>
      <w:tr w:rsidR="000E03B8" w:rsidRPr="000E03B8" w14:paraId="56291E33" w14:textId="77777777" w:rsidTr="0063429A">
        <w:trPr>
          <w:trHeight w:hRule="exact" w:val="261"/>
          <w:jc w:val="center"/>
        </w:trPr>
        <w:tc>
          <w:tcPr>
            <w:tcW w:w="2127" w:type="dxa"/>
            <w:tcBorders>
              <w:top w:val="single" w:sz="4" w:space="0" w:color="auto"/>
              <w:left w:val="nil"/>
              <w:bottom w:val="double" w:sz="4" w:space="0" w:color="auto"/>
            </w:tcBorders>
            <w:shd w:val="clear" w:color="auto" w:fill="auto"/>
            <w:vAlign w:val="center"/>
          </w:tcPr>
          <w:p w14:paraId="44BA257E" w14:textId="77777777" w:rsidR="000E03B8" w:rsidRPr="000E03B8" w:rsidRDefault="000E03B8" w:rsidP="00BC2DD1">
            <w:pPr>
              <w:spacing w:after="0" w:line="240" w:lineRule="auto"/>
              <w:rPr>
                <w:rFonts w:ascii="Candara" w:hAnsi="Candara" w:cs="Times New Roman"/>
                <w:bCs/>
                <w:sz w:val="16"/>
                <w:szCs w:val="16"/>
              </w:rPr>
            </w:pPr>
            <w:r w:rsidRPr="000E03B8">
              <w:rPr>
                <w:rFonts w:ascii="Candara" w:hAnsi="Candara" w:cs="Times New Roman"/>
                <w:bCs/>
                <w:sz w:val="16"/>
                <w:szCs w:val="16"/>
              </w:rPr>
              <w:t>Habitação</w:t>
            </w:r>
          </w:p>
        </w:tc>
        <w:tc>
          <w:tcPr>
            <w:tcW w:w="849" w:type="dxa"/>
            <w:tcBorders>
              <w:top w:val="single" w:sz="4" w:space="0" w:color="auto"/>
              <w:bottom w:val="double" w:sz="4" w:space="0" w:color="auto"/>
              <w:right w:val="nil"/>
            </w:tcBorders>
            <w:vAlign w:val="center"/>
          </w:tcPr>
          <w:p w14:paraId="343D1A2E"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4,6</w:t>
            </w:r>
          </w:p>
        </w:tc>
        <w:tc>
          <w:tcPr>
            <w:tcW w:w="851" w:type="dxa"/>
            <w:tcBorders>
              <w:top w:val="single" w:sz="4" w:space="0" w:color="auto"/>
              <w:bottom w:val="double" w:sz="4" w:space="0" w:color="auto"/>
              <w:right w:val="nil"/>
            </w:tcBorders>
            <w:vAlign w:val="center"/>
          </w:tcPr>
          <w:p w14:paraId="27223486"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7,1</w:t>
            </w:r>
          </w:p>
        </w:tc>
        <w:tc>
          <w:tcPr>
            <w:tcW w:w="992" w:type="dxa"/>
            <w:tcBorders>
              <w:top w:val="single" w:sz="4" w:space="0" w:color="auto"/>
              <w:bottom w:val="double" w:sz="4" w:space="0" w:color="auto"/>
              <w:right w:val="nil"/>
            </w:tcBorders>
            <w:vAlign w:val="center"/>
          </w:tcPr>
          <w:p w14:paraId="6645BC0A"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8,2</w:t>
            </w:r>
          </w:p>
        </w:tc>
        <w:tc>
          <w:tcPr>
            <w:tcW w:w="992" w:type="dxa"/>
            <w:tcBorders>
              <w:top w:val="single" w:sz="4" w:space="0" w:color="auto"/>
              <w:bottom w:val="double" w:sz="4" w:space="0" w:color="auto"/>
              <w:right w:val="nil"/>
            </w:tcBorders>
            <w:vAlign w:val="center"/>
          </w:tcPr>
          <w:p w14:paraId="1C4BB0CA"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9,7</w:t>
            </w:r>
          </w:p>
        </w:tc>
        <w:tc>
          <w:tcPr>
            <w:tcW w:w="993" w:type="dxa"/>
            <w:tcBorders>
              <w:top w:val="single" w:sz="4" w:space="0" w:color="auto"/>
              <w:bottom w:val="double" w:sz="4" w:space="0" w:color="auto"/>
            </w:tcBorders>
            <w:vAlign w:val="center"/>
          </w:tcPr>
          <w:p w14:paraId="1EC9F11A"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12,1</w:t>
            </w:r>
          </w:p>
        </w:tc>
        <w:tc>
          <w:tcPr>
            <w:tcW w:w="992" w:type="dxa"/>
            <w:tcBorders>
              <w:top w:val="single" w:sz="4" w:space="0" w:color="auto"/>
              <w:bottom w:val="double" w:sz="4" w:space="0" w:color="auto"/>
            </w:tcBorders>
            <w:vAlign w:val="center"/>
          </w:tcPr>
          <w:p w14:paraId="4433435E"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11,7</w:t>
            </w:r>
          </w:p>
        </w:tc>
        <w:tc>
          <w:tcPr>
            <w:tcW w:w="850" w:type="dxa"/>
            <w:tcBorders>
              <w:top w:val="single" w:sz="4" w:space="0" w:color="auto"/>
              <w:bottom w:val="double" w:sz="4" w:space="0" w:color="auto"/>
              <w:right w:val="nil"/>
            </w:tcBorders>
            <w:vAlign w:val="center"/>
          </w:tcPr>
          <w:p w14:paraId="7DAC4D94" w14:textId="77777777" w:rsidR="000E03B8" w:rsidRPr="000E03B8" w:rsidRDefault="000E03B8" w:rsidP="00BC2DD1">
            <w:pPr>
              <w:spacing w:after="0" w:line="240" w:lineRule="auto"/>
              <w:jc w:val="center"/>
              <w:rPr>
                <w:rFonts w:ascii="Candara" w:hAnsi="Candara" w:cs="Times New Roman"/>
                <w:color w:val="000000" w:themeColor="text1"/>
                <w:sz w:val="16"/>
                <w:szCs w:val="16"/>
              </w:rPr>
            </w:pPr>
            <w:r w:rsidRPr="000E03B8">
              <w:rPr>
                <w:rFonts w:ascii="Candara" w:hAnsi="Candara" w:cs="Times New Roman"/>
                <w:color w:val="000000" w:themeColor="text1"/>
                <w:sz w:val="16"/>
                <w:szCs w:val="16"/>
              </w:rPr>
              <w:t>25,0</w:t>
            </w:r>
          </w:p>
        </w:tc>
      </w:tr>
    </w:tbl>
    <w:p w14:paraId="491AD180" w14:textId="7677E768" w:rsidR="00DC03D5" w:rsidRPr="00717583" w:rsidRDefault="00717583" w:rsidP="0014217F">
      <w:pPr>
        <w:spacing w:before="120" w:after="100" w:afterAutospacing="1" w:line="240" w:lineRule="auto"/>
        <w:jc w:val="both"/>
        <w:rPr>
          <w:rFonts w:ascii="Candara" w:eastAsia="Candara" w:hAnsi="Candara" w:cs="Candara"/>
          <w:color w:val="000000"/>
          <w:sz w:val="20"/>
          <w:szCs w:val="20"/>
        </w:rPr>
      </w:pPr>
      <w:r w:rsidRPr="0043570E">
        <w:rPr>
          <w:rFonts w:ascii="Candara" w:eastAsia="Candara" w:hAnsi="Candara" w:cs="Candara"/>
          <w:b/>
          <w:bCs/>
          <w:color w:val="000000"/>
          <w:sz w:val="20"/>
          <w:szCs w:val="20"/>
        </w:rPr>
        <w:t>Fonte:</w:t>
      </w:r>
      <w:r w:rsidRPr="00717583">
        <w:rPr>
          <w:rFonts w:ascii="Candara" w:eastAsia="Candara" w:hAnsi="Candara" w:cs="Candara"/>
          <w:color w:val="000000"/>
          <w:sz w:val="20"/>
          <w:szCs w:val="20"/>
        </w:rPr>
        <w:t xml:space="preserve"> Elaboração própria a partir de dados do IBGE – Diretoria de Pesquisas, Coordenação de População e Indicadores Sociais, Pesquisa de Informações Básicas Municipais (MUNIC, 2019).</w:t>
      </w:r>
    </w:p>
    <w:p w14:paraId="3203A380" w14:textId="6CD87F96" w:rsidR="00616BA3" w:rsidRPr="00616BA3" w:rsidRDefault="00834F40" w:rsidP="00616BA3">
      <w:pPr>
        <w:spacing w:after="0" w:line="360" w:lineRule="auto"/>
        <w:ind w:firstLine="851"/>
        <w:jc w:val="both"/>
        <w:rPr>
          <w:rFonts w:ascii="Candara" w:eastAsia="Candara" w:hAnsi="Candara" w:cs="Candara"/>
          <w:color w:val="000000"/>
          <w:sz w:val="24"/>
          <w:szCs w:val="24"/>
        </w:rPr>
      </w:pPr>
      <w:r w:rsidRPr="00834F40">
        <w:rPr>
          <w:rFonts w:ascii="Candara" w:eastAsia="Candara" w:hAnsi="Candara" w:cs="Candara"/>
          <w:color w:val="000000"/>
          <w:sz w:val="24"/>
          <w:szCs w:val="24"/>
        </w:rPr>
        <w:t>Diante do exposto, os dados disponibilizados pela MUNIC 2019 (IBGE) revelam que o consorciamento tem uma ampla adesão por parte dos municípios brasileiros, com atuação voltada para as políticas públicas setoriais, as quais são coordenadas e reguladas pelo Governo Central. Para além desse resultado, a discussão sobre as práticas consorciais destaca a instrumentalização da cooperação horizontal como alternativa para induzir o desenvolvimento regional.</w:t>
      </w:r>
    </w:p>
    <w:p w14:paraId="50A43DD7" w14:textId="5AAB694E" w:rsidR="00616BA3" w:rsidRPr="00616BA3" w:rsidRDefault="002B3398" w:rsidP="00616BA3">
      <w:pPr>
        <w:spacing w:after="0" w:line="360" w:lineRule="auto"/>
        <w:ind w:firstLine="851"/>
        <w:jc w:val="both"/>
        <w:rPr>
          <w:rFonts w:ascii="Candara" w:eastAsia="Candara" w:hAnsi="Candara" w:cs="Candara"/>
          <w:color w:val="000000"/>
          <w:sz w:val="24"/>
          <w:szCs w:val="24"/>
        </w:rPr>
      </w:pPr>
      <w:r w:rsidRPr="002B3398">
        <w:rPr>
          <w:rFonts w:ascii="Candara" w:eastAsia="Candara" w:hAnsi="Candara" w:cs="Candara"/>
          <w:color w:val="000000"/>
          <w:sz w:val="24"/>
          <w:szCs w:val="24"/>
        </w:rPr>
        <w:t>Neste sentido, verifica-se a atuação dos consórcios públicos quanto à sua finalidade de executar ações, podendo ser em apenas uma área, denominado consórcio finalitário, ou optando por atuar em mais de uma área, sendo chamado de consórcio multifinalitário. Essa distinção se torna importante dado que a atuação estritamente setorial em apenas uma área deixa pouca margem para uma atuação mais efetiva que vise o desenvolvimento regional.</w:t>
      </w:r>
    </w:p>
    <w:p w14:paraId="47E540DD" w14:textId="37EF9515" w:rsidR="00616BA3" w:rsidRPr="00616BA3" w:rsidRDefault="006D5E78" w:rsidP="00616BA3">
      <w:pPr>
        <w:spacing w:after="0" w:line="360" w:lineRule="auto"/>
        <w:ind w:firstLine="851"/>
        <w:jc w:val="both"/>
        <w:rPr>
          <w:rFonts w:ascii="Candara" w:eastAsia="Candara" w:hAnsi="Candara" w:cs="Candara"/>
          <w:color w:val="000000"/>
          <w:sz w:val="24"/>
          <w:szCs w:val="24"/>
        </w:rPr>
      </w:pPr>
      <w:r w:rsidRPr="006D5E78">
        <w:rPr>
          <w:rFonts w:ascii="Candara" w:eastAsia="Candara" w:hAnsi="Candara" w:cs="Candara"/>
          <w:color w:val="000000"/>
          <w:sz w:val="24"/>
          <w:szCs w:val="24"/>
        </w:rPr>
        <w:lastRenderedPageBreak/>
        <w:t>Para tanto, considerando os dados da MUNIC 2019 (IBGE), observa-se que 49,8% dos municípios integram consórcios públicos finalitários, correspondendo a 1.827 do total dos municípios que desenvolvem ações compartilhadas. Desses, verifica-se que os de menor porte populacional (até 20 mil hab.) representam cerca de 72,0% distribuídos territorialmente nas grandes regiões, de forma mais concentrada no Sudeste (37,2%), Sul (25,7%) e Nordeste (23,3%). Com menor representatividade, as regiões Centro-Oeste (9,7%) e Norte (4,2%).</w:t>
      </w:r>
    </w:p>
    <w:p w14:paraId="40F63D5F" w14:textId="787DFD70" w:rsidR="00616BA3" w:rsidRPr="00616BA3" w:rsidRDefault="00616BA3" w:rsidP="00616BA3">
      <w:pPr>
        <w:spacing w:after="0" w:line="360" w:lineRule="auto"/>
        <w:ind w:firstLine="851"/>
        <w:jc w:val="both"/>
        <w:rPr>
          <w:rFonts w:ascii="Candara" w:eastAsia="Candara" w:hAnsi="Candara" w:cs="Candara"/>
          <w:color w:val="000000"/>
          <w:sz w:val="24"/>
          <w:szCs w:val="24"/>
        </w:rPr>
      </w:pPr>
      <w:r w:rsidRPr="00616BA3">
        <w:rPr>
          <w:rFonts w:ascii="Candara" w:eastAsia="Candara" w:hAnsi="Candara" w:cs="Candara"/>
          <w:color w:val="000000"/>
          <w:sz w:val="24"/>
          <w:szCs w:val="24"/>
        </w:rPr>
        <w:t>Considerando o escopo de atuação, constat</w:t>
      </w:r>
      <w:r w:rsidR="0014281D">
        <w:rPr>
          <w:rFonts w:ascii="Candara" w:eastAsia="Candara" w:hAnsi="Candara" w:cs="Candara"/>
          <w:color w:val="000000"/>
          <w:sz w:val="24"/>
          <w:szCs w:val="24"/>
        </w:rPr>
        <w:t>a</w:t>
      </w:r>
      <w:r w:rsidRPr="00616BA3">
        <w:rPr>
          <w:rFonts w:ascii="Candara" w:eastAsia="Candara" w:hAnsi="Candara" w:cs="Candara"/>
          <w:color w:val="000000"/>
          <w:sz w:val="24"/>
          <w:szCs w:val="24"/>
        </w:rPr>
        <w:t>-se que 73,3% dos municípios que integram consórcios finalitários desenvolv</w:t>
      </w:r>
      <w:r w:rsidR="00E71A64">
        <w:rPr>
          <w:rFonts w:ascii="Candara" w:eastAsia="Candara" w:hAnsi="Candara" w:cs="Candara"/>
          <w:color w:val="000000"/>
          <w:sz w:val="24"/>
          <w:szCs w:val="24"/>
        </w:rPr>
        <w:t>e</w:t>
      </w:r>
      <w:r w:rsidRPr="00616BA3">
        <w:rPr>
          <w:rFonts w:ascii="Candara" w:eastAsia="Candara" w:hAnsi="Candara" w:cs="Candara"/>
          <w:color w:val="000000"/>
          <w:sz w:val="24"/>
          <w:szCs w:val="24"/>
        </w:rPr>
        <w:t xml:space="preserve">m ações no setor de saúde. As demais áreas que mais se destacam </w:t>
      </w:r>
      <w:r w:rsidR="00E71A64">
        <w:rPr>
          <w:rFonts w:ascii="Candara" w:eastAsia="Candara" w:hAnsi="Candara" w:cs="Candara"/>
          <w:color w:val="000000"/>
          <w:sz w:val="24"/>
          <w:szCs w:val="24"/>
        </w:rPr>
        <w:t>são</w:t>
      </w:r>
      <w:r w:rsidRPr="00616BA3">
        <w:rPr>
          <w:rFonts w:ascii="Candara" w:eastAsia="Candara" w:hAnsi="Candara" w:cs="Candara"/>
          <w:color w:val="000000"/>
          <w:sz w:val="24"/>
          <w:szCs w:val="24"/>
        </w:rPr>
        <w:t xml:space="preserve"> o manejo de resíduos sólidos (12,6%), o meio ambiente (6,1%), desenvolvimento urbano (3,2%) e saneamento básico (1,8%). Cabe destacar que das 12 áreas que constam da MUNIC 2019</w:t>
      </w:r>
      <w:r w:rsidR="00466B39">
        <w:rPr>
          <w:rFonts w:ascii="Candara" w:eastAsia="Candara" w:hAnsi="Candara" w:cs="Candara"/>
          <w:color w:val="000000"/>
          <w:sz w:val="24"/>
          <w:szCs w:val="24"/>
        </w:rPr>
        <w:t xml:space="preserve"> (IBGE)</w:t>
      </w:r>
      <w:r w:rsidRPr="00616BA3">
        <w:rPr>
          <w:rFonts w:ascii="Candara" w:eastAsia="Candara" w:hAnsi="Candara" w:cs="Candara"/>
          <w:color w:val="000000"/>
          <w:sz w:val="24"/>
          <w:szCs w:val="24"/>
        </w:rPr>
        <w:t>, apenas a habitação não te</w:t>
      </w:r>
      <w:r w:rsidR="00D85FB0">
        <w:rPr>
          <w:rFonts w:ascii="Candara" w:eastAsia="Candara" w:hAnsi="Candara" w:cs="Candara"/>
          <w:color w:val="000000"/>
          <w:sz w:val="24"/>
          <w:szCs w:val="24"/>
        </w:rPr>
        <w:t>m</w:t>
      </w:r>
      <w:r w:rsidRPr="00616BA3">
        <w:rPr>
          <w:rFonts w:ascii="Candara" w:eastAsia="Candara" w:hAnsi="Candara" w:cs="Candara"/>
          <w:color w:val="000000"/>
          <w:sz w:val="24"/>
          <w:szCs w:val="24"/>
        </w:rPr>
        <w:t xml:space="preserve"> nenhuma ação executada por consórcios finalitários.</w:t>
      </w:r>
    </w:p>
    <w:p w14:paraId="16E7F04D" w14:textId="201968E6" w:rsidR="00247CC1" w:rsidRPr="00247CC1" w:rsidRDefault="006F658A" w:rsidP="00247CC1">
      <w:pPr>
        <w:spacing w:after="0" w:line="360" w:lineRule="auto"/>
        <w:ind w:firstLine="851"/>
        <w:jc w:val="both"/>
        <w:rPr>
          <w:rFonts w:ascii="Candara" w:eastAsia="Candara" w:hAnsi="Candara" w:cs="Candara"/>
          <w:color w:val="000000"/>
          <w:sz w:val="24"/>
          <w:szCs w:val="24"/>
        </w:rPr>
      </w:pPr>
      <w:r w:rsidRPr="006F658A">
        <w:rPr>
          <w:rFonts w:ascii="Candara" w:eastAsia="Candara" w:hAnsi="Candara" w:cs="Candara"/>
          <w:color w:val="000000"/>
          <w:sz w:val="24"/>
          <w:szCs w:val="24"/>
        </w:rPr>
        <w:t>No que concerne aos municípios que integram consórcios multifinalitários, ou seja, atuam em mais de uma área, seu somatório de 1.838 representa 50,2% do total dos municípios que participam de consórcios públicos. Semelhantemente aos municípios que integram os consórcios finalitários, os de menor porte populacional (até 20 mil hab.) representam cerca de 68,9% distribuídos territorialmente nas cinco grandes regiões do país, com maior concentração no Sul (37,2%), Sudeste (31,0%) e Nordeste (21,7%). As regiões Centro-Oeste (7,8%) e Norte (2,3%) apresentam a menor representatividade.</w:t>
      </w:r>
      <w:r w:rsidR="001F677F">
        <w:rPr>
          <w:rFonts w:ascii="Candara" w:eastAsia="Candara" w:hAnsi="Candara" w:cs="Candara"/>
          <w:color w:val="000000"/>
          <w:sz w:val="24"/>
          <w:szCs w:val="24"/>
        </w:rPr>
        <w:t xml:space="preserve"> </w:t>
      </w:r>
      <w:r w:rsidR="00936402">
        <w:rPr>
          <w:rFonts w:ascii="Candara" w:eastAsia="Candara" w:hAnsi="Candara" w:cs="Candara"/>
          <w:color w:val="000000"/>
          <w:sz w:val="24"/>
          <w:szCs w:val="24"/>
        </w:rPr>
        <w:t>Portanto, c</w:t>
      </w:r>
      <w:r w:rsidR="00B30B3B" w:rsidRPr="00B30B3B">
        <w:rPr>
          <w:rFonts w:ascii="Candara" w:eastAsia="Candara" w:hAnsi="Candara" w:cs="Candara"/>
          <w:color w:val="000000"/>
          <w:sz w:val="24"/>
          <w:szCs w:val="24"/>
        </w:rPr>
        <w:t>om base n</w:t>
      </w:r>
      <w:r w:rsidR="00F05A75">
        <w:rPr>
          <w:rFonts w:ascii="Candara" w:eastAsia="Candara" w:hAnsi="Candara" w:cs="Candara"/>
          <w:color w:val="000000"/>
          <w:sz w:val="24"/>
          <w:szCs w:val="24"/>
        </w:rPr>
        <w:t>esses</w:t>
      </w:r>
      <w:r w:rsidR="00B30B3B" w:rsidRPr="00B30B3B">
        <w:rPr>
          <w:rFonts w:ascii="Candara" w:eastAsia="Candara" w:hAnsi="Candara" w:cs="Candara"/>
          <w:color w:val="000000"/>
          <w:sz w:val="24"/>
          <w:szCs w:val="24"/>
        </w:rPr>
        <w:t xml:space="preserve"> resultados, </w:t>
      </w:r>
      <w:r w:rsidR="00412DCE">
        <w:rPr>
          <w:rFonts w:ascii="Candara" w:eastAsia="Candara" w:hAnsi="Candara" w:cs="Candara"/>
          <w:color w:val="000000"/>
          <w:sz w:val="24"/>
          <w:szCs w:val="24"/>
        </w:rPr>
        <w:t xml:space="preserve">constata-se que </w:t>
      </w:r>
      <w:r w:rsidR="00B30B3B" w:rsidRPr="00B30B3B">
        <w:rPr>
          <w:rFonts w:ascii="Candara" w:eastAsia="Candara" w:hAnsi="Candara" w:cs="Candara"/>
          <w:color w:val="000000"/>
          <w:sz w:val="24"/>
          <w:szCs w:val="24"/>
        </w:rPr>
        <w:t>as práticas consorciais desenvolvid</w:t>
      </w:r>
      <w:r w:rsidR="004A16A5">
        <w:rPr>
          <w:rFonts w:ascii="Candara" w:eastAsia="Candara" w:hAnsi="Candara" w:cs="Candara"/>
          <w:color w:val="000000"/>
          <w:sz w:val="24"/>
          <w:szCs w:val="24"/>
        </w:rPr>
        <w:t>a</w:t>
      </w:r>
      <w:r w:rsidR="00F610AF">
        <w:rPr>
          <w:rFonts w:ascii="Candara" w:eastAsia="Candara" w:hAnsi="Candara" w:cs="Candara"/>
          <w:color w:val="000000"/>
          <w:sz w:val="24"/>
          <w:szCs w:val="24"/>
        </w:rPr>
        <w:t>s</w:t>
      </w:r>
      <w:r w:rsidR="00B30B3B" w:rsidRPr="00B30B3B">
        <w:rPr>
          <w:rFonts w:ascii="Candara" w:eastAsia="Candara" w:hAnsi="Candara" w:cs="Candara"/>
          <w:color w:val="000000"/>
          <w:sz w:val="24"/>
          <w:szCs w:val="24"/>
        </w:rPr>
        <w:t xml:space="preserve"> no Brasil part</w:t>
      </w:r>
      <w:r w:rsidR="00F610AF">
        <w:rPr>
          <w:rFonts w:ascii="Candara" w:eastAsia="Candara" w:hAnsi="Candara" w:cs="Candara"/>
          <w:color w:val="000000"/>
          <w:sz w:val="24"/>
          <w:szCs w:val="24"/>
        </w:rPr>
        <w:t>em</w:t>
      </w:r>
      <w:r w:rsidR="00B30B3B" w:rsidRPr="00B30B3B">
        <w:rPr>
          <w:rFonts w:ascii="Candara" w:eastAsia="Candara" w:hAnsi="Candara" w:cs="Candara"/>
          <w:color w:val="000000"/>
          <w:sz w:val="24"/>
          <w:szCs w:val="24"/>
        </w:rPr>
        <w:t xml:space="preserve"> de iniciativas institucionalizadas, operando por meio de um conjunto de dispositivos legais, que induz os entes municipais a </w:t>
      </w:r>
      <w:r w:rsidR="008C277C" w:rsidRPr="00B30B3B">
        <w:rPr>
          <w:rFonts w:ascii="Candara" w:eastAsia="Candara" w:hAnsi="Candara" w:cs="Candara"/>
          <w:color w:val="000000"/>
          <w:sz w:val="24"/>
          <w:szCs w:val="24"/>
        </w:rPr>
        <w:t>adotarem</w:t>
      </w:r>
      <w:r w:rsidR="00B30B3B" w:rsidRPr="00B30B3B">
        <w:rPr>
          <w:rFonts w:ascii="Candara" w:eastAsia="Candara" w:hAnsi="Candara" w:cs="Candara"/>
          <w:color w:val="000000"/>
          <w:sz w:val="24"/>
          <w:szCs w:val="24"/>
        </w:rPr>
        <w:t xml:space="preserve"> a gestão compartilhada, elevando a cooperação horizontal.</w:t>
      </w:r>
    </w:p>
    <w:p w14:paraId="17729CFD" w14:textId="27EE1E86" w:rsidR="00947775" w:rsidRPr="00411474" w:rsidRDefault="00681848" w:rsidP="00411474">
      <w:pPr>
        <w:spacing w:after="120" w:line="360" w:lineRule="auto"/>
        <w:ind w:firstLine="851"/>
        <w:jc w:val="both"/>
        <w:rPr>
          <w:rFonts w:ascii="Candara" w:eastAsia="Candara" w:hAnsi="Candara" w:cs="Candara"/>
          <w:b/>
          <w:bCs/>
          <w:color w:val="000000"/>
          <w:sz w:val="28"/>
          <w:szCs w:val="28"/>
        </w:rPr>
      </w:pPr>
      <w:r w:rsidRPr="00411474">
        <w:rPr>
          <w:rFonts w:ascii="Candara" w:eastAsia="Candara" w:hAnsi="Candara" w:cs="Candara"/>
          <w:b/>
          <w:bCs/>
          <w:color w:val="000000"/>
          <w:sz w:val="28"/>
          <w:szCs w:val="28"/>
        </w:rPr>
        <w:lastRenderedPageBreak/>
        <w:t xml:space="preserve">5 </w:t>
      </w:r>
      <w:r w:rsidR="00D454D2" w:rsidRPr="00411474">
        <w:rPr>
          <w:rFonts w:ascii="Candara" w:eastAsia="Candara" w:hAnsi="Candara" w:cs="Candara"/>
          <w:b/>
          <w:bCs/>
          <w:color w:val="000000"/>
          <w:sz w:val="28"/>
          <w:szCs w:val="28"/>
        </w:rPr>
        <w:t>Considerações Finais</w:t>
      </w:r>
    </w:p>
    <w:p w14:paraId="2806D230" w14:textId="0606A212" w:rsidR="001C3956" w:rsidRDefault="00F256C9" w:rsidP="009324C0">
      <w:pPr>
        <w:spacing w:after="0" w:line="360" w:lineRule="auto"/>
        <w:ind w:firstLine="851"/>
        <w:jc w:val="both"/>
        <w:rPr>
          <w:rFonts w:ascii="Candara" w:eastAsia="Candara" w:hAnsi="Candara" w:cs="Candara"/>
          <w:color w:val="000000"/>
          <w:sz w:val="24"/>
          <w:szCs w:val="24"/>
        </w:rPr>
      </w:pPr>
      <w:r w:rsidRPr="00F256C9">
        <w:rPr>
          <w:rFonts w:ascii="Candara" w:eastAsia="Candara" w:hAnsi="Candara" w:cs="Candara"/>
          <w:color w:val="000000"/>
          <w:sz w:val="24"/>
          <w:szCs w:val="24"/>
        </w:rPr>
        <w:t>Partindo de uma visão geral sobre a participação dos municípios em consórcios públicos traçada para o território brasileiro e, em seguida, a identificação das principais áreas de atuação, possibilita-se expor algumas reflexões sobre este processo quanto a capacidade de induzir o desenvolvimento regional.</w:t>
      </w:r>
    </w:p>
    <w:p w14:paraId="011FC5DA" w14:textId="77777777" w:rsidR="00137A15" w:rsidRDefault="00215996" w:rsidP="0041146E">
      <w:pPr>
        <w:spacing w:after="0" w:line="360" w:lineRule="auto"/>
        <w:ind w:firstLine="851"/>
        <w:jc w:val="both"/>
        <w:rPr>
          <w:rFonts w:ascii="Candara" w:eastAsia="Candara" w:hAnsi="Candara" w:cs="Candara"/>
          <w:color w:val="000000"/>
          <w:sz w:val="24"/>
          <w:szCs w:val="24"/>
        </w:rPr>
      </w:pPr>
      <w:r w:rsidRPr="00215996">
        <w:rPr>
          <w:rFonts w:ascii="Candara" w:eastAsia="Candara" w:hAnsi="Candara" w:cs="Candara"/>
          <w:color w:val="000000"/>
          <w:sz w:val="24"/>
          <w:szCs w:val="24"/>
        </w:rPr>
        <w:t xml:space="preserve">Deste modo, um primeiro aspecto a ser </w:t>
      </w:r>
      <w:r w:rsidR="00A05D91">
        <w:rPr>
          <w:rFonts w:ascii="Candara" w:eastAsia="Candara" w:hAnsi="Candara" w:cs="Candara"/>
          <w:color w:val="000000"/>
          <w:sz w:val="24"/>
          <w:szCs w:val="24"/>
        </w:rPr>
        <w:t>destacado</w:t>
      </w:r>
      <w:r w:rsidRPr="00215996">
        <w:rPr>
          <w:rFonts w:ascii="Candara" w:eastAsia="Candara" w:hAnsi="Candara" w:cs="Candara"/>
          <w:color w:val="000000"/>
          <w:sz w:val="24"/>
          <w:szCs w:val="24"/>
        </w:rPr>
        <w:t xml:space="preserve"> diz respeito</w:t>
      </w:r>
      <w:r w:rsidR="00187FA0">
        <w:rPr>
          <w:rFonts w:ascii="Candara" w:eastAsia="Candara" w:hAnsi="Candara" w:cs="Candara"/>
          <w:color w:val="000000"/>
          <w:sz w:val="24"/>
          <w:szCs w:val="24"/>
        </w:rPr>
        <w:t xml:space="preserve"> aos </w:t>
      </w:r>
      <w:r w:rsidR="00272003" w:rsidRPr="00272003">
        <w:rPr>
          <w:rFonts w:ascii="Candara" w:eastAsia="Candara" w:hAnsi="Candara" w:cs="Candara"/>
          <w:color w:val="000000"/>
          <w:sz w:val="24"/>
          <w:szCs w:val="24"/>
        </w:rPr>
        <w:t>principais fatores e características</w:t>
      </w:r>
      <w:r w:rsidR="00983C3B">
        <w:rPr>
          <w:rFonts w:ascii="Candara" w:eastAsia="Candara" w:hAnsi="Candara" w:cs="Candara"/>
          <w:color w:val="000000"/>
          <w:sz w:val="24"/>
          <w:szCs w:val="24"/>
        </w:rPr>
        <w:t xml:space="preserve"> </w:t>
      </w:r>
      <w:r w:rsidR="00A05D91">
        <w:rPr>
          <w:rFonts w:ascii="Candara" w:eastAsia="Candara" w:hAnsi="Candara" w:cs="Candara"/>
          <w:color w:val="000000"/>
          <w:sz w:val="24"/>
          <w:szCs w:val="24"/>
        </w:rPr>
        <w:t xml:space="preserve">que estão </w:t>
      </w:r>
      <w:r w:rsidR="00983C3B">
        <w:rPr>
          <w:rFonts w:ascii="Candara" w:eastAsia="Candara" w:hAnsi="Candara" w:cs="Candara"/>
          <w:color w:val="000000"/>
          <w:sz w:val="24"/>
          <w:szCs w:val="24"/>
        </w:rPr>
        <w:t xml:space="preserve">presentes </w:t>
      </w:r>
      <w:r w:rsidR="00F34CF1">
        <w:rPr>
          <w:rFonts w:ascii="Candara" w:eastAsia="Candara" w:hAnsi="Candara" w:cs="Candara"/>
          <w:color w:val="000000"/>
          <w:sz w:val="24"/>
          <w:szCs w:val="24"/>
        </w:rPr>
        <w:t xml:space="preserve">no </w:t>
      </w:r>
      <w:r w:rsidR="00CF6F00" w:rsidRPr="00CF6F00">
        <w:rPr>
          <w:rFonts w:ascii="Candara" w:eastAsia="Candara" w:hAnsi="Candara" w:cs="Candara"/>
          <w:color w:val="000000"/>
          <w:sz w:val="24"/>
          <w:szCs w:val="24"/>
        </w:rPr>
        <w:t>atual quadro de adesão dos municípios à gestão compartilhada</w:t>
      </w:r>
      <w:r w:rsidR="00E908D7">
        <w:rPr>
          <w:rFonts w:ascii="Candara" w:eastAsia="Candara" w:hAnsi="Candara" w:cs="Candara"/>
          <w:color w:val="000000"/>
          <w:sz w:val="24"/>
          <w:szCs w:val="24"/>
        </w:rPr>
        <w:t>.</w:t>
      </w:r>
      <w:r w:rsidR="0041146E">
        <w:rPr>
          <w:rFonts w:ascii="Candara" w:eastAsia="Candara" w:hAnsi="Candara" w:cs="Candara"/>
          <w:color w:val="000000"/>
          <w:sz w:val="24"/>
          <w:szCs w:val="24"/>
        </w:rPr>
        <w:t xml:space="preserve"> Assim, regionalmente, </w:t>
      </w:r>
      <w:r w:rsidR="0066367E">
        <w:rPr>
          <w:rFonts w:ascii="Candara" w:eastAsia="Candara" w:hAnsi="Candara" w:cs="Candara"/>
          <w:color w:val="000000"/>
          <w:sz w:val="24"/>
          <w:szCs w:val="24"/>
        </w:rPr>
        <w:t xml:space="preserve">verifica-se que </w:t>
      </w:r>
      <w:r w:rsidR="0041146E" w:rsidRPr="00CF6F00">
        <w:rPr>
          <w:rFonts w:ascii="Candara" w:eastAsia="Candara" w:hAnsi="Candara" w:cs="Candara"/>
          <w:color w:val="000000"/>
          <w:sz w:val="24"/>
          <w:szCs w:val="24"/>
        </w:rPr>
        <w:t xml:space="preserve">a prevalência de municípios integrantes de consórcios públicos </w:t>
      </w:r>
      <w:r w:rsidR="00883DBB">
        <w:rPr>
          <w:rFonts w:ascii="Candara" w:eastAsia="Candara" w:hAnsi="Candara" w:cs="Candara"/>
          <w:color w:val="000000"/>
          <w:sz w:val="24"/>
          <w:szCs w:val="24"/>
        </w:rPr>
        <w:t>estão</w:t>
      </w:r>
      <w:r w:rsidR="0041146E" w:rsidRPr="00CF6F00">
        <w:rPr>
          <w:rFonts w:ascii="Candara" w:eastAsia="Candara" w:hAnsi="Candara" w:cs="Candara"/>
          <w:color w:val="000000"/>
          <w:sz w:val="24"/>
          <w:szCs w:val="24"/>
        </w:rPr>
        <w:t xml:space="preserve"> nas regiões Sul (87,2%), Sudeste (78,0%) e Centro-Oeste (63,6%)</w:t>
      </w:r>
      <w:r w:rsidR="0041146E">
        <w:rPr>
          <w:rFonts w:ascii="Candara" w:eastAsia="Candara" w:hAnsi="Candara" w:cs="Candara"/>
          <w:color w:val="000000"/>
          <w:sz w:val="24"/>
          <w:szCs w:val="24"/>
        </w:rPr>
        <w:t xml:space="preserve"> e </w:t>
      </w:r>
      <w:r w:rsidR="00B508B4">
        <w:rPr>
          <w:rFonts w:ascii="Candara" w:eastAsia="Candara" w:hAnsi="Candara" w:cs="Candara"/>
          <w:color w:val="000000"/>
          <w:sz w:val="24"/>
          <w:szCs w:val="24"/>
        </w:rPr>
        <w:t>a</w:t>
      </w:r>
      <w:r w:rsidR="0041146E">
        <w:rPr>
          <w:rFonts w:ascii="Candara" w:eastAsia="Candara" w:hAnsi="Candara" w:cs="Candara"/>
          <w:color w:val="000000"/>
          <w:sz w:val="24"/>
          <w:szCs w:val="24"/>
        </w:rPr>
        <w:t xml:space="preserve"> menor incidência representativa nas regiões Nordeste </w:t>
      </w:r>
      <w:r w:rsidR="0041146E" w:rsidRPr="00FF5EAD">
        <w:rPr>
          <w:rFonts w:ascii="Candara" w:eastAsia="Candara" w:hAnsi="Candara" w:cs="Candara"/>
          <w:color w:val="000000"/>
          <w:sz w:val="24"/>
          <w:szCs w:val="24"/>
        </w:rPr>
        <w:t>(51,1%) e Norte (24,9%)</w:t>
      </w:r>
      <w:r w:rsidR="0041146E">
        <w:rPr>
          <w:rFonts w:ascii="Candara" w:eastAsia="Candara" w:hAnsi="Candara" w:cs="Candara"/>
          <w:color w:val="000000"/>
          <w:sz w:val="24"/>
          <w:szCs w:val="24"/>
        </w:rPr>
        <w:t>.</w:t>
      </w:r>
    </w:p>
    <w:p w14:paraId="2C306679" w14:textId="56064147" w:rsidR="0041146E" w:rsidRDefault="005F4D44" w:rsidP="0041146E">
      <w:pPr>
        <w:spacing w:after="0" w:line="360" w:lineRule="auto"/>
        <w:ind w:firstLine="851"/>
        <w:jc w:val="both"/>
        <w:rPr>
          <w:rFonts w:ascii="Candara" w:eastAsia="Candara" w:hAnsi="Candara" w:cs="Candara"/>
          <w:color w:val="000000"/>
          <w:sz w:val="24"/>
          <w:szCs w:val="24"/>
        </w:rPr>
      </w:pPr>
      <w:r w:rsidRPr="00B9301F">
        <w:rPr>
          <w:rFonts w:ascii="Candara" w:eastAsia="Candara" w:hAnsi="Candara" w:cs="Candara"/>
          <w:color w:val="000000"/>
          <w:sz w:val="24"/>
          <w:szCs w:val="24"/>
        </w:rPr>
        <w:t xml:space="preserve">Conforme </w:t>
      </w:r>
      <w:r w:rsidR="00C339D4">
        <w:rPr>
          <w:rFonts w:ascii="Candara" w:eastAsia="Candara" w:hAnsi="Candara" w:cs="Candara"/>
          <w:color w:val="000000"/>
          <w:sz w:val="24"/>
          <w:szCs w:val="24"/>
        </w:rPr>
        <w:t>assinala</w:t>
      </w:r>
      <w:r w:rsidR="00F752A0">
        <w:rPr>
          <w:rFonts w:ascii="Candara" w:eastAsia="Candara" w:hAnsi="Candara" w:cs="Candara"/>
          <w:color w:val="000000"/>
          <w:sz w:val="24"/>
          <w:szCs w:val="24"/>
        </w:rPr>
        <w:t>do</w:t>
      </w:r>
      <w:r w:rsidR="00C339D4">
        <w:rPr>
          <w:rFonts w:ascii="Candara" w:eastAsia="Candara" w:hAnsi="Candara" w:cs="Candara"/>
          <w:color w:val="000000"/>
          <w:sz w:val="24"/>
          <w:szCs w:val="24"/>
        </w:rPr>
        <w:t xml:space="preserve"> </w:t>
      </w:r>
      <w:r w:rsidR="00F752A0">
        <w:rPr>
          <w:rFonts w:ascii="Candara" w:eastAsia="Candara" w:hAnsi="Candara" w:cs="Candara"/>
          <w:color w:val="000000"/>
          <w:sz w:val="24"/>
          <w:szCs w:val="24"/>
        </w:rPr>
        <w:t>pel</w:t>
      </w:r>
      <w:r w:rsidRPr="00B9301F">
        <w:rPr>
          <w:rFonts w:ascii="Candara" w:eastAsia="Candara" w:hAnsi="Candara" w:cs="Candara"/>
          <w:color w:val="000000"/>
          <w:sz w:val="24"/>
          <w:szCs w:val="24"/>
        </w:rPr>
        <w:t xml:space="preserve">a literatura, </w:t>
      </w:r>
      <w:r w:rsidR="00955B0E">
        <w:rPr>
          <w:rFonts w:ascii="Candara" w:eastAsia="Candara" w:hAnsi="Candara" w:cs="Candara"/>
          <w:color w:val="000000"/>
          <w:sz w:val="24"/>
          <w:szCs w:val="24"/>
        </w:rPr>
        <w:t xml:space="preserve">são </w:t>
      </w:r>
      <w:r w:rsidRPr="00B9301F">
        <w:rPr>
          <w:rFonts w:ascii="Candara" w:eastAsia="Candara" w:hAnsi="Candara" w:cs="Candara"/>
          <w:color w:val="000000"/>
          <w:sz w:val="24"/>
          <w:szCs w:val="24"/>
        </w:rPr>
        <w:t xml:space="preserve">os municípios de menor porte populacional (até 20 mil hab.) que mais </w:t>
      </w:r>
      <w:r w:rsidR="00AA5B07">
        <w:rPr>
          <w:rFonts w:ascii="Candara" w:eastAsia="Candara" w:hAnsi="Candara" w:cs="Candara"/>
          <w:color w:val="000000"/>
          <w:sz w:val="24"/>
          <w:szCs w:val="24"/>
        </w:rPr>
        <w:t>aderem</w:t>
      </w:r>
      <w:r w:rsidRPr="00B9301F">
        <w:rPr>
          <w:rFonts w:ascii="Candara" w:eastAsia="Candara" w:hAnsi="Candara" w:cs="Candara"/>
          <w:color w:val="000000"/>
          <w:sz w:val="24"/>
          <w:szCs w:val="24"/>
        </w:rPr>
        <w:t>, representando 70,5% do total de municípios integrantes de consórcios públicos.</w:t>
      </w:r>
      <w:r w:rsidR="004C6A29">
        <w:rPr>
          <w:rFonts w:ascii="Candara" w:eastAsia="Candara" w:hAnsi="Candara" w:cs="Candara"/>
          <w:color w:val="000000"/>
          <w:sz w:val="24"/>
          <w:szCs w:val="24"/>
        </w:rPr>
        <w:t xml:space="preserve"> Por sua vez, </w:t>
      </w:r>
      <w:r w:rsidR="00E92186">
        <w:rPr>
          <w:rFonts w:ascii="Candara" w:eastAsia="Candara" w:hAnsi="Candara" w:cs="Candara"/>
          <w:color w:val="000000"/>
          <w:sz w:val="24"/>
          <w:szCs w:val="24"/>
        </w:rPr>
        <w:t>e</w:t>
      </w:r>
      <w:r w:rsidR="00E92186" w:rsidRPr="00E92186">
        <w:rPr>
          <w:rFonts w:ascii="Candara" w:eastAsia="Candara" w:hAnsi="Candara" w:cs="Candara"/>
          <w:color w:val="000000"/>
          <w:sz w:val="24"/>
          <w:szCs w:val="24"/>
        </w:rPr>
        <w:t>m que pese a alternância nos percentuais de participação dos municípios, para todas as regiões verific</w:t>
      </w:r>
      <w:r w:rsidR="00E92186">
        <w:rPr>
          <w:rFonts w:ascii="Candara" w:eastAsia="Candara" w:hAnsi="Candara" w:cs="Candara"/>
          <w:color w:val="000000"/>
          <w:sz w:val="24"/>
          <w:szCs w:val="24"/>
        </w:rPr>
        <w:t>a</w:t>
      </w:r>
      <w:r w:rsidR="00E92186" w:rsidRPr="00E92186">
        <w:rPr>
          <w:rFonts w:ascii="Candara" w:eastAsia="Candara" w:hAnsi="Candara" w:cs="Candara"/>
          <w:color w:val="000000"/>
          <w:sz w:val="24"/>
          <w:szCs w:val="24"/>
        </w:rPr>
        <w:t xml:space="preserve">-se </w:t>
      </w:r>
      <w:r w:rsidR="00DE1144">
        <w:rPr>
          <w:rFonts w:ascii="Candara" w:eastAsia="Candara" w:hAnsi="Candara" w:cs="Candara"/>
          <w:color w:val="000000"/>
          <w:sz w:val="24"/>
          <w:szCs w:val="24"/>
        </w:rPr>
        <w:t xml:space="preserve">que a atuação </w:t>
      </w:r>
      <w:r w:rsidR="00BE7FA2">
        <w:rPr>
          <w:rFonts w:ascii="Candara" w:eastAsia="Candara" w:hAnsi="Candara" w:cs="Candara"/>
          <w:color w:val="000000"/>
          <w:sz w:val="24"/>
          <w:szCs w:val="24"/>
        </w:rPr>
        <w:t xml:space="preserve">se concentra em </w:t>
      </w:r>
      <w:r w:rsidR="00E92186" w:rsidRPr="00E92186">
        <w:rPr>
          <w:rFonts w:ascii="Candara" w:eastAsia="Candara" w:hAnsi="Candara" w:cs="Candara"/>
          <w:color w:val="000000"/>
          <w:sz w:val="24"/>
          <w:szCs w:val="24"/>
        </w:rPr>
        <w:t xml:space="preserve">cinco áreas prioritárias: </w:t>
      </w:r>
      <w:r w:rsidR="0080002B" w:rsidRPr="0080002B">
        <w:rPr>
          <w:rFonts w:ascii="Candara" w:eastAsia="Candara" w:hAnsi="Candara" w:cs="Candara"/>
          <w:color w:val="000000"/>
          <w:sz w:val="24"/>
          <w:szCs w:val="24"/>
        </w:rPr>
        <w:t>saúde (79,8%), manejo de resíduos sólidos (32,0%), meio ambiente (25,5%), desenvolvimento urbano (21,8%) e saneamento básico (20,0%).</w:t>
      </w:r>
    </w:p>
    <w:p w14:paraId="66C3146E" w14:textId="77777777" w:rsidR="0016214F" w:rsidRDefault="009D2E21" w:rsidP="001948C9">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t xml:space="preserve">Esse comportamento </w:t>
      </w:r>
      <w:r w:rsidR="00685344">
        <w:rPr>
          <w:rFonts w:ascii="Candara" w:eastAsia="Candara" w:hAnsi="Candara" w:cs="Candara"/>
          <w:color w:val="000000"/>
          <w:sz w:val="24"/>
          <w:szCs w:val="24"/>
        </w:rPr>
        <w:t xml:space="preserve">indica que </w:t>
      </w:r>
      <w:r w:rsidR="00717F49" w:rsidRPr="00247CC1">
        <w:rPr>
          <w:rFonts w:ascii="Candara" w:eastAsia="Candara" w:hAnsi="Candara" w:cs="Candara"/>
          <w:color w:val="000000"/>
          <w:sz w:val="24"/>
          <w:szCs w:val="24"/>
        </w:rPr>
        <w:t xml:space="preserve">a experiência brasileira </w:t>
      </w:r>
      <w:r w:rsidR="006A5DB4">
        <w:rPr>
          <w:rFonts w:ascii="Candara" w:eastAsia="Candara" w:hAnsi="Candara" w:cs="Candara"/>
          <w:color w:val="000000"/>
          <w:sz w:val="24"/>
          <w:szCs w:val="24"/>
        </w:rPr>
        <w:t>para com as práticas consor</w:t>
      </w:r>
      <w:r w:rsidR="0009416D">
        <w:rPr>
          <w:rFonts w:ascii="Candara" w:eastAsia="Candara" w:hAnsi="Candara" w:cs="Candara"/>
          <w:color w:val="000000"/>
          <w:sz w:val="24"/>
          <w:szCs w:val="24"/>
        </w:rPr>
        <w:t xml:space="preserve">ciais </w:t>
      </w:r>
      <w:r w:rsidR="00717F49" w:rsidRPr="00247CC1">
        <w:rPr>
          <w:rFonts w:ascii="Candara" w:eastAsia="Candara" w:hAnsi="Candara" w:cs="Candara"/>
          <w:color w:val="000000"/>
          <w:sz w:val="24"/>
          <w:szCs w:val="24"/>
        </w:rPr>
        <w:t>revel</w:t>
      </w:r>
      <w:r w:rsidR="00685344">
        <w:rPr>
          <w:rFonts w:ascii="Candara" w:eastAsia="Candara" w:hAnsi="Candara" w:cs="Candara"/>
          <w:color w:val="000000"/>
          <w:sz w:val="24"/>
          <w:szCs w:val="24"/>
        </w:rPr>
        <w:t>a</w:t>
      </w:r>
      <w:r w:rsidR="00717F49" w:rsidRPr="00247CC1">
        <w:rPr>
          <w:rFonts w:ascii="Candara" w:eastAsia="Candara" w:hAnsi="Candara" w:cs="Candara"/>
          <w:color w:val="000000"/>
          <w:sz w:val="24"/>
          <w:szCs w:val="24"/>
        </w:rPr>
        <w:t xml:space="preserve"> </w:t>
      </w:r>
      <w:r w:rsidR="00BD5AFB">
        <w:rPr>
          <w:rFonts w:ascii="Candara" w:eastAsia="Candara" w:hAnsi="Candara" w:cs="Candara"/>
          <w:color w:val="000000"/>
          <w:sz w:val="24"/>
          <w:szCs w:val="24"/>
        </w:rPr>
        <w:t>maior</w:t>
      </w:r>
      <w:r w:rsidR="00BD5AFB">
        <w:rPr>
          <w:rFonts w:ascii="Candara" w:eastAsia="Candara" w:hAnsi="Candara" w:cs="Candara"/>
          <w:color w:val="000000"/>
          <w:sz w:val="24"/>
          <w:szCs w:val="24"/>
        </w:rPr>
        <w:t xml:space="preserve"> </w:t>
      </w:r>
      <w:r w:rsidR="00547E8E">
        <w:rPr>
          <w:rFonts w:ascii="Candara" w:eastAsia="Candara" w:hAnsi="Candara" w:cs="Candara"/>
          <w:color w:val="000000"/>
          <w:sz w:val="24"/>
          <w:szCs w:val="24"/>
        </w:rPr>
        <w:t>a</w:t>
      </w:r>
      <w:r w:rsidR="00255CE3">
        <w:rPr>
          <w:rFonts w:ascii="Candara" w:eastAsia="Candara" w:hAnsi="Candara" w:cs="Candara"/>
          <w:color w:val="000000"/>
          <w:sz w:val="24"/>
          <w:szCs w:val="24"/>
        </w:rPr>
        <w:t>desão</w:t>
      </w:r>
      <w:r w:rsidR="00547E8E">
        <w:rPr>
          <w:rFonts w:ascii="Candara" w:eastAsia="Candara" w:hAnsi="Candara" w:cs="Candara"/>
          <w:color w:val="000000"/>
          <w:sz w:val="24"/>
          <w:szCs w:val="24"/>
        </w:rPr>
        <w:t xml:space="preserve"> </w:t>
      </w:r>
      <w:r w:rsidR="00255CE3">
        <w:rPr>
          <w:rFonts w:ascii="Candara" w:eastAsia="Candara" w:hAnsi="Candara" w:cs="Candara"/>
          <w:color w:val="000000"/>
          <w:sz w:val="24"/>
          <w:szCs w:val="24"/>
        </w:rPr>
        <w:t>para as</w:t>
      </w:r>
      <w:r w:rsidR="00547E8E" w:rsidRPr="00247CC1">
        <w:rPr>
          <w:rFonts w:ascii="Candara" w:eastAsia="Candara" w:hAnsi="Candara" w:cs="Candara"/>
          <w:color w:val="000000"/>
          <w:sz w:val="24"/>
          <w:szCs w:val="24"/>
        </w:rPr>
        <w:t xml:space="preserve"> políticas públicas</w:t>
      </w:r>
      <w:r w:rsidR="00C924BE">
        <w:rPr>
          <w:rFonts w:ascii="Candara" w:eastAsia="Candara" w:hAnsi="Candara" w:cs="Candara"/>
          <w:color w:val="000000"/>
          <w:sz w:val="24"/>
          <w:szCs w:val="24"/>
        </w:rPr>
        <w:t xml:space="preserve"> que emergem de cima para </w:t>
      </w:r>
      <w:r w:rsidR="00373097">
        <w:rPr>
          <w:rFonts w:ascii="Candara" w:eastAsia="Candara" w:hAnsi="Candara" w:cs="Candara"/>
          <w:color w:val="000000"/>
          <w:sz w:val="24"/>
          <w:szCs w:val="24"/>
        </w:rPr>
        <w:t>baixo (</w:t>
      </w:r>
      <w:r w:rsidR="00373097" w:rsidRPr="00310FA4">
        <w:rPr>
          <w:rFonts w:ascii="Candara" w:eastAsia="Candara" w:hAnsi="Candara" w:cs="Candara"/>
          <w:i/>
          <w:iCs/>
          <w:color w:val="000000"/>
          <w:sz w:val="24"/>
          <w:szCs w:val="24"/>
        </w:rPr>
        <w:t>top-down</w:t>
      </w:r>
      <w:r w:rsidR="00373097" w:rsidRPr="00247CC1">
        <w:rPr>
          <w:rFonts w:ascii="Candara" w:eastAsia="Candara" w:hAnsi="Candara" w:cs="Candara"/>
          <w:color w:val="000000"/>
          <w:sz w:val="24"/>
          <w:szCs w:val="24"/>
        </w:rPr>
        <w:t>)</w:t>
      </w:r>
      <w:r w:rsidR="0092276D">
        <w:rPr>
          <w:rFonts w:ascii="Candara" w:eastAsia="Candara" w:hAnsi="Candara" w:cs="Candara"/>
          <w:color w:val="000000"/>
          <w:sz w:val="24"/>
          <w:szCs w:val="24"/>
        </w:rPr>
        <w:t>,</w:t>
      </w:r>
      <w:r w:rsidR="00373097">
        <w:rPr>
          <w:rFonts w:ascii="Candara" w:eastAsia="Candara" w:hAnsi="Candara" w:cs="Candara"/>
          <w:color w:val="000000"/>
          <w:sz w:val="24"/>
          <w:szCs w:val="24"/>
        </w:rPr>
        <w:t xml:space="preserve"> </w:t>
      </w:r>
      <w:r w:rsidR="00E35854" w:rsidRPr="00247CC1">
        <w:rPr>
          <w:rFonts w:ascii="Candara" w:eastAsia="Candara" w:hAnsi="Candara" w:cs="Candara"/>
          <w:color w:val="000000"/>
          <w:sz w:val="24"/>
          <w:szCs w:val="24"/>
        </w:rPr>
        <w:t xml:space="preserve">coordenadas pelo </w:t>
      </w:r>
      <w:r w:rsidR="00E35854">
        <w:rPr>
          <w:rFonts w:ascii="Candara" w:eastAsia="Candara" w:hAnsi="Candara" w:cs="Candara"/>
          <w:color w:val="000000"/>
          <w:sz w:val="24"/>
          <w:szCs w:val="24"/>
        </w:rPr>
        <w:t>G</w:t>
      </w:r>
      <w:r w:rsidR="00E35854" w:rsidRPr="00247CC1">
        <w:rPr>
          <w:rFonts w:ascii="Candara" w:eastAsia="Candara" w:hAnsi="Candara" w:cs="Candara"/>
          <w:color w:val="000000"/>
          <w:sz w:val="24"/>
          <w:szCs w:val="24"/>
        </w:rPr>
        <w:t xml:space="preserve">overno </w:t>
      </w:r>
      <w:r w:rsidR="00E35854">
        <w:rPr>
          <w:rFonts w:ascii="Candara" w:eastAsia="Candara" w:hAnsi="Candara" w:cs="Candara"/>
          <w:color w:val="000000"/>
          <w:sz w:val="24"/>
          <w:szCs w:val="24"/>
        </w:rPr>
        <w:t>C</w:t>
      </w:r>
      <w:r w:rsidR="00E35854" w:rsidRPr="00247CC1">
        <w:rPr>
          <w:rFonts w:ascii="Candara" w:eastAsia="Candara" w:hAnsi="Candara" w:cs="Candara"/>
          <w:color w:val="000000"/>
          <w:sz w:val="24"/>
          <w:szCs w:val="24"/>
        </w:rPr>
        <w:t>entral</w:t>
      </w:r>
      <w:r w:rsidR="0092276D">
        <w:rPr>
          <w:rFonts w:ascii="Candara" w:eastAsia="Candara" w:hAnsi="Candara" w:cs="Candara"/>
          <w:color w:val="000000"/>
          <w:sz w:val="24"/>
          <w:szCs w:val="24"/>
        </w:rPr>
        <w:t>.</w:t>
      </w:r>
      <w:r w:rsidR="00DE5997">
        <w:rPr>
          <w:rFonts w:ascii="Candara" w:eastAsia="Candara" w:hAnsi="Candara" w:cs="Candara"/>
          <w:color w:val="000000"/>
          <w:sz w:val="24"/>
          <w:szCs w:val="24"/>
        </w:rPr>
        <w:t xml:space="preserve"> </w:t>
      </w:r>
      <w:r w:rsidR="00221461">
        <w:rPr>
          <w:rFonts w:ascii="Candara" w:eastAsia="Candara" w:hAnsi="Candara" w:cs="Candara"/>
          <w:color w:val="000000"/>
          <w:sz w:val="24"/>
          <w:szCs w:val="24"/>
        </w:rPr>
        <w:t xml:space="preserve">Neste caso, o papel indutor </w:t>
      </w:r>
      <w:r w:rsidR="00D95499">
        <w:rPr>
          <w:rFonts w:ascii="Candara" w:eastAsia="Candara" w:hAnsi="Candara" w:cs="Candara"/>
          <w:color w:val="000000"/>
          <w:sz w:val="24"/>
          <w:szCs w:val="24"/>
        </w:rPr>
        <w:t xml:space="preserve">visto pela expressa </w:t>
      </w:r>
      <w:r w:rsidR="00D8297D">
        <w:rPr>
          <w:rFonts w:ascii="Candara" w:eastAsia="Candara" w:hAnsi="Candara" w:cs="Candara"/>
          <w:color w:val="000000"/>
          <w:sz w:val="24"/>
          <w:szCs w:val="24"/>
        </w:rPr>
        <w:t xml:space="preserve">normatização </w:t>
      </w:r>
      <w:r w:rsidR="006C1F5A">
        <w:rPr>
          <w:rFonts w:ascii="Candara" w:eastAsia="Candara" w:hAnsi="Candara" w:cs="Candara"/>
          <w:color w:val="000000"/>
          <w:sz w:val="24"/>
          <w:szCs w:val="24"/>
        </w:rPr>
        <w:t xml:space="preserve">que privilegia </w:t>
      </w:r>
      <w:r w:rsidR="00EB392B">
        <w:rPr>
          <w:rFonts w:ascii="Candara" w:eastAsia="Candara" w:hAnsi="Candara" w:cs="Candara"/>
          <w:color w:val="000000"/>
          <w:sz w:val="24"/>
          <w:szCs w:val="24"/>
        </w:rPr>
        <w:t xml:space="preserve">o repasse de recursos </w:t>
      </w:r>
      <w:r w:rsidR="00FF73B6">
        <w:rPr>
          <w:rFonts w:ascii="Candara" w:eastAsia="Candara" w:hAnsi="Candara" w:cs="Candara"/>
          <w:color w:val="000000"/>
          <w:sz w:val="24"/>
          <w:szCs w:val="24"/>
        </w:rPr>
        <w:t xml:space="preserve">aos municípios que </w:t>
      </w:r>
      <w:r w:rsidR="00C416E3">
        <w:rPr>
          <w:rFonts w:ascii="Candara" w:eastAsia="Candara" w:hAnsi="Candara" w:cs="Candara"/>
          <w:color w:val="000000"/>
          <w:sz w:val="24"/>
          <w:szCs w:val="24"/>
        </w:rPr>
        <w:t xml:space="preserve">executam essas políticas </w:t>
      </w:r>
      <w:r w:rsidR="009C709C">
        <w:rPr>
          <w:rFonts w:ascii="Candara" w:eastAsia="Candara" w:hAnsi="Candara" w:cs="Candara"/>
          <w:color w:val="000000"/>
          <w:sz w:val="24"/>
          <w:szCs w:val="24"/>
        </w:rPr>
        <w:t xml:space="preserve">foi determinante para </w:t>
      </w:r>
      <w:r w:rsidR="006F083C">
        <w:rPr>
          <w:rFonts w:ascii="Candara" w:eastAsia="Candara" w:hAnsi="Candara" w:cs="Candara"/>
          <w:color w:val="000000"/>
          <w:sz w:val="24"/>
          <w:szCs w:val="24"/>
        </w:rPr>
        <w:t xml:space="preserve">a atuação </w:t>
      </w:r>
      <w:r w:rsidR="00E97978">
        <w:rPr>
          <w:rFonts w:ascii="Candara" w:eastAsia="Candara" w:hAnsi="Candara" w:cs="Candara"/>
          <w:color w:val="000000"/>
          <w:sz w:val="24"/>
          <w:szCs w:val="24"/>
        </w:rPr>
        <w:t>por meio de consórcios públicos</w:t>
      </w:r>
      <w:r w:rsidR="00F96166">
        <w:rPr>
          <w:rFonts w:ascii="Candara" w:eastAsia="Candara" w:hAnsi="Candara" w:cs="Candara"/>
          <w:color w:val="000000"/>
          <w:sz w:val="24"/>
          <w:szCs w:val="24"/>
        </w:rPr>
        <w:t xml:space="preserve"> para </w:t>
      </w:r>
      <w:r w:rsidR="00391144">
        <w:rPr>
          <w:rFonts w:ascii="Candara" w:eastAsia="Candara" w:hAnsi="Candara" w:cs="Candara"/>
          <w:color w:val="000000"/>
          <w:sz w:val="24"/>
          <w:szCs w:val="24"/>
        </w:rPr>
        <w:t>as cinco áreas</w:t>
      </w:r>
      <w:r w:rsidR="0016214F">
        <w:rPr>
          <w:rFonts w:ascii="Candara" w:eastAsia="Candara" w:hAnsi="Candara" w:cs="Candara"/>
          <w:color w:val="000000"/>
          <w:sz w:val="24"/>
          <w:szCs w:val="24"/>
        </w:rPr>
        <w:t xml:space="preserve"> mencionadas.</w:t>
      </w:r>
    </w:p>
    <w:p w14:paraId="44B76B6B" w14:textId="37AF21B6" w:rsidR="00E1323C" w:rsidRDefault="003E7636" w:rsidP="00E1323C">
      <w:pP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 xml:space="preserve">Deste modo, </w:t>
      </w:r>
      <w:r w:rsidR="00B774B0">
        <w:rPr>
          <w:rFonts w:ascii="Candara" w:eastAsia="Candara" w:hAnsi="Candara" w:cs="Candara"/>
          <w:color w:val="000000"/>
          <w:sz w:val="24"/>
          <w:szCs w:val="24"/>
        </w:rPr>
        <w:t>os mecanismos de</w:t>
      </w:r>
      <w:r w:rsidR="00565BD6">
        <w:rPr>
          <w:rFonts w:ascii="Candara" w:eastAsia="Candara" w:hAnsi="Candara" w:cs="Candara"/>
          <w:color w:val="000000"/>
          <w:sz w:val="24"/>
          <w:szCs w:val="24"/>
        </w:rPr>
        <w:t xml:space="preserve"> articulação </w:t>
      </w:r>
      <w:r w:rsidR="00EC33A0">
        <w:rPr>
          <w:rFonts w:ascii="Candara" w:eastAsia="Candara" w:hAnsi="Candara" w:cs="Candara"/>
          <w:color w:val="000000"/>
          <w:sz w:val="24"/>
          <w:szCs w:val="24"/>
        </w:rPr>
        <w:t>torna</w:t>
      </w:r>
      <w:r w:rsidR="00DD288A">
        <w:rPr>
          <w:rFonts w:ascii="Candara" w:eastAsia="Candara" w:hAnsi="Candara" w:cs="Candara"/>
          <w:color w:val="000000"/>
          <w:sz w:val="24"/>
          <w:szCs w:val="24"/>
        </w:rPr>
        <w:t>m</w:t>
      </w:r>
      <w:r w:rsidR="00EC33A0">
        <w:rPr>
          <w:rFonts w:ascii="Candara" w:eastAsia="Candara" w:hAnsi="Candara" w:cs="Candara"/>
          <w:color w:val="000000"/>
          <w:sz w:val="24"/>
          <w:szCs w:val="24"/>
        </w:rPr>
        <w:t xml:space="preserve">-se </w:t>
      </w:r>
      <w:r w:rsidR="00D45752">
        <w:rPr>
          <w:rFonts w:ascii="Candara" w:eastAsia="Candara" w:hAnsi="Candara" w:cs="Candara"/>
          <w:color w:val="000000"/>
          <w:sz w:val="24"/>
          <w:szCs w:val="24"/>
        </w:rPr>
        <w:t>fundamenta</w:t>
      </w:r>
      <w:r w:rsidR="00DD288A">
        <w:rPr>
          <w:rFonts w:ascii="Candara" w:eastAsia="Candara" w:hAnsi="Candara" w:cs="Candara"/>
          <w:color w:val="000000"/>
          <w:sz w:val="24"/>
          <w:szCs w:val="24"/>
        </w:rPr>
        <w:t>is</w:t>
      </w:r>
      <w:r w:rsidR="002112D0">
        <w:rPr>
          <w:rFonts w:ascii="Candara" w:eastAsia="Candara" w:hAnsi="Candara" w:cs="Candara"/>
          <w:color w:val="000000"/>
          <w:sz w:val="24"/>
          <w:szCs w:val="24"/>
        </w:rPr>
        <w:t xml:space="preserve"> para </w:t>
      </w:r>
      <w:r w:rsidR="002112D0">
        <w:rPr>
          <w:rFonts w:ascii="Candara" w:eastAsia="Candara" w:hAnsi="Candara" w:cs="Candara"/>
          <w:color w:val="000000"/>
          <w:sz w:val="24"/>
          <w:szCs w:val="24"/>
        </w:rPr>
        <w:t>as relações intergovernamentais</w:t>
      </w:r>
      <w:r w:rsidR="002112D0">
        <w:rPr>
          <w:rFonts w:ascii="Candara" w:eastAsia="Candara" w:hAnsi="Candara" w:cs="Candara"/>
          <w:color w:val="000000"/>
          <w:sz w:val="24"/>
          <w:szCs w:val="24"/>
        </w:rPr>
        <w:t>,</w:t>
      </w:r>
      <w:r w:rsidR="008E5D82">
        <w:rPr>
          <w:rFonts w:ascii="Candara" w:eastAsia="Candara" w:hAnsi="Candara" w:cs="Candara"/>
          <w:color w:val="000000"/>
          <w:sz w:val="24"/>
          <w:szCs w:val="24"/>
        </w:rPr>
        <w:t xml:space="preserve"> dado </w:t>
      </w:r>
      <w:r w:rsidR="00C672E2">
        <w:rPr>
          <w:rFonts w:ascii="Candara" w:eastAsia="Candara" w:hAnsi="Candara" w:cs="Candara"/>
          <w:color w:val="000000"/>
          <w:sz w:val="24"/>
          <w:szCs w:val="24"/>
        </w:rPr>
        <w:t xml:space="preserve">o Governo Central </w:t>
      </w:r>
      <w:r w:rsidR="002112D0">
        <w:rPr>
          <w:rFonts w:ascii="Candara" w:eastAsia="Candara" w:hAnsi="Candara" w:cs="Candara"/>
          <w:color w:val="000000"/>
          <w:sz w:val="24"/>
          <w:szCs w:val="24"/>
        </w:rPr>
        <w:t>ser</w:t>
      </w:r>
      <w:r w:rsidR="006F6B1E">
        <w:rPr>
          <w:rFonts w:ascii="Candara" w:eastAsia="Candara" w:hAnsi="Candara" w:cs="Candara"/>
          <w:color w:val="000000"/>
          <w:sz w:val="24"/>
          <w:szCs w:val="24"/>
        </w:rPr>
        <w:t xml:space="preserve"> o responsável pela </w:t>
      </w:r>
      <w:r w:rsidR="005B21C7">
        <w:rPr>
          <w:rFonts w:ascii="Candara" w:eastAsia="Candara" w:hAnsi="Candara" w:cs="Candara"/>
          <w:color w:val="000000"/>
          <w:sz w:val="24"/>
          <w:szCs w:val="24"/>
        </w:rPr>
        <w:t>formula</w:t>
      </w:r>
      <w:r w:rsidR="006F6B1E">
        <w:rPr>
          <w:rFonts w:ascii="Candara" w:eastAsia="Candara" w:hAnsi="Candara" w:cs="Candara"/>
          <w:color w:val="000000"/>
          <w:sz w:val="24"/>
          <w:szCs w:val="24"/>
        </w:rPr>
        <w:t>ção</w:t>
      </w:r>
      <w:r w:rsidR="005B21C7">
        <w:rPr>
          <w:rFonts w:ascii="Candara" w:eastAsia="Candara" w:hAnsi="Candara" w:cs="Candara"/>
          <w:color w:val="000000"/>
          <w:sz w:val="24"/>
          <w:szCs w:val="24"/>
        </w:rPr>
        <w:t xml:space="preserve"> </w:t>
      </w:r>
      <w:r w:rsidR="0052593C">
        <w:rPr>
          <w:rFonts w:ascii="Candara" w:eastAsia="Candara" w:hAnsi="Candara" w:cs="Candara"/>
          <w:color w:val="000000"/>
          <w:sz w:val="24"/>
          <w:szCs w:val="24"/>
        </w:rPr>
        <w:t>e</w:t>
      </w:r>
      <w:r w:rsidR="008B1BC0">
        <w:rPr>
          <w:rFonts w:ascii="Candara" w:eastAsia="Candara" w:hAnsi="Candara" w:cs="Candara"/>
          <w:color w:val="000000"/>
          <w:sz w:val="24"/>
          <w:szCs w:val="24"/>
        </w:rPr>
        <w:t xml:space="preserve"> normatiza</w:t>
      </w:r>
      <w:r w:rsidR="006F6B1E">
        <w:rPr>
          <w:rFonts w:ascii="Candara" w:eastAsia="Candara" w:hAnsi="Candara" w:cs="Candara"/>
          <w:color w:val="000000"/>
          <w:sz w:val="24"/>
          <w:szCs w:val="24"/>
        </w:rPr>
        <w:t>ção</w:t>
      </w:r>
      <w:r w:rsidR="008B1BC0">
        <w:rPr>
          <w:rFonts w:ascii="Candara" w:eastAsia="Candara" w:hAnsi="Candara" w:cs="Candara"/>
          <w:color w:val="000000"/>
          <w:sz w:val="24"/>
          <w:szCs w:val="24"/>
        </w:rPr>
        <w:t xml:space="preserve"> </w:t>
      </w:r>
      <w:r w:rsidR="006F6B1E">
        <w:rPr>
          <w:rFonts w:ascii="Candara" w:eastAsia="Candara" w:hAnsi="Candara" w:cs="Candara"/>
          <w:color w:val="000000"/>
          <w:sz w:val="24"/>
          <w:szCs w:val="24"/>
        </w:rPr>
        <w:t xml:space="preserve">de </w:t>
      </w:r>
      <w:r w:rsidR="005B21C7">
        <w:rPr>
          <w:rFonts w:ascii="Candara" w:eastAsia="Candara" w:hAnsi="Candara" w:cs="Candara"/>
          <w:color w:val="000000"/>
          <w:sz w:val="24"/>
          <w:szCs w:val="24"/>
        </w:rPr>
        <w:t>tais políticas</w:t>
      </w:r>
      <w:r w:rsidR="003F719B">
        <w:rPr>
          <w:rFonts w:ascii="Candara" w:eastAsia="Candara" w:hAnsi="Candara" w:cs="Candara"/>
          <w:color w:val="000000"/>
          <w:sz w:val="24"/>
          <w:szCs w:val="24"/>
        </w:rPr>
        <w:t>,</w:t>
      </w:r>
      <w:r w:rsidR="008B6C34">
        <w:rPr>
          <w:rFonts w:ascii="Candara" w:eastAsia="Candara" w:hAnsi="Candara" w:cs="Candara"/>
          <w:color w:val="000000"/>
          <w:sz w:val="24"/>
          <w:szCs w:val="24"/>
        </w:rPr>
        <w:t xml:space="preserve"> </w:t>
      </w:r>
      <w:r w:rsidR="008B6C34" w:rsidRPr="008B6C34">
        <w:rPr>
          <w:rFonts w:ascii="Candara" w:eastAsia="Candara" w:hAnsi="Candara" w:cs="Candara"/>
          <w:color w:val="000000"/>
          <w:sz w:val="24"/>
          <w:szCs w:val="24"/>
        </w:rPr>
        <w:t>cujos elementos para a operacionalidade são adotados pelos governos subnacionais, essencialmente, pelos municípios.</w:t>
      </w:r>
      <w:r w:rsidR="008B6C34">
        <w:rPr>
          <w:rFonts w:ascii="Candara" w:eastAsia="Candara" w:hAnsi="Candara" w:cs="Candara"/>
          <w:color w:val="000000"/>
          <w:sz w:val="24"/>
          <w:szCs w:val="24"/>
        </w:rPr>
        <w:t xml:space="preserve"> </w:t>
      </w:r>
      <w:r w:rsidR="00E1323C">
        <w:rPr>
          <w:rFonts w:ascii="Candara" w:eastAsia="Candara" w:hAnsi="Candara" w:cs="Candara"/>
          <w:color w:val="000000"/>
          <w:sz w:val="24"/>
          <w:szCs w:val="24"/>
        </w:rPr>
        <w:t xml:space="preserve">Com isso, </w:t>
      </w:r>
      <w:r w:rsidR="00E1323C" w:rsidRPr="00025959">
        <w:rPr>
          <w:rFonts w:ascii="Candara" w:eastAsia="Candara" w:hAnsi="Candara" w:cs="Candara"/>
          <w:color w:val="000000"/>
          <w:sz w:val="24"/>
          <w:szCs w:val="24"/>
        </w:rPr>
        <w:t xml:space="preserve">pode-se </w:t>
      </w:r>
      <w:r w:rsidR="000B246F">
        <w:rPr>
          <w:rFonts w:ascii="Candara" w:eastAsia="Candara" w:hAnsi="Candara" w:cs="Candara"/>
          <w:color w:val="000000"/>
          <w:sz w:val="24"/>
          <w:szCs w:val="24"/>
        </w:rPr>
        <w:t>atribuir</w:t>
      </w:r>
      <w:r w:rsidR="00E1323C" w:rsidRPr="00025959">
        <w:rPr>
          <w:rFonts w:ascii="Candara" w:eastAsia="Candara" w:hAnsi="Candara" w:cs="Candara"/>
          <w:color w:val="000000"/>
          <w:sz w:val="24"/>
          <w:szCs w:val="24"/>
        </w:rPr>
        <w:t xml:space="preserve"> </w:t>
      </w:r>
      <w:r w:rsidR="007209B7">
        <w:rPr>
          <w:rFonts w:ascii="Candara" w:eastAsia="Candara" w:hAnsi="Candara" w:cs="Candara"/>
          <w:color w:val="000000"/>
          <w:sz w:val="24"/>
          <w:szCs w:val="24"/>
        </w:rPr>
        <w:t>a</w:t>
      </w:r>
      <w:r w:rsidR="00E1323C" w:rsidRPr="00025959">
        <w:rPr>
          <w:rFonts w:ascii="Candara" w:eastAsia="Candara" w:hAnsi="Candara" w:cs="Candara"/>
          <w:color w:val="000000"/>
          <w:sz w:val="24"/>
          <w:szCs w:val="24"/>
        </w:rPr>
        <w:t>os consórcios públicos</w:t>
      </w:r>
      <w:r w:rsidR="00CB0B8C">
        <w:rPr>
          <w:rFonts w:ascii="Candara" w:eastAsia="Candara" w:hAnsi="Candara" w:cs="Candara"/>
          <w:color w:val="000000"/>
          <w:sz w:val="24"/>
          <w:szCs w:val="24"/>
        </w:rPr>
        <w:t>,</w:t>
      </w:r>
      <w:r w:rsidR="003D3D2C">
        <w:rPr>
          <w:rFonts w:ascii="Candara" w:eastAsia="Candara" w:hAnsi="Candara" w:cs="Candara"/>
          <w:color w:val="000000"/>
          <w:sz w:val="24"/>
          <w:szCs w:val="24"/>
        </w:rPr>
        <w:t xml:space="preserve"> um meio</w:t>
      </w:r>
      <w:r w:rsidR="00E1323C" w:rsidRPr="00025959">
        <w:rPr>
          <w:rFonts w:ascii="Candara" w:eastAsia="Candara" w:hAnsi="Candara" w:cs="Candara"/>
          <w:color w:val="000000"/>
          <w:sz w:val="24"/>
          <w:szCs w:val="24"/>
        </w:rPr>
        <w:t xml:space="preserve"> </w:t>
      </w:r>
      <w:r w:rsidR="00E1323C">
        <w:rPr>
          <w:rFonts w:ascii="Candara" w:eastAsia="Candara" w:hAnsi="Candara" w:cs="Candara"/>
          <w:color w:val="000000"/>
          <w:sz w:val="24"/>
          <w:szCs w:val="24"/>
        </w:rPr>
        <w:t>alternativ</w:t>
      </w:r>
      <w:r w:rsidR="003D3D2C">
        <w:rPr>
          <w:rFonts w:ascii="Candara" w:eastAsia="Candara" w:hAnsi="Candara" w:cs="Candara"/>
          <w:color w:val="000000"/>
          <w:sz w:val="24"/>
          <w:szCs w:val="24"/>
        </w:rPr>
        <w:t>o</w:t>
      </w:r>
      <w:r w:rsidR="00CB0B8C">
        <w:rPr>
          <w:rFonts w:ascii="Candara" w:eastAsia="Candara" w:hAnsi="Candara" w:cs="Candara"/>
          <w:color w:val="000000"/>
          <w:sz w:val="24"/>
          <w:szCs w:val="24"/>
        </w:rPr>
        <w:t>,</w:t>
      </w:r>
      <w:r w:rsidR="00E1323C" w:rsidRPr="00025959">
        <w:rPr>
          <w:rFonts w:ascii="Candara" w:eastAsia="Candara" w:hAnsi="Candara" w:cs="Candara"/>
          <w:color w:val="000000"/>
          <w:sz w:val="24"/>
          <w:szCs w:val="24"/>
        </w:rPr>
        <w:t xml:space="preserve"> </w:t>
      </w:r>
      <w:r w:rsidR="006F50A5">
        <w:rPr>
          <w:rFonts w:ascii="Candara" w:eastAsia="Candara" w:hAnsi="Candara" w:cs="Candara"/>
          <w:color w:val="000000"/>
          <w:sz w:val="24"/>
          <w:szCs w:val="24"/>
        </w:rPr>
        <w:t xml:space="preserve">para a formalização de </w:t>
      </w:r>
      <w:r w:rsidR="00E1323C" w:rsidRPr="00025959">
        <w:rPr>
          <w:rFonts w:ascii="Candara" w:eastAsia="Candara" w:hAnsi="Candara" w:cs="Candara"/>
          <w:color w:val="000000"/>
          <w:sz w:val="24"/>
          <w:szCs w:val="24"/>
        </w:rPr>
        <w:t xml:space="preserve">“pactos” </w:t>
      </w:r>
      <w:r w:rsidR="001803E5">
        <w:rPr>
          <w:rFonts w:ascii="Candara" w:eastAsia="Candara" w:hAnsi="Candara" w:cs="Candara"/>
          <w:color w:val="000000"/>
          <w:sz w:val="24"/>
          <w:szCs w:val="24"/>
        </w:rPr>
        <w:t xml:space="preserve">voltados </w:t>
      </w:r>
      <w:r w:rsidR="00E1323C" w:rsidRPr="00025959">
        <w:rPr>
          <w:rFonts w:ascii="Candara" w:eastAsia="Candara" w:hAnsi="Candara" w:cs="Candara"/>
          <w:color w:val="000000"/>
          <w:sz w:val="24"/>
          <w:szCs w:val="24"/>
        </w:rPr>
        <w:t xml:space="preserve">para </w:t>
      </w:r>
      <w:r w:rsidR="00E1323C">
        <w:rPr>
          <w:rFonts w:ascii="Candara" w:eastAsia="Candara" w:hAnsi="Candara" w:cs="Candara"/>
          <w:color w:val="000000"/>
          <w:sz w:val="24"/>
          <w:szCs w:val="24"/>
        </w:rPr>
        <w:t>a execução</w:t>
      </w:r>
      <w:r w:rsidR="00E1323C" w:rsidRPr="00025959">
        <w:rPr>
          <w:rFonts w:ascii="Candara" w:eastAsia="Candara" w:hAnsi="Candara" w:cs="Candara"/>
          <w:color w:val="000000"/>
          <w:sz w:val="24"/>
          <w:szCs w:val="24"/>
        </w:rPr>
        <w:t xml:space="preserve"> de ações compartilhadas, em um amplo espaço de atuação, requerendo uma capacidade de governança que possibilite a negociação</w:t>
      </w:r>
      <w:r w:rsidR="00E1323C">
        <w:rPr>
          <w:rFonts w:ascii="Candara" w:eastAsia="Candara" w:hAnsi="Candara" w:cs="Candara"/>
          <w:color w:val="000000"/>
          <w:sz w:val="24"/>
          <w:szCs w:val="24"/>
        </w:rPr>
        <w:t xml:space="preserve">, podendo </w:t>
      </w:r>
      <w:r w:rsidR="00E1323C" w:rsidRPr="00025959">
        <w:rPr>
          <w:rFonts w:ascii="Candara" w:eastAsia="Candara" w:hAnsi="Candara" w:cs="Candara"/>
          <w:color w:val="000000"/>
          <w:sz w:val="24"/>
          <w:szCs w:val="24"/>
        </w:rPr>
        <w:t>atenuar os conflitos federativ</w:t>
      </w:r>
      <w:r w:rsidR="00E3391D">
        <w:rPr>
          <w:rFonts w:ascii="Candara" w:eastAsia="Candara" w:hAnsi="Candara" w:cs="Candara"/>
          <w:color w:val="000000"/>
          <w:sz w:val="24"/>
          <w:szCs w:val="24"/>
        </w:rPr>
        <w:t>os</w:t>
      </w:r>
      <w:r w:rsidR="00E1323C" w:rsidRPr="00025959">
        <w:rPr>
          <w:rFonts w:ascii="Candara" w:eastAsia="Candara" w:hAnsi="Candara" w:cs="Candara"/>
          <w:color w:val="000000"/>
          <w:sz w:val="24"/>
          <w:szCs w:val="24"/>
        </w:rPr>
        <w:t>.</w:t>
      </w:r>
    </w:p>
    <w:p w14:paraId="0E71E0DD" w14:textId="48D3EB72" w:rsidR="009557AD" w:rsidRDefault="003C6719" w:rsidP="00642608">
      <w:pPr>
        <w:spacing w:after="0" w:line="360" w:lineRule="auto"/>
        <w:ind w:firstLine="851"/>
        <w:jc w:val="both"/>
        <w:rPr>
          <w:rFonts w:ascii="Candara" w:eastAsia="Candara" w:hAnsi="Candara" w:cs="Candara"/>
          <w:color w:val="000000"/>
          <w:sz w:val="24"/>
          <w:szCs w:val="24"/>
        </w:rPr>
      </w:pPr>
      <w:r w:rsidRPr="003C6719">
        <w:rPr>
          <w:rFonts w:ascii="Candara" w:eastAsia="Candara" w:hAnsi="Candara" w:cs="Candara"/>
          <w:color w:val="000000"/>
          <w:sz w:val="24"/>
          <w:szCs w:val="24"/>
        </w:rPr>
        <w:t>Um segundo ponto se refere</w:t>
      </w:r>
      <w:r w:rsidR="00642608">
        <w:rPr>
          <w:rFonts w:ascii="Candara" w:eastAsia="Candara" w:hAnsi="Candara" w:cs="Candara"/>
          <w:color w:val="000000"/>
          <w:sz w:val="24"/>
          <w:szCs w:val="24"/>
        </w:rPr>
        <w:t xml:space="preserve"> </w:t>
      </w:r>
      <w:r w:rsidR="00CE6191" w:rsidRPr="00CE6191">
        <w:rPr>
          <w:rFonts w:ascii="Candara" w:eastAsia="Candara" w:hAnsi="Candara" w:cs="Candara"/>
          <w:color w:val="000000"/>
          <w:sz w:val="24"/>
          <w:szCs w:val="24"/>
        </w:rPr>
        <w:t>a</w:t>
      </w:r>
      <w:r w:rsidR="00D970D4">
        <w:rPr>
          <w:rFonts w:ascii="Candara" w:eastAsia="Candara" w:hAnsi="Candara" w:cs="Candara"/>
          <w:color w:val="000000"/>
          <w:sz w:val="24"/>
          <w:szCs w:val="24"/>
        </w:rPr>
        <w:t>o</w:t>
      </w:r>
      <w:r w:rsidR="00CE6191" w:rsidRPr="00CE6191">
        <w:rPr>
          <w:rFonts w:ascii="Candara" w:eastAsia="Candara" w:hAnsi="Candara" w:cs="Candara"/>
          <w:color w:val="000000"/>
          <w:sz w:val="24"/>
          <w:szCs w:val="24"/>
        </w:rPr>
        <w:t xml:space="preserve"> predom</w:t>
      </w:r>
      <w:r w:rsidR="00D970D4">
        <w:rPr>
          <w:rFonts w:ascii="Candara" w:eastAsia="Candara" w:hAnsi="Candara" w:cs="Candara"/>
          <w:color w:val="000000"/>
          <w:sz w:val="24"/>
          <w:szCs w:val="24"/>
        </w:rPr>
        <w:t>ínio</w:t>
      </w:r>
      <w:r w:rsidR="00CE6191" w:rsidRPr="00CE6191">
        <w:rPr>
          <w:rFonts w:ascii="Candara" w:eastAsia="Candara" w:hAnsi="Candara" w:cs="Candara"/>
          <w:color w:val="000000"/>
          <w:sz w:val="24"/>
          <w:szCs w:val="24"/>
        </w:rPr>
        <w:t xml:space="preserve"> do caráter finalitário dos consórcios públicos,</w:t>
      </w:r>
      <w:r w:rsidR="00514D09">
        <w:rPr>
          <w:rFonts w:ascii="Candara" w:eastAsia="Candara" w:hAnsi="Candara" w:cs="Candara"/>
          <w:color w:val="000000"/>
          <w:sz w:val="24"/>
          <w:szCs w:val="24"/>
        </w:rPr>
        <w:t xml:space="preserve"> especialmente, nos municípios de menor porte populacio</w:t>
      </w:r>
      <w:r w:rsidR="008D5CE6">
        <w:rPr>
          <w:rFonts w:ascii="Candara" w:eastAsia="Candara" w:hAnsi="Candara" w:cs="Candara"/>
          <w:color w:val="000000"/>
          <w:sz w:val="24"/>
          <w:szCs w:val="24"/>
        </w:rPr>
        <w:t>nal (até 20 mil hab.),</w:t>
      </w:r>
      <w:r w:rsidR="00CE6191" w:rsidRPr="00CE6191">
        <w:rPr>
          <w:rFonts w:ascii="Candara" w:eastAsia="Candara" w:hAnsi="Candara" w:cs="Candara"/>
          <w:color w:val="000000"/>
          <w:sz w:val="24"/>
          <w:szCs w:val="24"/>
        </w:rPr>
        <w:t xml:space="preserve"> demonstrando que, ainda, prevalece </w:t>
      </w:r>
      <w:r w:rsidR="008B0365">
        <w:rPr>
          <w:rFonts w:ascii="Candara" w:eastAsia="Candara" w:hAnsi="Candara" w:cs="Candara"/>
          <w:color w:val="000000"/>
          <w:sz w:val="24"/>
          <w:szCs w:val="24"/>
        </w:rPr>
        <w:t>um</w:t>
      </w:r>
      <w:r w:rsidR="00CE6191" w:rsidRPr="00CE6191">
        <w:rPr>
          <w:rFonts w:ascii="Candara" w:eastAsia="Candara" w:hAnsi="Candara" w:cs="Candara"/>
          <w:color w:val="000000"/>
          <w:sz w:val="24"/>
          <w:szCs w:val="24"/>
        </w:rPr>
        <w:t xml:space="preserve">a configuração setorial das Políticas Públicas, cujas ações não são articuladas, podendo </w:t>
      </w:r>
      <w:r w:rsidR="00017C36">
        <w:rPr>
          <w:rFonts w:ascii="Candara" w:eastAsia="Candara" w:hAnsi="Candara" w:cs="Candara"/>
          <w:color w:val="000000"/>
          <w:sz w:val="24"/>
          <w:szCs w:val="24"/>
        </w:rPr>
        <w:t xml:space="preserve">este </w:t>
      </w:r>
      <w:r w:rsidR="00CE6191" w:rsidRPr="00CE6191">
        <w:rPr>
          <w:rFonts w:ascii="Candara" w:eastAsia="Candara" w:hAnsi="Candara" w:cs="Candara"/>
          <w:color w:val="000000"/>
          <w:sz w:val="24"/>
          <w:szCs w:val="24"/>
        </w:rPr>
        <w:t>ser um fator limita</w:t>
      </w:r>
      <w:r w:rsidR="00FE54E4">
        <w:rPr>
          <w:rFonts w:ascii="Candara" w:eastAsia="Candara" w:hAnsi="Candara" w:cs="Candara"/>
          <w:color w:val="000000"/>
          <w:sz w:val="24"/>
          <w:szCs w:val="24"/>
        </w:rPr>
        <w:t>nte</w:t>
      </w:r>
      <w:r w:rsidR="00CE6191" w:rsidRPr="00CE6191">
        <w:rPr>
          <w:rFonts w:ascii="Candara" w:eastAsia="Candara" w:hAnsi="Candara" w:cs="Candara"/>
          <w:color w:val="000000"/>
          <w:sz w:val="24"/>
          <w:szCs w:val="24"/>
        </w:rPr>
        <w:t xml:space="preserve"> para o desenvolvimento</w:t>
      </w:r>
      <w:r w:rsidR="00FE54E4">
        <w:rPr>
          <w:rFonts w:ascii="Candara" w:eastAsia="Candara" w:hAnsi="Candara" w:cs="Candara"/>
          <w:color w:val="000000"/>
          <w:sz w:val="24"/>
          <w:szCs w:val="24"/>
        </w:rPr>
        <w:t xml:space="preserve"> regional</w:t>
      </w:r>
      <w:r w:rsidR="00CE6191" w:rsidRPr="00CE6191">
        <w:rPr>
          <w:rFonts w:ascii="Candara" w:eastAsia="Candara" w:hAnsi="Candara" w:cs="Candara"/>
          <w:color w:val="000000"/>
          <w:sz w:val="24"/>
          <w:szCs w:val="24"/>
        </w:rPr>
        <w:t>.</w:t>
      </w:r>
      <w:r w:rsidR="00963B14">
        <w:rPr>
          <w:rFonts w:ascii="Candara" w:eastAsia="Candara" w:hAnsi="Candara" w:cs="Candara"/>
          <w:color w:val="000000"/>
          <w:sz w:val="24"/>
          <w:szCs w:val="24"/>
        </w:rPr>
        <w:t xml:space="preserve"> </w:t>
      </w:r>
      <w:r w:rsidR="00BF1855">
        <w:rPr>
          <w:rFonts w:ascii="Candara" w:eastAsia="Candara" w:hAnsi="Candara" w:cs="Candara"/>
          <w:color w:val="000000"/>
          <w:sz w:val="24"/>
          <w:szCs w:val="24"/>
        </w:rPr>
        <w:t xml:space="preserve">Já os consórcios </w:t>
      </w:r>
      <w:r w:rsidR="00CE0745" w:rsidRPr="00CE0745">
        <w:rPr>
          <w:rFonts w:ascii="Candara" w:eastAsia="Candara" w:hAnsi="Candara" w:cs="Candara"/>
          <w:color w:val="000000"/>
          <w:sz w:val="24"/>
          <w:szCs w:val="24"/>
        </w:rPr>
        <w:t>multifinalitário</w:t>
      </w:r>
      <w:r w:rsidR="00CE0745">
        <w:rPr>
          <w:rFonts w:ascii="Candara" w:eastAsia="Candara" w:hAnsi="Candara" w:cs="Candara"/>
          <w:color w:val="000000"/>
          <w:sz w:val="24"/>
          <w:szCs w:val="24"/>
        </w:rPr>
        <w:t xml:space="preserve">s </w:t>
      </w:r>
      <w:r w:rsidR="00465738">
        <w:rPr>
          <w:rFonts w:ascii="Candara" w:eastAsia="Candara" w:hAnsi="Candara" w:cs="Candara"/>
          <w:color w:val="000000"/>
          <w:sz w:val="24"/>
          <w:szCs w:val="24"/>
        </w:rPr>
        <w:t xml:space="preserve">por atuar </w:t>
      </w:r>
      <w:r w:rsidR="00F70AC0">
        <w:rPr>
          <w:rFonts w:ascii="Candara" w:eastAsia="Candara" w:hAnsi="Candara" w:cs="Candara"/>
          <w:color w:val="000000"/>
          <w:sz w:val="24"/>
          <w:szCs w:val="24"/>
        </w:rPr>
        <w:t xml:space="preserve">em mais de uma área </w:t>
      </w:r>
      <w:r w:rsidR="00F23CFE">
        <w:rPr>
          <w:rFonts w:ascii="Candara" w:eastAsia="Candara" w:hAnsi="Candara" w:cs="Candara"/>
          <w:color w:val="000000"/>
          <w:sz w:val="24"/>
          <w:szCs w:val="24"/>
        </w:rPr>
        <w:t>setorial</w:t>
      </w:r>
      <w:r w:rsidR="002C07EF">
        <w:rPr>
          <w:rFonts w:ascii="Candara" w:eastAsia="Candara" w:hAnsi="Candara" w:cs="Candara"/>
          <w:color w:val="000000"/>
          <w:sz w:val="24"/>
          <w:szCs w:val="24"/>
        </w:rPr>
        <w:t xml:space="preserve">, </w:t>
      </w:r>
      <w:r w:rsidR="007A1D10">
        <w:rPr>
          <w:rFonts w:ascii="Candara" w:eastAsia="Candara" w:hAnsi="Candara" w:cs="Candara"/>
          <w:color w:val="000000"/>
          <w:sz w:val="24"/>
          <w:szCs w:val="24"/>
        </w:rPr>
        <w:t xml:space="preserve">tem maior potencialidade para </w:t>
      </w:r>
      <w:r w:rsidR="008679A5">
        <w:rPr>
          <w:rFonts w:ascii="Candara" w:eastAsia="Candara" w:hAnsi="Candara" w:cs="Candara"/>
          <w:color w:val="000000"/>
          <w:sz w:val="24"/>
          <w:szCs w:val="24"/>
        </w:rPr>
        <w:t xml:space="preserve">a execução de </w:t>
      </w:r>
      <w:r w:rsidR="008679A5" w:rsidRPr="008679A5">
        <w:rPr>
          <w:rFonts w:ascii="Candara" w:eastAsia="Candara" w:hAnsi="Candara" w:cs="Candara"/>
          <w:color w:val="000000"/>
          <w:sz w:val="24"/>
          <w:szCs w:val="24"/>
        </w:rPr>
        <w:t>ações concretas</w:t>
      </w:r>
      <w:r w:rsidR="001328DA">
        <w:rPr>
          <w:rFonts w:ascii="Candara" w:eastAsia="Candara" w:hAnsi="Candara" w:cs="Candara"/>
          <w:color w:val="000000"/>
          <w:sz w:val="24"/>
          <w:szCs w:val="24"/>
        </w:rPr>
        <w:t>, podendo</w:t>
      </w:r>
      <w:r w:rsidR="00BE402F">
        <w:rPr>
          <w:rFonts w:ascii="Candara" w:eastAsia="Candara" w:hAnsi="Candara" w:cs="Candara"/>
          <w:color w:val="000000"/>
          <w:sz w:val="24"/>
          <w:szCs w:val="24"/>
        </w:rPr>
        <w:t xml:space="preserve"> ser um indutor para o desenvolvimento regional.</w:t>
      </w:r>
    </w:p>
    <w:p w14:paraId="7F01D792" w14:textId="4A007E5F" w:rsidR="00AC2722" w:rsidRDefault="00071D90" w:rsidP="000373EF">
      <w:pPr>
        <w:spacing w:after="0" w:line="360" w:lineRule="auto"/>
        <w:ind w:firstLine="851"/>
        <w:jc w:val="both"/>
        <w:rPr>
          <w:rFonts w:ascii="Candara" w:eastAsia="Candara" w:hAnsi="Candara" w:cs="Candara"/>
          <w:color w:val="000000"/>
          <w:sz w:val="24"/>
          <w:szCs w:val="24"/>
        </w:rPr>
      </w:pPr>
      <w:r w:rsidRPr="00071D90">
        <w:rPr>
          <w:rFonts w:ascii="Candara" w:eastAsia="Candara" w:hAnsi="Candara" w:cs="Candara"/>
          <w:color w:val="000000"/>
          <w:sz w:val="24"/>
          <w:szCs w:val="24"/>
        </w:rPr>
        <w:t>É importante ressaltar que o processo de consorciamento é dinâmico, dado que as mudanças no quadro político local influenciam diretamente a atuação e abrangência territorial dos consórcios públicos. Neste contexto, a expansão e a diversificação da atuação dos consórcios aqui expostos aponta para a potencialidade de atenderem demandas conforme as especificidades de âmbito regional. Ao mesmo tempo, expõe a necessidade de novos estudos, para que novos entendimentos sejam formalizados, objetivando aperfeiçoar os mecanismos institucionais de cooperação horizontal, fortalecendo as pontes que permitem as relações entre o local e a região.</w:t>
      </w:r>
    </w:p>
    <w:p w14:paraId="21B943D2" w14:textId="0AB2FD7E" w:rsidR="008C7659" w:rsidRDefault="008C7659">
      <w:pPr>
        <w:rPr>
          <w:rFonts w:ascii="Candara" w:eastAsia="Candara" w:hAnsi="Candara" w:cs="Candara"/>
          <w:color w:val="000000"/>
          <w:sz w:val="24"/>
          <w:szCs w:val="24"/>
        </w:rPr>
      </w:pPr>
      <w:r>
        <w:rPr>
          <w:rFonts w:ascii="Candara" w:eastAsia="Candara" w:hAnsi="Candara" w:cs="Candara"/>
          <w:color w:val="000000"/>
          <w:sz w:val="24"/>
          <w:szCs w:val="24"/>
        </w:rPr>
        <w:br w:type="page"/>
      </w:r>
    </w:p>
    <w:p w14:paraId="331E1522" w14:textId="7CF077BC" w:rsidR="009E4A0F" w:rsidRPr="004273AD" w:rsidRDefault="00A42958" w:rsidP="00CE51FD">
      <w:pPr>
        <w:spacing w:after="0" w:line="360" w:lineRule="auto"/>
        <w:jc w:val="both"/>
        <w:rPr>
          <w:rFonts w:ascii="Candara" w:eastAsia="Candara" w:hAnsi="Candara" w:cs="Candara"/>
          <w:b/>
          <w:bCs/>
          <w:color w:val="000000"/>
          <w:sz w:val="28"/>
          <w:szCs w:val="28"/>
        </w:rPr>
      </w:pPr>
      <w:r w:rsidRPr="004273AD">
        <w:rPr>
          <w:rFonts w:ascii="Candara" w:eastAsia="Candara" w:hAnsi="Candara" w:cs="Candara"/>
          <w:b/>
          <w:bCs/>
          <w:color w:val="000000"/>
          <w:sz w:val="28"/>
          <w:szCs w:val="28"/>
        </w:rPr>
        <w:lastRenderedPageBreak/>
        <w:t>R</w:t>
      </w:r>
      <w:r w:rsidR="00673469" w:rsidRPr="004273AD">
        <w:rPr>
          <w:rFonts w:ascii="Candara" w:eastAsia="Candara" w:hAnsi="Candara" w:cs="Candara"/>
          <w:b/>
          <w:bCs/>
          <w:color w:val="000000"/>
          <w:sz w:val="28"/>
          <w:szCs w:val="28"/>
        </w:rPr>
        <w:t>eferências</w:t>
      </w:r>
    </w:p>
    <w:p w14:paraId="48150111" w14:textId="692265AD" w:rsid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ARRETCHE, M</w:t>
      </w:r>
      <w:r w:rsidR="00E16301">
        <w:rPr>
          <w:rFonts w:ascii="Candara" w:eastAsia="Candara" w:hAnsi="Candara" w:cs="Candara"/>
          <w:color w:val="000000"/>
          <w:sz w:val="24"/>
          <w:szCs w:val="24"/>
        </w:rPr>
        <w:t>arta</w:t>
      </w:r>
      <w:r w:rsidRPr="00357176">
        <w:rPr>
          <w:rFonts w:ascii="Candara" w:eastAsia="Candara" w:hAnsi="Candara" w:cs="Candara"/>
          <w:color w:val="000000"/>
          <w:sz w:val="24"/>
          <w:szCs w:val="24"/>
        </w:rPr>
        <w:t xml:space="preserve">. Federalismo e igualdade territorial: uma contradição em termos? DADOS, </w:t>
      </w:r>
      <w:r w:rsidRPr="00034383">
        <w:rPr>
          <w:rFonts w:ascii="Candara" w:eastAsia="Candara" w:hAnsi="Candara" w:cs="Candara"/>
          <w:i/>
          <w:iCs/>
          <w:color w:val="000000"/>
          <w:sz w:val="24"/>
          <w:szCs w:val="24"/>
        </w:rPr>
        <w:t>Revista de Ciências Sociais</w:t>
      </w:r>
      <w:r w:rsidRPr="00357176">
        <w:rPr>
          <w:rFonts w:ascii="Candara" w:eastAsia="Candara" w:hAnsi="Candara" w:cs="Candara"/>
          <w:color w:val="000000"/>
          <w:sz w:val="24"/>
          <w:szCs w:val="24"/>
        </w:rPr>
        <w:t xml:space="preserve">, Rio de Janeiro, v. 53, n. 3, p. 587-620, 2010. DOI: </w:t>
      </w:r>
      <w:hyperlink r:id="rId11" w:history="1">
        <w:r w:rsidR="004515C2" w:rsidRPr="009A08D6">
          <w:rPr>
            <w:rStyle w:val="Hyperlink"/>
            <w:rFonts w:ascii="Candara" w:eastAsia="Candara" w:hAnsi="Candara" w:cs="Candara"/>
            <w:sz w:val="24"/>
            <w:szCs w:val="24"/>
          </w:rPr>
          <w:t>https://doi.org/10.1590/S0011-52582010000300003</w:t>
        </w:r>
      </w:hyperlink>
      <w:r w:rsidRPr="00357176">
        <w:rPr>
          <w:rFonts w:ascii="Candara" w:eastAsia="Candara" w:hAnsi="Candara" w:cs="Candara"/>
          <w:color w:val="000000"/>
          <w:sz w:val="24"/>
          <w:szCs w:val="24"/>
        </w:rPr>
        <w:t xml:space="preserve">. Disponível em: </w:t>
      </w:r>
      <w:hyperlink r:id="rId12" w:history="1">
        <w:r w:rsidR="004515C2" w:rsidRPr="009A08D6">
          <w:rPr>
            <w:rStyle w:val="Hyperlink"/>
            <w:rFonts w:ascii="Candara" w:eastAsia="Candara" w:hAnsi="Candara" w:cs="Candara"/>
            <w:sz w:val="24"/>
            <w:szCs w:val="24"/>
          </w:rPr>
          <w:t>https://www.scielo.br/j/dados/a/Lrm7KQHYssvHZk6GmRrrnfF/</w:t>
        </w:r>
      </w:hyperlink>
      <w:r w:rsidRPr="00357176">
        <w:rPr>
          <w:rFonts w:ascii="Candara" w:eastAsia="Candara" w:hAnsi="Candara" w:cs="Candara"/>
          <w:color w:val="000000"/>
          <w:sz w:val="24"/>
          <w:szCs w:val="24"/>
        </w:rPr>
        <w:t>. Acesso</w:t>
      </w:r>
      <w:r w:rsidR="009628C1">
        <w:rPr>
          <w:rFonts w:ascii="Candara" w:eastAsia="Candara" w:hAnsi="Candara" w:cs="Candara"/>
          <w:color w:val="000000"/>
          <w:sz w:val="24"/>
          <w:szCs w:val="24"/>
        </w:rPr>
        <w:t xml:space="preserve"> </w:t>
      </w:r>
      <w:r w:rsidRPr="00357176">
        <w:rPr>
          <w:rFonts w:ascii="Candara" w:eastAsia="Candara" w:hAnsi="Candara" w:cs="Candara"/>
          <w:color w:val="000000"/>
          <w:sz w:val="24"/>
          <w:szCs w:val="24"/>
        </w:rPr>
        <w:t>em: 3 jun. 2024.</w:t>
      </w:r>
    </w:p>
    <w:p w14:paraId="68D6CB7B" w14:textId="77777777" w:rsidR="00357176" w:rsidRP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 xml:space="preserve">______. </w:t>
      </w:r>
      <w:r w:rsidRPr="00D41ABE">
        <w:rPr>
          <w:rFonts w:ascii="Candara" w:eastAsia="Candara" w:hAnsi="Candara" w:cs="Candara"/>
          <w:i/>
          <w:iCs/>
          <w:color w:val="000000"/>
          <w:sz w:val="24"/>
          <w:szCs w:val="24"/>
        </w:rPr>
        <w:t>Democracia, federalismo e centralização no Brasil</w:t>
      </w:r>
      <w:r w:rsidRPr="00357176">
        <w:rPr>
          <w:rFonts w:ascii="Candara" w:eastAsia="Candara" w:hAnsi="Candara" w:cs="Candara"/>
          <w:color w:val="000000"/>
          <w:sz w:val="24"/>
          <w:szCs w:val="24"/>
        </w:rPr>
        <w:t>. Rio de Janeiro: Editora FGV; Editora Fiocruz, 2012.</w:t>
      </w:r>
    </w:p>
    <w:p w14:paraId="13491384" w14:textId="33EECDA8" w:rsidR="00357176" w:rsidRPr="00357176" w:rsidRDefault="00357176" w:rsidP="00706157">
      <w:pPr>
        <w:spacing w:after="100" w:line="240" w:lineRule="auto"/>
        <w:jc w:val="both"/>
        <w:rPr>
          <w:rFonts w:ascii="Candara" w:eastAsia="Candara" w:hAnsi="Candara" w:cs="Candara"/>
          <w:color w:val="000000"/>
          <w:sz w:val="24"/>
          <w:szCs w:val="24"/>
          <w:lang w:val="en-US"/>
        </w:rPr>
      </w:pPr>
      <w:r w:rsidRPr="00357176">
        <w:rPr>
          <w:rFonts w:ascii="Candara" w:eastAsia="Candara" w:hAnsi="Candara" w:cs="Candara"/>
          <w:color w:val="000000"/>
          <w:sz w:val="24"/>
          <w:szCs w:val="24"/>
          <w:lang w:val="en-US"/>
        </w:rPr>
        <w:t>ARROW, K</w:t>
      </w:r>
      <w:r w:rsidR="004C553A">
        <w:rPr>
          <w:rFonts w:ascii="Candara" w:eastAsia="Candara" w:hAnsi="Candara" w:cs="Candara"/>
          <w:color w:val="000000"/>
          <w:sz w:val="24"/>
          <w:szCs w:val="24"/>
          <w:lang w:val="en-US"/>
        </w:rPr>
        <w:t>enne</w:t>
      </w:r>
      <w:r w:rsidR="001E7377">
        <w:rPr>
          <w:rFonts w:ascii="Candara" w:eastAsia="Candara" w:hAnsi="Candara" w:cs="Candara"/>
          <w:color w:val="000000"/>
          <w:sz w:val="24"/>
          <w:szCs w:val="24"/>
          <w:lang w:val="en-US"/>
        </w:rPr>
        <w:t>th</w:t>
      </w:r>
      <w:r w:rsidRPr="00357176">
        <w:rPr>
          <w:rFonts w:ascii="Candara" w:eastAsia="Candara" w:hAnsi="Candara" w:cs="Candara"/>
          <w:color w:val="000000"/>
          <w:sz w:val="24"/>
          <w:szCs w:val="24"/>
          <w:lang w:val="en-US"/>
        </w:rPr>
        <w:t xml:space="preserve"> J</w:t>
      </w:r>
      <w:r w:rsidR="001E7377">
        <w:rPr>
          <w:rFonts w:ascii="Candara" w:eastAsia="Candara" w:hAnsi="Candara" w:cs="Candara"/>
          <w:color w:val="000000"/>
          <w:sz w:val="24"/>
          <w:szCs w:val="24"/>
          <w:lang w:val="en-US"/>
        </w:rPr>
        <w:t>ose</w:t>
      </w:r>
      <w:r w:rsidR="004909FF">
        <w:rPr>
          <w:rFonts w:ascii="Candara" w:eastAsia="Candara" w:hAnsi="Candara" w:cs="Candara"/>
          <w:color w:val="000000"/>
          <w:sz w:val="24"/>
          <w:szCs w:val="24"/>
          <w:lang w:val="en-US"/>
        </w:rPr>
        <w:t>ph</w:t>
      </w:r>
      <w:r w:rsidRPr="00357176">
        <w:rPr>
          <w:rFonts w:ascii="Candara" w:eastAsia="Candara" w:hAnsi="Candara" w:cs="Candara"/>
          <w:color w:val="000000"/>
          <w:sz w:val="24"/>
          <w:szCs w:val="24"/>
          <w:lang w:val="en-US"/>
        </w:rPr>
        <w:t xml:space="preserve">. </w:t>
      </w:r>
      <w:r w:rsidRPr="00D41ABE">
        <w:rPr>
          <w:rFonts w:ascii="Candara" w:eastAsia="Candara" w:hAnsi="Candara" w:cs="Candara"/>
          <w:i/>
          <w:iCs/>
          <w:color w:val="000000"/>
          <w:sz w:val="24"/>
          <w:szCs w:val="24"/>
          <w:lang w:val="en-US"/>
        </w:rPr>
        <w:t>Social choice and individual values</w:t>
      </w:r>
      <w:r w:rsidRPr="00357176">
        <w:rPr>
          <w:rFonts w:ascii="Candara" w:eastAsia="Candara" w:hAnsi="Candara" w:cs="Candara"/>
          <w:color w:val="000000"/>
          <w:sz w:val="24"/>
          <w:szCs w:val="24"/>
          <w:lang w:val="en-US"/>
        </w:rPr>
        <w:t>. 2 ed., New York, Wiley, [c1951], 1963.</w:t>
      </w:r>
    </w:p>
    <w:p w14:paraId="757E5CA8" w14:textId="280807F3" w:rsidR="00357176" w:rsidRP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BRANDÃO, C</w:t>
      </w:r>
      <w:r w:rsidR="009878A1">
        <w:rPr>
          <w:rFonts w:ascii="Candara" w:eastAsia="Candara" w:hAnsi="Candara" w:cs="Candara"/>
          <w:color w:val="000000"/>
          <w:sz w:val="24"/>
          <w:szCs w:val="24"/>
        </w:rPr>
        <w:t>arlos</w:t>
      </w:r>
      <w:r w:rsidRPr="00357176">
        <w:rPr>
          <w:rFonts w:ascii="Candara" w:eastAsia="Candara" w:hAnsi="Candara" w:cs="Candara"/>
          <w:color w:val="000000"/>
          <w:sz w:val="24"/>
          <w:szCs w:val="24"/>
        </w:rPr>
        <w:t xml:space="preserve">. </w:t>
      </w:r>
      <w:r w:rsidRPr="00D52557">
        <w:rPr>
          <w:rFonts w:ascii="Candara" w:eastAsia="Candara" w:hAnsi="Candara" w:cs="Candara"/>
          <w:i/>
          <w:iCs/>
          <w:color w:val="000000"/>
          <w:sz w:val="24"/>
          <w:szCs w:val="24"/>
        </w:rPr>
        <w:t>Território e desenvolvimento: as múltiplas escalas entre o local e o global</w:t>
      </w:r>
      <w:r w:rsidRPr="00357176">
        <w:rPr>
          <w:rFonts w:ascii="Candara" w:eastAsia="Candara" w:hAnsi="Candara" w:cs="Candara"/>
          <w:color w:val="000000"/>
          <w:sz w:val="24"/>
          <w:szCs w:val="24"/>
        </w:rPr>
        <w:t>. 2 ed. Campinas, SP: Editora da UNICAMP, 2012.</w:t>
      </w:r>
    </w:p>
    <w:p w14:paraId="0BB59198" w14:textId="3D324027" w:rsidR="00357176" w:rsidRP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 xml:space="preserve">BRASIL. [Constituição (1988)]. </w:t>
      </w:r>
      <w:r w:rsidRPr="006B2E21">
        <w:rPr>
          <w:rFonts w:ascii="Candara" w:eastAsia="Candara" w:hAnsi="Candara" w:cs="Candara"/>
          <w:i/>
          <w:iCs/>
          <w:color w:val="000000"/>
          <w:sz w:val="24"/>
          <w:szCs w:val="24"/>
        </w:rPr>
        <w:t>Constituição da República Federativa do Brasil de 1988</w:t>
      </w:r>
      <w:r w:rsidRPr="00645941">
        <w:rPr>
          <w:rFonts w:ascii="Candara" w:eastAsia="Candara" w:hAnsi="Candara" w:cs="Candara"/>
          <w:color w:val="000000"/>
          <w:sz w:val="24"/>
          <w:szCs w:val="24"/>
        </w:rPr>
        <w:t>.</w:t>
      </w:r>
      <w:r w:rsidRPr="00357176">
        <w:rPr>
          <w:rFonts w:ascii="Candara" w:eastAsia="Candara" w:hAnsi="Candara" w:cs="Candara"/>
          <w:color w:val="000000"/>
          <w:sz w:val="24"/>
          <w:szCs w:val="24"/>
        </w:rPr>
        <w:t xml:space="preserve"> Brasília, DF: Presidência da República, [2024]. Disponível em: </w:t>
      </w:r>
      <w:hyperlink r:id="rId13" w:history="1">
        <w:r w:rsidR="00EB5A59" w:rsidRPr="009A08D6">
          <w:rPr>
            <w:rStyle w:val="Hyperlink"/>
            <w:rFonts w:ascii="Candara" w:eastAsia="Candara" w:hAnsi="Candara" w:cs="Candara"/>
            <w:sz w:val="24"/>
            <w:szCs w:val="24"/>
          </w:rPr>
          <w:t>https://www.planalto.gov.br/ccivil_03/consti-tuicao/constituicao.htm</w:t>
        </w:r>
      </w:hyperlink>
      <w:r w:rsidRPr="00357176">
        <w:rPr>
          <w:rFonts w:ascii="Candara" w:eastAsia="Candara" w:hAnsi="Candara" w:cs="Candara"/>
          <w:color w:val="000000"/>
          <w:sz w:val="24"/>
          <w:szCs w:val="24"/>
        </w:rPr>
        <w:t>. Acesso em: 30 jan. 2024.</w:t>
      </w:r>
    </w:p>
    <w:p w14:paraId="4F9F31BC" w14:textId="11C61DE1" w:rsidR="00357176" w:rsidRP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 xml:space="preserve">______. </w:t>
      </w:r>
      <w:r w:rsidRPr="006B2E21">
        <w:rPr>
          <w:rFonts w:ascii="Candara" w:eastAsia="Candara" w:hAnsi="Candara" w:cs="Candara"/>
          <w:i/>
          <w:iCs/>
          <w:color w:val="000000"/>
          <w:sz w:val="24"/>
          <w:szCs w:val="24"/>
        </w:rPr>
        <w:t>Decreto nº 6.017, de 17 de janeiro de 2007</w:t>
      </w:r>
      <w:r w:rsidRPr="00357176">
        <w:rPr>
          <w:rFonts w:ascii="Candara" w:eastAsia="Candara" w:hAnsi="Candara" w:cs="Candara"/>
          <w:color w:val="000000"/>
          <w:sz w:val="24"/>
          <w:szCs w:val="24"/>
        </w:rPr>
        <w:t xml:space="preserve">. Regulamenta a Lei nº 11.107, de 6 de abril de 2005, que dispõe sobre normas gerais de contratação de consórcios públicos. Brasília, DF: Presidência da República, [2024]. Disponível em: </w:t>
      </w:r>
      <w:hyperlink r:id="rId14" w:history="1">
        <w:r w:rsidR="00EB5A59" w:rsidRPr="009A08D6">
          <w:rPr>
            <w:rStyle w:val="Hyperlink"/>
            <w:rFonts w:ascii="Candara" w:eastAsia="Candara" w:hAnsi="Candara" w:cs="Candara"/>
            <w:sz w:val="24"/>
            <w:szCs w:val="24"/>
          </w:rPr>
          <w:t>http://www.planalto.gov.br/ccivil_03/_Ato2007-2010/2007/Decreto/D6017.htm</w:t>
        </w:r>
      </w:hyperlink>
      <w:r w:rsidRPr="00357176">
        <w:rPr>
          <w:rFonts w:ascii="Candara" w:eastAsia="Candara" w:hAnsi="Candara" w:cs="Candara"/>
          <w:color w:val="000000"/>
          <w:sz w:val="24"/>
          <w:szCs w:val="24"/>
        </w:rPr>
        <w:t>. Acesso em: 14 maio 2024.</w:t>
      </w:r>
    </w:p>
    <w:p w14:paraId="2943D802" w14:textId="1A8A464B" w:rsidR="00357176" w:rsidRPr="00CF32DD" w:rsidRDefault="00357176" w:rsidP="00706157">
      <w:pPr>
        <w:spacing w:after="100" w:line="240" w:lineRule="auto"/>
        <w:jc w:val="both"/>
        <w:rPr>
          <w:rFonts w:ascii="Candara" w:eastAsia="Candara" w:hAnsi="Candara" w:cs="Candara"/>
          <w:color w:val="000000"/>
          <w:sz w:val="24"/>
          <w:szCs w:val="24"/>
          <w:lang w:val="en-US"/>
        </w:rPr>
      </w:pPr>
      <w:r w:rsidRPr="00357176">
        <w:rPr>
          <w:rFonts w:ascii="Candara" w:eastAsia="Candara" w:hAnsi="Candara" w:cs="Candara"/>
          <w:color w:val="000000"/>
          <w:sz w:val="24"/>
          <w:szCs w:val="24"/>
        </w:rPr>
        <w:t xml:space="preserve">______. </w:t>
      </w:r>
      <w:r w:rsidRPr="006B2E21">
        <w:rPr>
          <w:rFonts w:ascii="Candara" w:eastAsia="Candara" w:hAnsi="Candara" w:cs="Candara"/>
          <w:i/>
          <w:iCs/>
          <w:color w:val="000000"/>
          <w:sz w:val="24"/>
          <w:szCs w:val="24"/>
        </w:rPr>
        <w:t>Lei nº 11.107, de 6 de abril de 2005</w:t>
      </w:r>
      <w:r w:rsidRPr="00357176">
        <w:rPr>
          <w:rFonts w:ascii="Candara" w:eastAsia="Candara" w:hAnsi="Candara" w:cs="Candara"/>
          <w:color w:val="000000"/>
          <w:sz w:val="24"/>
          <w:szCs w:val="24"/>
        </w:rPr>
        <w:t xml:space="preserve">. Dispõe sobre normas gerais de contratação de consórcios públicos e dá outras providências. Brasília, DF: Presidência da República, [2024]. Disponível em: </w:t>
      </w:r>
      <w:hyperlink r:id="rId15" w:history="1">
        <w:r w:rsidR="00EB5A59" w:rsidRPr="009A08D6">
          <w:rPr>
            <w:rStyle w:val="Hyperlink"/>
            <w:rFonts w:ascii="Candara" w:eastAsia="Candara" w:hAnsi="Candara" w:cs="Candara"/>
            <w:sz w:val="24"/>
            <w:szCs w:val="24"/>
          </w:rPr>
          <w:t>http://www.planalto.gov.br/ccivil_03/_ato2004-2006/2005/lei/l11107.htm</w:t>
        </w:r>
      </w:hyperlink>
      <w:r w:rsidRPr="00357176">
        <w:rPr>
          <w:rFonts w:ascii="Candara" w:eastAsia="Candara" w:hAnsi="Candara" w:cs="Candara"/>
          <w:color w:val="000000"/>
          <w:sz w:val="24"/>
          <w:szCs w:val="24"/>
        </w:rPr>
        <w:t xml:space="preserve">. </w:t>
      </w:r>
      <w:r w:rsidRPr="00CF32DD">
        <w:rPr>
          <w:rFonts w:ascii="Candara" w:eastAsia="Candara" w:hAnsi="Candara" w:cs="Candara"/>
          <w:color w:val="000000"/>
          <w:sz w:val="24"/>
          <w:szCs w:val="24"/>
          <w:lang w:val="en-US"/>
        </w:rPr>
        <w:t>Acesso em: 30 jan. 2024.</w:t>
      </w:r>
    </w:p>
    <w:p w14:paraId="2AC28EFB" w14:textId="5DC459E7" w:rsidR="00357176" w:rsidRPr="00357176" w:rsidRDefault="00357176" w:rsidP="00706157">
      <w:pPr>
        <w:spacing w:after="100" w:line="240" w:lineRule="auto"/>
        <w:jc w:val="both"/>
        <w:rPr>
          <w:rFonts w:ascii="Candara" w:eastAsia="Candara" w:hAnsi="Candara" w:cs="Candara"/>
          <w:color w:val="000000"/>
          <w:sz w:val="24"/>
          <w:szCs w:val="24"/>
          <w:lang w:val="en-US"/>
        </w:rPr>
      </w:pPr>
      <w:r w:rsidRPr="00357176">
        <w:rPr>
          <w:rFonts w:ascii="Candara" w:eastAsia="Candara" w:hAnsi="Candara" w:cs="Candara"/>
          <w:color w:val="000000"/>
          <w:sz w:val="24"/>
          <w:szCs w:val="24"/>
          <w:lang w:val="en-US"/>
        </w:rPr>
        <w:t>BUCHANAN, J</w:t>
      </w:r>
      <w:r w:rsidR="003B3B5B">
        <w:rPr>
          <w:rFonts w:ascii="Candara" w:eastAsia="Candara" w:hAnsi="Candara" w:cs="Candara"/>
          <w:color w:val="000000"/>
          <w:sz w:val="24"/>
          <w:szCs w:val="24"/>
          <w:lang w:val="en-US"/>
        </w:rPr>
        <w:t>ames</w:t>
      </w:r>
      <w:r w:rsidRPr="00357176">
        <w:rPr>
          <w:rFonts w:ascii="Candara" w:eastAsia="Candara" w:hAnsi="Candara" w:cs="Candara"/>
          <w:color w:val="000000"/>
          <w:sz w:val="24"/>
          <w:szCs w:val="24"/>
          <w:lang w:val="en-US"/>
        </w:rPr>
        <w:t>.; TULLOCK, G</w:t>
      </w:r>
      <w:r w:rsidR="00595373">
        <w:rPr>
          <w:rFonts w:ascii="Candara" w:eastAsia="Candara" w:hAnsi="Candara" w:cs="Candara"/>
          <w:color w:val="000000"/>
          <w:sz w:val="24"/>
          <w:szCs w:val="24"/>
          <w:lang w:val="en-US"/>
        </w:rPr>
        <w:t>ordon</w:t>
      </w:r>
      <w:r w:rsidRPr="00357176">
        <w:rPr>
          <w:rFonts w:ascii="Candara" w:eastAsia="Candara" w:hAnsi="Candara" w:cs="Candara"/>
          <w:color w:val="000000"/>
          <w:sz w:val="24"/>
          <w:szCs w:val="24"/>
          <w:lang w:val="en-US"/>
        </w:rPr>
        <w:t xml:space="preserve">. </w:t>
      </w:r>
      <w:r w:rsidRPr="003B3B5B">
        <w:rPr>
          <w:rFonts w:ascii="Candara" w:eastAsia="Candara" w:hAnsi="Candara" w:cs="Candara"/>
          <w:i/>
          <w:iCs/>
          <w:color w:val="000000"/>
          <w:sz w:val="24"/>
          <w:szCs w:val="24"/>
          <w:lang w:val="en-US"/>
        </w:rPr>
        <w:t>The Calculus of Consent</w:t>
      </w:r>
      <w:r w:rsidRPr="00357176">
        <w:rPr>
          <w:rFonts w:ascii="Candara" w:eastAsia="Candara" w:hAnsi="Candara" w:cs="Candara"/>
          <w:color w:val="000000"/>
          <w:sz w:val="24"/>
          <w:szCs w:val="24"/>
          <w:lang w:val="en-US"/>
        </w:rPr>
        <w:t>. Ann Arbor, University of Michigan Press, 1962.</w:t>
      </w:r>
    </w:p>
    <w:p w14:paraId="04F40D40" w14:textId="0FEA348C" w:rsidR="00357176" w:rsidRP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GRIN, E</w:t>
      </w:r>
      <w:r w:rsidR="00D34A03">
        <w:rPr>
          <w:rFonts w:ascii="Candara" w:eastAsia="Candara" w:hAnsi="Candara" w:cs="Candara"/>
          <w:color w:val="000000"/>
          <w:sz w:val="24"/>
          <w:szCs w:val="24"/>
        </w:rPr>
        <w:t>duardo</w:t>
      </w:r>
      <w:r w:rsidRPr="00357176">
        <w:rPr>
          <w:rFonts w:ascii="Candara" w:eastAsia="Candara" w:hAnsi="Candara" w:cs="Candara"/>
          <w:color w:val="000000"/>
          <w:sz w:val="24"/>
          <w:szCs w:val="24"/>
        </w:rPr>
        <w:t xml:space="preserve"> J</w:t>
      </w:r>
      <w:r w:rsidR="00D34A03">
        <w:rPr>
          <w:rFonts w:ascii="Candara" w:eastAsia="Candara" w:hAnsi="Candara" w:cs="Candara"/>
          <w:color w:val="000000"/>
          <w:sz w:val="24"/>
          <w:szCs w:val="24"/>
        </w:rPr>
        <w:t>osé</w:t>
      </w:r>
      <w:r w:rsidRPr="00357176">
        <w:rPr>
          <w:rFonts w:ascii="Candara" w:eastAsia="Candara" w:hAnsi="Candara" w:cs="Candara"/>
          <w:color w:val="000000"/>
          <w:sz w:val="24"/>
          <w:szCs w:val="24"/>
        </w:rPr>
        <w:t>.; ABRUCIO, F</w:t>
      </w:r>
      <w:r w:rsidR="00D34A03">
        <w:rPr>
          <w:rFonts w:ascii="Candara" w:eastAsia="Candara" w:hAnsi="Candara" w:cs="Candara"/>
          <w:color w:val="000000"/>
          <w:sz w:val="24"/>
          <w:szCs w:val="24"/>
        </w:rPr>
        <w:t>ernando</w:t>
      </w:r>
      <w:r w:rsidRPr="00357176">
        <w:rPr>
          <w:rFonts w:ascii="Candara" w:eastAsia="Candara" w:hAnsi="Candara" w:cs="Candara"/>
          <w:color w:val="000000"/>
          <w:sz w:val="24"/>
          <w:szCs w:val="24"/>
        </w:rPr>
        <w:t xml:space="preserve"> L</w:t>
      </w:r>
      <w:r w:rsidR="00D34A03">
        <w:rPr>
          <w:rFonts w:ascii="Candara" w:eastAsia="Candara" w:hAnsi="Candara" w:cs="Candara"/>
          <w:color w:val="000000"/>
          <w:sz w:val="24"/>
          <w:szCs w:val="24"/>
        </w:rPr>
        <w:t>uiz</w:t>
      </w:r>
      <w:r w:rsidRPr="00357176">
        <w:rPr>
          <w:rFonts w:ascii="Candara" w:eastAsia="Candara" w:hAnsi="Candara" w:cs="Candara"/>
          <w:color w:val="000000"/>
          <w:sz w:val="24"/>
          <w:szCs w:val="24"/>
        </w:rPr>
        <w:t xml:space="preserve">. </w:t>
      </w:r>
      <w:r w:rsidRPr="00D94C4D">
        <w:rPr>
          <w:rFonts w:ascii="Candara" w:eastAsia="Candara" w:hAnsi="Candara" w:cs="Candara"/>
          <w:i/>
          <w:iCs/>
          <w:color w:val="000000"/>
          <w:sz w:val="24"/>
          <w:szCs w:val="24"/>
        </w:rPr>
        <w:t>Governos locais: uma leitura introdutória</w:t>
      </w:r>
      <w:r w:rsidRPr="00357176">
        <w:rPr>
          <w:rFonts w:ascii="Candara" w:eastAsia="Candara" w:hAnsi="Candara" w:cs="Candara"/>
          <w:color w:val="000000"/>
          <w:sz w:val="24"/>
          <w:szCs w:val="24"/>
        </w:rPr>
        <w:t>. Brasília: Enap, 2019.</w:t>
      </w:r>
    </w:p>
    <w:p w14:paraId="21AD1077" w14:textId="25F01DE0" w:rsidR="00357176" w:rsidRP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 xml:space="preserve">INSTITUTO BRASILEIRO DE GEOGRAFIA E ESTATÍSTICA (IBGE). Pesquisa de Informações Básicas Municipais. </w:t>
      </w:r>
      <w:r w:rsidRPr="00CA5C8D">
        <w:rPr>
          <w:rFonts w:ascii="Candara" w:eastAsia="Candara" w:hAnsi="Candara" w:cs="Candara"/>
          <w:i/>
          <w:iCs/>
          <w:color w:val="000000"/>
          <w:sz w:val="24"/>
          <w:szCs w:val="24"/>
        </w:rPr>
        <w:t>Perfil dos municípios brasileiros 2019</w:t>
      </w:r>
      <w:r w:rsidRPr="00357176">
        <w:rPr>
          <w:rFonts w:ascii="Candara" w:eastAsia="Candara" w:hAnsi="Candara" w:cs="Candara"/>
          <w:color w:val="000000"/>
          <w:sz w:val="24"/>
          <w:szCs w:val="24"/>
        </w:rPr>
        <w:t xml:space="preserve">. Coordenação de População e Indicadores Sociais. Rio de Janeiro: IBGE, 2020. Disponível em: </w:t>
      </w:r>
      <w:hyperlink r:id="rId16" w:history="1">
        <w:r w:rsidR="00F10072" w:rsidRPr="009A08D6">
          <w:rPr>
            <w:rStyle w:val="Hyperlink"/>
            <w:rFonts w:ascii="Candara" w:eastAsia="Candara" w:hAnsi="Candara" w:cs="Candara"/>
            <w:sz w:val="24"/>
            <w:szCs w:val="24"/>
          </w:rPr>
          <w:t>https://biblioteca.ibge.gov.br/visualiza-cao/livros/liv101770.pdf</w:t>
        </w:r>
      </w:hyperlink>
      <w:r w:rsidRPr="00357176">
        <w:rPr>
          <w:rFonts w:ascii="Candara" w:eastAsia="Candara" w:hAnsi="Candara" w:cs="Candara"/>
          <w:color w:val="000000"/>
          <w:sz w:val="24"/>
          <w:szCs w:val="24"/>
        </w:rPr>
        <w:t>. Acesso</w:t>
      </w:r>
      <w:r w:rsidR="009628C1">
        <w:rPr>
          <w:rFonts w:ascii="Candara" w:eastAsia="Candara" w:hAnsi="Candara" w:cs="Candara"/>
          <w:color w:val="000000"/>
          <w:sz w:val="24"/>
          <w:szCs w:val="24"/>
        </w:rPr>
        <w:t xml:space="preserve"> </w:t>
      </w:r>
      <w:r w:rsidRPr="00357176">
        <w:rPr>
          <w:rFonts w:ascii="Candara" w:eastAsia="Candara" w:hAnsi="Candara" w:cs="Candara"/>
          <w:color w:val="000000"/>
          <w:sz w:val="24"/>
          <w:szCs w:val="24"/>
        </w:rPr>
        <w:t>em: 5 fev. 2024.</w:t>
      </w:r>
    </w:p>
    <w:p w14:paraId="075D7243" w14:textId="00B0FCDE" w:rsid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MONTEIRO NETO, A</w:t>
      </w:r>
      <w:r w:rsidR="00E37C6F">
        <w:rPr>
          <w:rFonts w:ascii="Candara" w:eastAsia="Candara" w:hAnsi="Candara" w:cs="Candara"/>
          <w:color w:val="000000"/>
          <w:sz w:val="24"/>
          <w:szCs w:val="24"/>
        </w:rPr>
        <w:t>ris</w:t>
      </w:r>
      <w:r w:rsidR="00DA71CD">
        <w:rPr>
          <w:rFonts w:ascii="Candara" w:eastAsia="Candara" w:hAnsi="Candara" w:cs="Candara"/>
          <w:color w:val="000000"/>
          <w:sz w:val="24"/>
          <w:szCs w:val="24"/>
        </w:rPr>
        <w:t>tides</w:t>
      </w:r>
      <w:r w:rsidRPr="00357176">
        <w:rPr>
          <w:rFonts w:ascii="Candara" w:eastAsia="Candara" w:hAnsi="Candara" w:cs="Candara"/>
          <w:color w:val="000000"/>
          <w:sz w:val="24"/>
          <w:szCs w:val="24"/>
        </w:rPr>
        <w:t>. Política de desenvolvimento regional: questão periférica no pacto federativo brasileiro. In: BRANDÃO, C</w:t>
      </w:r>
      <w:r w:rsidR="0099317E">
        <w:rPr>
          <w:rFonts w:ascii="Candara" w:eastAsia="Candara" w:hAnsi="Candara" w:cs="Candara"/>
          <w:color w:val="000000"/>
          <w:sz w:val="24"/>
          <w:szCs w:val="24"/>
        </w:rPr>
        <w:t>arlos</w:t>
      </w:r>
      <w:r w:rsidRPr="00357176">
        <w:rPr>
          <w:rFonts w:ascii="Candara" w:eastAsia="Candara" w:hAnsi="Candara" w:cs="Candara"/>
          <w:color w:val="000000"/>
          <w:sz w:val="24"/>
          <w:szCs w:val="24"/>
        </w:rPr>
        <w:t>; SIQUEIRA, H</w:t>
      </w:r>
      <w:r w:rsidR="0099317E">
        <w:rPr>
          <w:rFonts w:ascii="Candara" w:eastAsia="Candara" w:hAnsi="Candara" w:cs="Candara"/>
          <w:color w:val="000000"/>
          <w:sz w:val="24"/>
          <w:szCs w:val="24"/>
        </w:rPr>
        <w:t>ipólita</w:t>
      </w:r>
      <w:r w:rsidRPr="00357176">
        <w:rPr>
          <w:rFonts w:ascii="Candara" w:eastAsia="Candara" w:hAnsi="Candara" w:cs="Candara"/>
          <w:color w:val="000000"/>
          <w:sz w:val="24"/>
          <w:szCs w:val="24"/>
        </w:rPr>
        <w:t xml:space="preserve">. (org.). </w:t>
      </w:r>
      <w:r w:rsidRPr="00B55407">
        <w:rPr>
          <w:rFonts w:ascii="Candara" w:eastAsia="Candara" w:hAnsi="Candara" w:cs="Candara"/>
          <w:i/>
          <w:iCs/>
          <w:color w:val="000000"/>
          <w:sz w:val="24"/>
          <w:szCs w:val="24"/>
        </w:rPr>
        <w:t>Pacto federativo, integração nacional e desenvolvimento regional</w:t>
      </w:r>
      <w:r w:rsidRPr="00F81499">
        <w:rPr>
          <w:rFonts w:ascii="Candara" w:eastAsia="Candara" w:hAnsi="Candara" w:cs="Candara"/>
          <w:color w:val="000000"/>
          <w:sz w:val="24"/>
          <w:szCs w:val="24"/>
        </w:rPr>
        <w:t>. Projetos para o Brasil.</w:t>
      </w:r>
      <w:r w:rsidRPr="00357176">
        <w:rPr>
          <w:rFonts w:ascii="Candara" w:eastAsia="Candara" w:hAnsi="Candara" w:cs="Candara"/>
          <w:color w:val="000000"/>
          <w:sz w:val="24"/>
          <w:szCs w:val="24"/>
        </w:rPr>
        <w:t xml:space="preserve"> São Paulo: Editora Fundação Perseu Abramo, 2013. p. 121-144.</w:t>
      </w:r>
    </w:p>
    <w:p w14:paraId="26F51D54" w14:textId="34966665" w:rsidR="00357176" w:rsidRPr="00357176" w:rsidRDefault="00357176" w:rsidP="00706157">
      <w:pPr>
        <w:spacing w:after="100" w:line="240" w:lineRule="auto"/>
        <w:jc w:val="both"/>
        <w:rPr>
          <w:rFonts w:ascii="Candara" w:eastAsia="Candara" w:hAnsi="Candara" w:cs="Candara"/>
          <w:color w:val="000000"/>
          <w:sz w:val="24"/>
          <w:szCs w:val="24"/>
          <w:lang w:val="en-US"/>
        </w:rPr>
      </w:pPr>
      <w:r w:rsidRPr="00357176">
        <w:rPr>
          <w:rFonts w:ascii="Candara" w:eastAsia="Candara" w:hAnsi="Candara" w:cs="Candara"/>
          <w:color w:val="000000"/>
          <w:sz w:val="24"/>
          <w:szCs w:val="24"/>
          <w:lang w:val="en-US"/>
        </w:rPr>
        <w:t>OLSON, M</w:t>
      </w:r>
      <w:r w:rsidR="009C5AB6">
        <w:rPr>
          <w:rFonts w:ascii="Candara" w:eastAsia="Candara" w:hAnsi="Candara" w:cs="Candara"/>
          <w:color w:val="000000"/>
          <w:sz w:val="24"/>
          <w:szCs w:val="24"/>
          <w:lang w:val="en-US"/>
        </w:rPr>
        <w:t>ancur</w:t>
      </w:r>
      <w:r w:rsidRPr="00357176">
        <w:rPr>
          <w:rFonts w:ascii="Candara" w:eastAsia="Candara" w:hAnsi="Candara" w:cs="Candara"/>
          <w:color w:val="000000"/>
          <w:sz w:val="24"/>
          <w:szCs w:val="24"/>
          <w:lang w:val="en-US"/>
        </w:rPr>
        <w:t xml:space="preserve">. The principle of fiscal equivalence: the division of responsabilities among different levels of government. </w:t>
      </w:r>
      <w:r w:rsidRPr="007F3289">
        <w:rPr>
          <w:rFonts w:ascii="Candara" w:eastAsia="Candara" w:hAnsi="Candara" w:cs="Candara"/>
          <w:i/>
          <w:iCs/>
          <w:color w:val="000000"/>
          <w:sz w:val="24"/>
          <w:szCs w:val="24"/>
          <w:lang w:val="en-US"/>
        </w:rPr>
        <w:t>American Economic Review</w:t>
      </w:r>
      <w:r w:rsidRPr="00357176">
        <w:rPr>
          <w:rFonts w:ascii="Candara" w:eastAsia="Candara" w:hAnsi="Candara" w:cs="Candara"/>
          <w:color w:val="000000"/>
          <w:sz w:val="24"/>
          <w:szCs w:val="24"/>
          <w:lang w:val="en-US"/>
        </w:rPr>
        <w:t>, [s.l.], v. 59, p. 479-487, 1969.</w:t>
      </w:r>
    </w:p>
    <w:p w14:paraId="2472E0B5" w14:textId="41DF25DE" w:rsid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lang w:val="en-US"/>
        </w:rPr>
        <w:t>PEACO</w:t>
      </w:r>
      <w:r w:rsidR="00AD4E33">
        <w:rPr>
          <w:rFonts w:ascii="Candara" w:eastAsia="Candara" w:hAnsi="Candara" w:cs="Candara"/>
          <w:color w:val="000000"/>
          <w:sz w:val="24"/>
          <w:szCs w:val="24"/>
          <w:lang w:val="en-US"/>
        </w:rPr>
        <w:t>C</w:t>
      </w:r>
      <w:r w:rsidRPr="00357176">
        <w:rPr>
          <w:rFonts w:ascii="Candara" w:eastAsia="Candara" w:hAnsi="Candara" w:cs="Candara"/>
          <w:color w:val="000000"/>
          <w:sz w:val="24"/>
          <w:szCs w:val="24"/>
          <w:lang w:val="en-US"/>
        </w:rPr>
        <w:t>K, A</w:t>
      </w:r>
      <w:r w:rsidR="00F919AA">
        <w:rPr>
          <w:rFonts w:ascii="Candara" w:eastAsia="Candara" w:hAnsi="Candara" w:cs="Candara"/>
          <w:color w:val="000000"/>
          <w:sz w:val="24"/>
          <w:szCs w:val="24"/>
          <w:lang w:val="en-US"/>
        </w:rPr>
        <w:t>lan</w:t>
      </w:r>
      <w:r w:rsidRPr="00357176">
        <w:rPr>
          <w:rFonts w:ascii="Candara" w:eastAsia="Candara" w:hAnsi="Candara" w:cs="Candara"/>
          <w:color w:val="000000"/>
          <w:sz w:val="24"/>
          <w:szCs w:val="24"/>
          <w:lang w:val="en-US"/>
        </w:rPr>
        <w:t xml:space="preserve">. </w:t>
      </w:r>
      <w:r w:rsidRPr="009C5AB6">
        <w:rPr>
          <w:rFonts w:ascii="Candara" w:eastAsia="Candara" w:hAnsi="Candara" w:cs="Candara"/>
          <w:i/>
          <w:iCs/>
          <w:color w:val="000000"/>
          <w:sz w:val="24"/>
          <w:szCs w:val="24"/>
          <w:lang w:val="en-US"/>
        </w:rPr>
        <w:t>Public choice analysis in historical perspective</w:t>
      </w:r>
      <w:r w:rsidRPr="00357176">
        <w:rPr>
          <w:rFonts w:ascii="Candara" w:eastAsia="Candara" w:hAnsi="Candara" w:cs="Candara"/>
          <w:color w:val="000000"/>
          <w:sz w:val="24"/>
          <w:szCs w:val="24"/>
          <w:lang w:val="en-US"/>
        </w:rPr>
        <w:t xml:space="preserve">. </w:t>
      </w:r>
      <w:r w:rsidRPr="00357176">
        <w:rPr>
          <w:rFonts w:ascii="Candara" w:eastAsia="Candara" w:hAnsi="Candara" w:cs="Candara"/>
          <w:color w:val="000000"/>
          <w:sz w:val="24"/>
          <w:szCs w:val="24"/>
        </w:rPr>
        <w:t>Italy, Cambridge University Press, 1992.</w:t>
      </w:r>
    </w:p>
    <w:p w14:paraId="66233447" w14:textId="62856AB6" w:rsidR="00357176" w:rsidRP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PRADO, S</w:t>
      </w:r>
      <w:r w:rsidR="0065588C">
        <w:rPr>
          <w:rFonts w:ascii="Candara" w:eastAsia="Candara" w:hAnsi="Candara" w:cs="Candara"/>
          <w:color w:val="000000"/>
          <w:sz w:val="24"/>
          <w:szCs w:val="24"/>
        </w:rPr>
        <w:t>érgio</w:t>
      </w:r>
      <w:r w:rsidRPr="00357176">
        <w:rPr>
          <w:rFonts w:ascii="Candara" w:eastAsia="Candara" w:hAnsi="Candara" w:cs="Candara"/>
          <w:color w:val="000000"/>
          <w:sz w:val="24"/>
          <w:szCs w:val="24"/>
        </w:rPr>
        <w:t xml:space="preserve">. </w:t>
      </w:r>
      <w:r w:rsidRPr="0065588C">
        <w:rPr>
          <w:rFonts w:ascii="Candara" w:eastAsia="Candara" w:hAnsi="Candara" w:cs="Candara"/>
          <w:i/>
          <w:iCs/>
          <w:color w:val="000000"/>
          <w:sz w:val="24"/>
          <w:szCs w:val="24"/>
        </w:rPr>
        <w:t>Cinco ensaios sobre federalismo e a federação brasileira</w:t>
      </w:r>
      <w:r w:rsidRPr="00357176">
        <w:rPr>
          <w:rFonts w:ascii="Candara" w:eastAsia="Candara" w:hAnsi="Candara" w:cs="Candara"/>
          <w:color w:val="000000"/>
          <w:sz w:val="24"/>
          <w:szCs w:val="24"/>
        </w:rPr>
        <w:t>. Campinas, SP: Unicamp. IE, 2020. (Coleção Teses).</w:t>
      </w:r>
    </w:p>
    <w:p w14:paraId="6F996E4B" w14:textId="3CD5A736" w:rsidR="00357176" w:rsidRP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SOUZA, C</w:t>
      </w:r>
      <w:r w:rsidR="00BC4CC1">
        <w:rPr>
          <w:rFonts w:ascii="Candara" w:eastAsia="Candara" w:hAnsi="Candara" w:cs="Candara"/>
          <w:color w:val="000000"/>
          <w:sz w:val="24"/>
          <w:szCs w:val="24"/>
        </w:rPr>
        <w:t>elina</w:t>
      </w:r>
      <w:r w:rsidRPr="00357176">
        <w:rPr>
          <w:rFonts w:ascii="Candara" w:eastAsia="Candara" w:hAnsi="Candara" w:cs="Candara"/>
          <w:color w:val="000000"/>
          <w:sz w:val="24"/>
          <w:szCs w:val="24"/>
        </w:rPr>
        <w:t xml:space="preserve">. Federalismo, desenho constitucional e instituições federativas no Brasil pós-1988. </w:t>
      </w:r>
      <w:r w:rsidRPr="00BC4CC1">
        <w:rPr>
          <w:rFonts w:ascii="Candara" w:eastAsia="Candara" w:hAnsi="Candara" w:cs="Candara"/>
          <w:i/>
          <w:iCs/>
          <w:color w:val="000000"/>
          <w:sz w:val="24"/>
          <w:szCs w:val="24"/>
        </w:rPr>
        <w:t>Revista de Sociologia e Política</w:t>
      </w:r>
      <w:r w:rsidRPr="00357176">
        <w:rPr>
          <w:rFonts w:ascii="Candara" w:eastAsia="Candara" w:hAnsi="Candara" w:cs="Candara"/>
          <w:color w:val="000000"/>
          <w:sz w:val="24"/>
          <w:szCs w:val="24"/>
        </w:rPr>
        <w:t xml:space="preserve">, Curitiba, n. 24, p. 105-121, jun. 2005. DOI: </w:t>
      </w:r>
      <w:hyperlink r:id="rId17" w:history="1">
        <w:r w:rsidR="00C320E7" w:rsidRPr="009A08D6">
          <w:rPr>
            <w:rStyle w:val="Hyperlink"/>
            <w:rFonts w:ascii="Candara" w:eastAsia="Candara" w:hAnsi="Candara" w:cs="Candara"/>
            <w:sz w:val="24"/>
            <w:szCs w:val="24"/>
          </w:rPr>
          <w:t>https://doi.org/10.1590/S0104-44782005000100008</w:t>
        </w:r>
      </w:hyperlink>
      <w:r w:rsidRPr="00357176">
        <w:rPr>
          <w:rFonts w:ascii="Candara" w:eastAsia="Candara" w:hAnsi="Candara" w:cs="Candara"/>
          <w:color w:val="000000"/>
          <w:sz w:val="24"/>
          <w:szCs w:val="24"/>
        </w:rPr>
        <w:t xml:space="preserve">. Disponível em: </w:t>
      </w:r>
      <w:hyperlink r:id="rId18" w:history="1">
        <w:r w:rsidR="00C320E7" w:rsidRPr="009A08D6">
          <w:rPr>
            <w:rStyle w:val="Hyperlink"/>
            <w:rFonts w:ascii="Candara" w:eastAsia="Candara" w:hAnsi="Candara" w:cs="Candara"/>
            <w:sz w:val="24"/>
            <w:szCs w:val="24"/>
          </w:rPr>
          <w:t>https://www.scielo.br/j/rsocp/a/w75TqBF3yjv4JHqyV65vcjb/abstract/?lang=pt</w:t>
        </w:r>
      </w:hyperlink>
      <w:r w:rsidRPr="00357176">
        <w:rPr>
          <w:rFonts w:ascii="Candara" w:eastAsia="Candara" w:hAnsi="Candara" w:cs="Candara"/>
          <w:color w:val="000000"/>
          <w:sz w:val="24"/>
          <w:szCs w:val="24"/>
        </w:rPr>
        <w:t>. Acesso em: 28 maio 2024.</w:t>
      </w:r>
    </w:p>
    <w:p w14:paraId="6C291FAA" w14:textId="180A246E" w:rsidR="00357176" w:rsidRPr="00357176" w:rsidRDefault="00357176" w:rsidP="00706157">
      <w:pPr>
        <w:spacing w:after="100" w:line="240" w:lineRule="auto"/>
        <w:jc w:val="both"/>
        <w:rPr>
          <w:rFonts w:ascii="Candara" w:eastAsia="Candara" w:hAnsi="Candara" w:cs="Candara"/>
          <w:color w:val="000000"/>
          <w:sz w:val="24"/>
          <w:szCs w:val="24"/>
        </w:rPr>
      </w:pPr>
      <w:r w:rsidRPr="00357176">
        <w:rPr>
          <w:rFonts w:ascii="Candara" w:eastAsia="Candara" w:hAnsi="Candara" w:cs="Candara"/>
          <w:color w:val="000000"/>
          <w:sz w:val="24"/>
          <w:szCs w:val="24"/>
        </w:rPr>
        <w:t xml:space="preserve">______. Coordenação, uniformidade e autonomia na formulação de políticas públicas: experiências federativas no cenário internacional e nacional. </w:t>
      </w:r>
      <w:r w:rsidRPr="000676DF">
        <w:rPr>
          <w:rFonts w:ascii="Candara" w:eastAsia="Candara" w:hAnsi="Candara" w:cs="Candara"/>
          <w:i/>
          <w:iCs/>
          <w:color w:val="000000"/>
          <w:sz w:val="24"/>
          <w:szCs w:val="24"/>
        </w:rPr>
        <w:t>Cadernos de Saúde Pública</w:t>
      </w:r>
      <w:r w:rsidRPr="00357176">
        <w:rPr>
          <w:rFonts w:ascii="Candara" w:eastAsia="Candara" w:hAnsi="Candara" w:cs="Candara"/>
          <w:color w:val="000000"/>
          <w:sz w:val="24"/>
          <w:szCs w:val="24"/>
        </w:rPr>
        <w:t xml:space="preserve">, Rio de Janeiro, v. 35, supl. 2, 2019. DOI: </w:t>
      </w:r>
      <w:hyperlink r:id="rId19" w:history="1">
        <w:r w:rsidR="00C848C3" w:rsidRPr="009A08D6">
          <w:rPr>
            <w:rStyle w:val="Hyperlink"/>
            <w:rFonts w:ascii="Candara" w:eastAsia="Candara" w:hAnsi="Candara" w:cs="Candara"/>
            <w:sz w:val="24"/>
            <w:szCs w:val="24"/>
          </w:rPr>
          <w:t>https://doi.org/10.1590/0102-311X00046818</w:t>
        </w:r>
      </w:hyperlink>
      <w:r w:rsidRPr="00357176">
        <w:rPr>
          <w:rFonts w:ascii="Candara" w:eastAsia="Candara" w:hAnsi="Candara" w:cs="Candara"/>
          <w:color w:val="000000"/>
          <w:sz w:val="24"/>
          <w:szCs w:val="24"/>
        </w:rPr>
        <w:t xml:space="preserve">. Disponível em: </w:t>
      </w:r>
      <w:hyperlink r:id="rId20" w:history="1">
        <w:r w:rsidR="00C848C3" w:rsidRPr="009A08D6">
          <w:rPr>
            <w:rStyle w:val="Hyperlink"/>
            <w:rFonts w:ascii="Candara" w:eastAsia="Candara" w:hAnsi="Candara" w:cs="Candara"/>
            <w:sz w:val="24"/>
            <w:szCs w:val="24"/>
          </w:rPr>
          <w:t>https://www.scielo.br/j/csp/a/45DWPg6xBf99zWHR57q4hcK/</w:t>
        </w:r>
      </w:hyperlink>
      <w:r w:rsidRPr="00357176">
        <w:rPr>
          <w:rFonts w:ascii="Candara" w:eastAsia="Candara" w:hAnsi="Candara" w:cs="Candara"/>
          <w:color w:val="000000"/>
          <w:sz w:val="24"/>
          <w:szCs w:val="24"/>
        </w:rPr>
        <w:t>. Acesso</w:t>
      </w:r>
      <w:r w:rsidR="006C6B66">
        <w:rPr>
          <w:rFonts w:ascii="Candara" w:eastAsia="Candara" w:hAnsi="Candara" w:cs="Candara"/>
          <w:color w:val="000000"/>
          <w:sz w:val="24"/>
          <w:szCs w:val="24"/>
        </w:rPr>
        <w:t xml:space="preserve"> </w:t>
      </w:r>
      <w:r w:rsidRPr="00357176">
        <w:rPr>
          <w:rFonts w:ascii="Candara" w:eastAsia="Candara" w:hAnsi="Candara" w:cs="Candara"/>
          <w:color w:val="000000"/>
          <w:sz w:val="24"/>
          <w:szCs w:val="24"/>
        </w:rPr>
        <w:t>em: 3 jun. 2024.</w:t>
      </w:r>
    </w:p>
    <w:p w14:paraId="00B0B6AC" w14:textId="0A35718F" w:rsidR="00357176" w:rsidRPr="00357176" w:rsidRDefault="00357176" w:rsidP="00706157">
      <w:pPr>
        <w:spacing w:after="100" w:line="240" w:lineRule="auto"/>
        <w:jc w:val="both"/>
        <w:rPr>
          <w:rFonts w:ascii="Candara" w:eastAsia="Candara" w:hAnsi="Candara" w:cs="Candara"/>
          <w:color w:val="000000"/>
          <w:sz w:val="24"/>
          <w:szCs w:val="24"/>
          <w:lang w:val="en-US"/>
        </w:rPr>
      </w:pPr>
      <w:r w:rsidRPr="00357176">
        <w:rPr>
          <w:rFonts w:ascii="Candara" w:eastAsia="Candara" w:hAnsi="Candara" w:cs="Candara"/>
          <w:color w:val="000000"/>
          <w:sz w:val="24"/>
          <w:szCs w:val="24"/>
        </w:rPr>
        <w:t xml:space="preserve">______. Estados: o elo perdido da cadeia federativa? </w:t>
      </w:r>
      <w:r w:rsidRPr="00357176">
        <w:rPr>
          <w:rFonts w:ascii="Candara" w:eastAsia="Candara" w:hAnsi="Candara" w:cs="Candara"/>
          <w:color w:val="000000"/>
          <w:sz w:val="24"/>
          <w:szCs w:val="24"/>
          <w:lang w:val="en-US"/>
        </w:rPr>
        <w:t>In: PALOTTI, P</w:t>
      </w:r>
      <w:r w:rsidR="00336168">
        <w:rPr>
          <w:rFonts w:ascii="Candara" w:eastAsia="Candara" w:hAnsi="Candara" w:cs="Candara"/>
          <w:color w:val="000000"/>
          <w:sz w:val="24"/>
          <w:szCs w:val="24"/>
          <w:lang w:val="en-US"/>
        </w:rPr>
        <w:t>edro</w:t>
      </w:r>
      <w:r w:rsidR="002E02A1">
        <w:rPr>
          <w:rFonts w:ascii="Candara" w:eastAsia="Candara" w:hAnsi="Candara" w:cs="Candara"/>
          <w:color w:val="000000"/>
          <w:sz w:val="24"/>
          <w:szCs w:val="24"/>
          <w:lang w:val="en-US"/>
        </w:rPr>
        <w:t xml:space="preserve"> …</w:t>
      </w:r>
      <w:r w:rsidRPr="00357176">
        <w:rPr>
          <w:rFonts w:ascii="Candara" w:eastAsia="Candara" w:hAnsi="Candara" w:cs="Candara"/>
          <w:color w:val="000000"/>
          <w:sz w:val="24"/>
          <w:szCs w:val="24"/>
          <w:lang w:val="en-US"/>
        </w:rPr>
        <w:t xml:space="preserve"> </w:t>
      </w:r>
      <w:r w:rsidR="000A2E8A">
        <w:rPr>
          <w:rFonts w:ascii="Candara" w:eastAsia="Candara" w:hAnsi="Candara" w:cs="Candara"/>
          <w:color w:val="000000"/>
          <w:sz w:val="24"/>
          <w:szCs w:val="24"/>
          <w:lang w:val="en-US"/>
        </w:rPr>
        <w:t>[</w:t>
      </w:r>
      <w:r w:rsidRPr="00F81D49">
        <w:rPr>
          <w:rFonts w:ascii="Candara" w:eastAsia="Candara" w:hAnsi="Candara" w:cs="Candara"/>
          <w:i/>
          <w:iCs/>
          <w:color w:val="000000"/>
          <w:sz w:val="24"/>
          <w:szCs w:val="24"/>
          <w:lang w:val="en-US"/>
        </w:rPr>
        <w:t>et al</w:t>
      </w:r>
      <w:r w:rsidRPr="00357176">
        <w:rPr>
          <w:rFonts w:ascii="Candara" w:eastAsia="Candara" w:hAnsi="Candara" w:cs="Candara"/>
          <w:color w:val="000000"/>
          <w:sz w:val="24"/>
          <w:szCs w:val="24"/>
          <w:lang w:val="en-US"/>
        </w:rPr>
        <w:t>.</w:t>
      </w:r>
      <w:r w:rsidR="000A2E8A">
        <w:rPr>
          <w:rFonts w:ascii="Candara" w:eastAsia="Candara" w:hAnsi="Candara" w:cs="Candara"/>
          <w:color w:val="000000"/>
          <w:sz w:val="24"/>
          <w:szCs w:val="24"/>
          <w:lang w:val="en-US"/>
        </w:rPr>
        <w:t>]</w:t>
      </w:r>
      <w:r w:rsidRPr="00357176">
        <w:rPr>
          <w:rFonts w:ascii="Candara" w:eastAsia="Candara" w:hAnsi="Candara" w:cs="Candara"/>
          <w:color w:val="000000"/>
          <w:sz w:val="24"/>
          <w:szCs w:val="24"/>
          <w:lang w:val="en-US"/>
        </w:rPr>
        <w:t xml:space="preserve"> </w:t>
      </w:r>
      <w:r w:rsidRPr="00357176">
        <w:rPr>
          <w:rFonts w:ascii="Candara" w:eastAsia="Candara" w:hAnsi="Candara" w:cs="Candara"/>
          <w:color w:val="000000"/>
          <w:sz w:val="24"/>
          <w:szCs w:val="24"/>
        </w:rPr>
        <w:t xml:space="preserve">(org.). </w:t>
      </w:r>
      <w:r w:rsidRPr="0022700B">
        <w:rPr>
          <w:rFonts w:ascii="Candara" w:eastAsia="Candara" w:hAnsi="Candara" w:cs="Candara"/>
          <w:i/>
          <w:iCs/>
          <w:color w:val="000000"/>
          <w:sz w:val="24"/>
          <w:szCs w:val="24"/>
        </w:rPr>
        <w:t>E os Estados? Federalismo, relações intergovernamentais e políticas públicas no Brasil contemporâneo</w:t>
      </w:r>
      <w:r w:rsidRPr="00357176">
        <w:rPr>
          <w:rFonts w:ascii="Candara" w:eastAsia="Candara" w:hAnsi="Candara" w:cs="Candara"/>
          <w:color w:val="000000"/>
          <w:sz w:val="24"/>
          <w:szCs w:val="24"/>
        </w:rPr>
        <w:t xml:space="preserve">. </w:t>
      </w:r>
      <w:r w:rsidRPr="00357176">
        <w:rPr>
          <w:rFonts w:ascii="Candara" w:eastAsia="Candara" w:hAnsi="Candara" w:cs="Candara"/>
          <w:color w:val="000000"/>
          <w:sz w:val="24"/>
          <w:szCs w:val="24"/>
          <w:lang w:val="en-US"/>
        </w:rPr>
        <w:t>Rio de Janeiro: IPEA, 2023. p. 95-112.</w:t>
      </w:r>
    </w:p>
    <w:p w14:paraId="165C85FB" w14:textId="33F999AC" w:rsidR="00357176" w:rsidRPr="00357176" w:rsidRDefault="00357176" w:rsidP="00706157">
      <w:pPr>
        <w:spacing w:after="100" w:line="240" w:lineRule="auto"/>
        <w:jc w:val="both"/>
        <w:rPr>
          <w:rFonts w:ascii="Candara" w:eastAsia="Candara" w:hAnsi="Candara" w:cs="Candara"/>
          <w:color w:val="000000"/>
          <w:sz w:val="24"/>
          <w:szCs w:val="24"/>
          <w:lang w:val="en-US"/>
        </w:rPr>
      </w:pPr>
      <w:r w:rsidRPr="00357176">
        <w:rPr>
          <w:rFonts w:ascii="Candara" w:eastAsia="Candara" w:hAnsi="Candara" w:cs="Candara"/>
          <w:color w:val="000000"/>
          <w:sz w:val="24"/>
          <w:szCs w:val="24"/>
          <w:lang w:val="en-US"/>
        </w:rPr>
        <w:t>TIEBOUT, C</w:t>
      </w:r>
      <w:r w:rsidR="00E34D88">
        <w:rPr>
          <w:rFonts w:ascii="Candara" w:eastAsia="Candara" w:hAnsi="Candara" w:cs="Candara"/>
          <w:color w:val="000000"/>
          <w:sz w:val="24"/>
          <w:szCs w:val="24"/>
          <w:lang w:val="en-US"/>
        </w:rPr>
        <w:t>harles M</w:t>
      </w:r>
      <w:r w:rsidRPr="00357176">
        <w:rPr>
          <w:rFonts w:ascii="Candara" w:eastAsia="Candara" w:hAnsi="Candara" w:cs="Candara"/>
          <w:color w:val="000000"/>
          <w:sz w:val="24"/>
          <w:szCs w:val="24"/>
          <w:lang w:val="en-US"/>
        </w:rPr>
        <w:t xml:space="preserve">. A pure theory of local expenditures. </w:t>
      </w:r>
      <w:r w:rsidRPr="00760B76">
        <w:rPr>
          <w:rFonts w:ascii="Candara" w:eastAsia="Candara" w:hAnsi="Candara" w:cs="Candara"/>
          <w:i/>
          <w:iCs/>
          <w:color w:val="000000"/>
          <w:sz w:val="24"/>
          <w:szCs w:val="24"/>
          <w:lang w:val="en-US"/>
        </w:rPr>
        <w:t>The Journal of Political Economy</w:t>
      </w:r>
      <w:r w:rsidRPr="00357176">
        <w:rPr>
          <w:rFonts w:ascii="Candara" w:eastAsia="Candara" w:hAnsi="Candara" w:cs="Candara"/>
          <w:color w:val="000000"/>
          <w:sz w:val="24"/>
          <w:szCs w:val="24"/>
          <w:lang w:val="en-US"/>
        </w:rPr>
        <w:t>, v. 64, n. 5, p. 416-424, 1956.</w:t>
      </w:r>
    </w:p>
    <w:p w14:paraId="05FC255A" w14:textId="00D6AD54" w:rsidR="007C4193" w:rsidRDefault="00357176" w:rsidP="00706157">
      <w:pPr>
        <w:spacing w:after="100" w:line="240" w:lineRule="auto"/>
        <w:jc w:val="both"/>
        <w:rPr>
          <w:rFonts w:ascii="Candara" w:eastAsia="Candara" w:hAnsi="Candara" w:cs="Candara"/>
          <w:color w:val="000000"/>
          <w:sz w:val="24"/>
          <w:szCs w:val="24"/>
          <w:lang w:val="en-US"/>
        </w:rPr>
      </w:pPr>
      <w:r w:rsidRPr="00357176">
        <w:rPr>
          <w:rFonts w:ascii="Candara" w:eastAsia="Candara" w:hAnsi="Candara" w:cs="Candara"/>
          <w:color w:val="000000"/>
          <w:sz w:val="24"/>
          <w:szCs w:val="24"/>
          <w:lang w:val="en-US"/>
        </w:rPr>
        <w:t>WEINGAST, B</w:t>
      </w:r>
      <w:r w:rsidR="00342704">
        <w:rPr>
          <w:rFonts w:ascii="Candara" w:eastAsia="Candara" w:hAnsi="Candara" w:cs="Candara"/>
          <w:color w:val="000000"/>
          <w:sz w:val="24"/>
          <w:szCs w:val="24"/>
          <w:lang w:val="en-US"/>
        </w:rPr>
        <w:t>arry R</w:t>
      </w:r>
      <w:r w:rsidRPr="00357176">
        <w:rPr>
          <w:rFonts w:ascii="Candara" w:eastAsia="Candara" w:hAnsi="Candara" w:cs="Candara"/>
          <w:color w:val="000000"/>
          <w:sz w:val="24"/>
          <w:szCs w:val="24"/>
          <w:lang w:val="en-US"/>
        </w:rPr>
        <w:t xml:space="preserve">. The economic role of political institutions: market-preserving federalism and economic development. </w:t>
      </w:r>
      <w:r w:rsidRPr="00150B2C">
        <w:rPr>
          <w:rFonts w:ascii="Candara" w:eastAsia="Candara" w:hAnsi="Candara" w:cs="Candara"/>
          <w:i/>
          <w:iCs/>
          <w:color w:val="000000"/>
          <w:sz w:val="24"/>
          <w:szCs w:val="24"/>
          <w:lang w:val="en-US"/>
        </w:rPr>
        <w:t>The Journal of Law</w:t>
      </w:r>
      <w:r w:rsidRPr="00150B2C">
        <w:rPr>
          <w:rFonts w:ascii="Candara" w:eastAsia="Candara" w:hAnsi="Candara" w:cs="Candara"/>
          <w:color w:val="000000"/>
          <w:sz w:val="24"/>
          <w:szCs w:val="24"/>
          <w:lang w:val="en-US"/>
        </w:rPr>
        <w:t xml:space="preserve">, </w:t>
      </w:r>
      <w:r w:rsidRPr="00936EA4">
        <w:rPr>
          <w:rFonts w:ascii="Candara" w:eastAsia="Candara" w:hAnsi="Candara" w:cs="Candara"/>
          <w:i/>
          <w:iCs/>
          <w:color w:val="000000"/>
          <w:sz w:val="24"/>
          <w:szCs w:val="24"/>
          <w:lang w:val="en-US"/>
        </w:rPr>
        <w:t>Economics &amp; Organization</w:t>
      </w:r>
      <w:r w:rsidRPr="00150B2C">
        <w:rPr>
          <w:rFonts w:ascii="Candara" w:eastAsia="Candara" w:hAnsi="Candara" w:cs="Candara"/>
          <w:color w:val="000000"/>
          <w:sz w:val="24"/>
          <w:szCs w:val="24"/>
          <w:lang w:val="en-US"/>
        </w:rPr>
        <w:t xml:space="preserve">, </w:t>
      </w:r>
      <w:r w:rsidR="00321D3D" w:rsidRPr="00150B2C">
        <w:rPr>
          <w:rFonts w:ascii="Candara" w:eastAsia="Candara" w:hAnsi="Candara" w:cs="Candara"/>
          <w:color w:val="000000"/>
          <w:sz w:val="24"/>
          <w:szCs w:val="24"/>
          <w:lang w:val="en-US"/>
        </w:rPr>
        <w:t>Ox</w:t>
      </w:r>
      <w:r w:rsidR="00150B2C" w:rsidRPr="00150B2C">
        <w:rPr>
          <w:rFonts w:ascii="Candara" w:eastAsia="Candara" w:hAnsi="Candara" w:cs="Candara"/>
          <w:color w:val="000000"/>
          <w:sz w:val="24"/>
          <w:szCs w:val="24"/>
          <w:lang w:val="en-US"/>
        </w:rPr>
        <w:t>ford University</w:t>
      </w:r>
      <w:r w:rsidR="00150B2C">
        <w:rPr>
          <w:rFonts w:ascii="Candara" w:eastAsia="Candara" w:hAnsi="Candara" w:cs="Candara"/>
          <w:color w:val="000000"/>
          <w:sz w:val="24"/>
          <w:szCs w:val="24"/>
          <w:lang w:val="en-US"/>
        </w:rPr>
        <w:t xml:space="preserve"> Press, </w:t>
      </w:r>
      <w:r w:rsidRPr="00150B2C">
        <w:rPr>
          <w:rFonts w:ascii="Candara" w:eastAsia="Candara" w:hAnsi="Candara" w:cs="Candara"/>
          <w:color w:val="000000"/>
          <w:sz w:val="24"/>
          <w:szCs w:val="24"/>
          <w:lang w:val="en-US"/>
        </w:rPr>
        <w:t>v. 11, n. 1, p. 1-31, 1995.</w:t>
      </w:r>
    </w:p>
    <w:sectPr w:rsidR="007C4193">
      <w:headerReference w:type="default" r:id="rId21"/>
      <w:footerReference w:type="default" r:id="rId2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3D1C4" w14:textId="77777777" w:rsidR="00224798" w:rsidRDefault="00224798">
      <w:pPr>
        <w:spacing w:after="0" w:line="240" w:lineRule="auto"/>
      </w:pPr>
      <w:r>
        <w:separator/>
      </w:r>
    </w:p>
  </w:endnote>
  <w:endnote w:type="continuationSeparator" w:id="0">
    <w:p w14:paraId="62416091" w14:textId="77777777" w:rsidR="00224798" w:rsidRDefault="00224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7DE0314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3C505732" w:rsidR="005B483D" w:rsidRDefault="005B483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A7D11B" w14:textId="77777777" w:rsidR="00224798" w:rsidRDefault="00224798">
      <w:pPr>
        <w:spacing w:after="0" w:line="240" w:lineRule="auto"/>
      </w:pPr>
      <w:r>
        <w:separator/>
      </w:r>
    </w:p>
  </w:footnote>
  <w:footnote w:type="continuationSeparator" w:id="0">
    <w:p w14:paraId="2AD5764A" w14:textId="77777777" w:rsidR="00224798" w:rsidRDefault="00224798">
      <w:pPr>
        <w:spacing w:after="0" w:line="240" w:lineRule="auto"/>
      </w:pPr>
      <w:r>
        <w:continuationSeparator/>
      </w:r>
    </w:p>
  </w:footnote>
  <w:footnote w:id="1">
    <w:p w14:paraId="6AC11552" w14:textId="089424A2" w:rsidR="005B483D" w:rsidRPr="001524E4"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sidRPr="001524E4">
        <w:rPr>
          <w:rFonts w:ascii="Candara" w:hAnsi="Candara"/>
          <w:sz w:val="20"/>
          <w:szCs w:val="20"/>
          <w:vertAlign w:val="superscript"/>
        </w:rPr>
        <w:footnoteRef/>
      </w:r>
      <w:r w:rsidRPr="001524E4">
        <w:rPr>
          <w:rFonts w:ascii="Candara" w:eastAsia="Candara" w:hAnsi="Candara" w:cs="Candara"/>
          <w:sz w:val="20"/>
          <w:szCs w:val="20"/>
        </w:rPr>
        <w:t xml:space="preserve"> </w:t>
      </w:r>
      <w:r w:rsidR="00692718" w:rsidRPr="001524E4">
        <w:rPr>
          <w:rFonts w:ascii="Candara" w:eastAsia="Candara" w:hAnsi="Candara" w:cs="Candara"/>
          <w:color w:val="000000"/>
          <w:sz w:val="20"/>
          <w:szCs w:val="20"/>
        </w:rPr>
        <w:t>Doutora em Desenvolvimento Econômico pela Universidade Estadual de Campinas (</w:t>
      </w:r>
      <w:r w:rsidR="00047536" w:rsidRPr="001524E4">
        <w:rPr>
          <w:rFonts w:ascii="Candara" w:eastAsia="Candara" w:hAnsi="Candara" w:cs="Candara"/>
          <w:color w:val="000000"/>
          <w:sz w:val="20"/>
          <w:szCs w:val="20"/>
        </w:rPr>
        <w:t>IE-</w:t>
      </w:r>
      <w:r w:rsidR="00692718" w:rsidRPr="001524E4">
        <w:rPr>
          <w:rFonts w:ascii="Candara" w:eastAsia="Candara" w:hAnsi="Candara" w:cs="Candara"/>
          <w:color w:val="000000"/>
          <w:sz w:val="20"/>
          <w:szCs w:val="20"/>
        </w:rPr>
        <w:t>UNICAMP),</w:t>
      </w:r>
      <w:r w:rsidR="00B64DE4" w:rsidRPr="001524E4">
        <w:rPr>
          <w:rFonts w:ascii="Candara" w:eastAsia="Candara" w:hAnsi="Candara" w:cs="Candara"/>
          <w:color w:val="000000"/>
          <w:sz w:val="20"/>
          <w:szCs w:val="20"/>
        </w:rPr>
        <w:t xml:space="preserve"> Pesquisadora </w:t>
      </w:r>
      <w:r w:rsidR="00EE20B8" w:rsidRPr="001524E4">
        <w:rPr>
          <w:rFonts w:ascii="Candara" w:eastAsia="Candara" w:hAnsi="Candara" w:cs="Candara"/>
          <w:color w:val="000000"/>
          <w:sz w:val="20"/>
          <w:szCs w:val="20"/>
        </w:rPr>
        <w:t>do Grupo de Estudo das Transformações Econômicas e Territoriais – GETETE (CEDE-IE-UNICAMP)</w:t>
      </w:r>
      <w:r w:rsidR="003226DE" w:rsidRPr="001524E4">
        <w:rPr>
          <w:rFonts w:ascii="Candara" w:eastAsia="Candara" w:hAnsi="Candara" w:cs="Candara"/>
          <w:color w:val="000000"/>
          <w:sz w:val="20"/>
          <w:szCs w:val="20"/>
        </w:rPr>
        <w:t xml:space="preserve"> e</w:t>
      </w:r>
      <w:r w:rsidR="00692718" w:rsidRPr="001524E4">
        <w:rPr>
          <w:rFonts w:ascii="Candara" w:eastAsia="Candara" w:hAnsi="Candara" w:cs="Candara"/>
          <w:color w:val="000000"/>
          <w:sz w:val="20"/>
          <w:szCs w:val="20"/>
        </w:rPr>
        <w:t xml:space="preserve"> Professora Adjunta do Departamento de Economia da Universidade Federal do Rio Grande do Norte (UFRN)</w:t>
      </w:r>
      <w:r w:rsidR="004C64F7" w:rsidRPr="001524E4">
        <w:rPr>
          <w:rFonts w:ascii="Candara" w:eastAsia="Candara" w:hAnsi="Candara" w:cs="Candara"/>
          <w:color w:val="000000"/>
          <w:sz w:val="20"/>
          <w:szCs w:val="20"/>
        </w:rPr>
        <w:t>, Natal</w:t>
      </w:r>
      <w:r w:rsidR="003964FA" w:rsidRPr="001524E4">
        <w:rPr>
          <w:rFonts w:ascii="Candara" w:eastAsia="Candara" w:hAnsi="Candara" w:cs="Candara"/>
          <w:color w:val="000000"/>
          <w:sz w:val="20"/>
          <w:szCs w:val="20"/>
        </w:rPr>
        <w:t>-RN, Brasil</w:t>
      </w:r>
      <w:r w:rsidR="00692718" w:rsidRPr="001524E4">
        <w:rPr>
          <w:rFonts w:ascii="Candara" w:eastAsia="Candara" w:hAnsi="Candara" w:cs="Candara"/>
          <w:color w:val="000000"/>
          <w:sz w:val="20"/>
          <w:szCs w:val="20"/>
        </w:rPr>
        <w:t xml:space="preserve">. E-mail: </w:t>
      </w:r>
      <w:hyperlink r:id="rId1" w:history="1">
        <w:r w:rsidR="003964FA" w:rsidRPr="001524E4">
          <w:rPr>
            <w:rStyle w:val="Hyperlink"/>
            <w:rFonts w:ascii="Candara" w:eastAsia="Candara" w:hAnsi="Candara" w:cs="Candara"/>
            <w:sz w:val="20"/>
            <w:szCs w:val="20"/>
          </w:rPr>
          <w:t>rosangela.pequeno@ufrn.br</w:t>
        </w:r>
      </w:hyperlink>
      <w:r w:rsidR="00692718" w:rsidRPr="001524E4">
        <w:rPr>
          <w:rFonts w:ascii="Candara" w:eastAsia="Candara" w:hAnsi="Candara" w:cs="Candara"/>
          <w:color w:val="000000"/>
          <w:sz w:val="20"/>
          <w:szCs w:val="20"/>
        </w:rPr>
        <w:t>.</w:t>
      </w:r>
    </w:p>
  </w:footnote>
  <w:footnote w:id="2">
    <w:p w14:paraId="387BFBAF" w14:textId="06E90121" w:rsidR="005B483D" w:rsidRPr="001524E4" w:rsidRDefault="00CE7EE5" w:rsidP="001F3127">
      <w:pPr>
        <w:pBdr>
          <w:top w:val="nil"/>
          <w:left w:val="nil"/>
          <w:bottom w:val="nil"/>
          <w:right w:val="nil"/>
          <w:between w:val="nil"/>
        </w:pBdr>
        <w:spacing w:after="120" w:line="240" w:lineRule="auto"/>
        <w:jc w:val="both"/>
        <w:rPr>
          <w:rFonts w:ascii="Candara" w:hAnsi="Candara"/>
          <w:color w:val="000000"/>
          <w:sz w:val="20"/>
          <w:szCs w:val="20"/>
          <w:lang w:val="en-US"/>
        </w:rPr>
      </w:pPr>
      <w:r w:rsidRPr="001524E4">
        <w:rPr>
          <w:rFonts w:ascii="Candara" w:hAnsi="Candara"/>
          <w:sz w:val="20"/>
          <w:szCs w:val="20"/>
          <w:vertAlign w:val="superscript"/>
        </w:rPr>
        <w:footnoteRef/>
      </w:r>
      <w:r w:rsidRPr="001524E4">
        <w:rPr>
          <w:rFonts w:ascii="Candara" w:eastAsia="Candara" w:hAnsi="Candara" w:cs="Candara"/>
          <w:color w:val="000000"/>
          <w:sz w:val="20"/>
          <w:szCs w:val="20"/>
        </w:rPr>
        <w:t xml:space="preserve"> </w:t>
      </w:r>
      <w:r w:rsidR="00C66759" w:rsidRPr="001524E4">
        <w:rPr>
          <w:rFonts w:ascii="Candara" w:eastAsia="Candara" w:hAnsi="Candara" w:cs="Candara"/>
          <w:color w:val="000000"/>
          <w:sz w:val="20"/>
          <w:szCs w:val="20"/>
        </w:rPr>
        <w:t>Doutor em Economia pela Universidade Estadual de Campinas (</w:t>
      </w:r>
      <w:r w:rsidR="00047536" w:rsidRPr="001524E4">
        <w:rPr>
          <w:rFonts w:ascii="Candara" w:eastAsia="Candara" w:hAnsi="Candara" w:cs="Candara"/>
          <w:color w:val="000000"/>
          <w:sz w:val="20"/>
          <w:szCs w:val="20"/>
        </w:rPr>
        <w:t>IE-</w:t>
      </w:r>
      <w:r w:rsidR="00C66759" w:rsidRPr="001524E4">
        <w:rPr>
          <w:rFonts w:ascii="Candara" w:eastAsia="Candara" w:hAnsi="Candara" w:cs="Candara"/>
          <w:color w:val="000000"/>
          <w:sz w:val="20"/>
          <w:szCs w:val="20"/>
        </w:rPr>
        <w:t>UNICAMP), Professor Titular do Instituto de Economia da Universidade Estadual de Campinas (</w:t>
      </w:r>
      <w:r w:rsidR="00814B5F" w:rsidRPr="001524E4">
        <w:rPr>
          <w:rFonts w:ascii="Candara" w:eastAsia="Candara" w:hAnsi="Candara" w:cs="Candara"/>
          <w:color w:val="000000"/>
          <w:sz w:val="20"/>
          <w:szCs w:val="20"/>
        </w:rPr>
        <w:t>IE-</w:t>
      </w:r>
      <w:r w:rsidR="00C66759" w:rsidRPr="001524E4">
        <w:rPr>
          <w:rFonts w:ascii="Candara" w:eastAsia="Candara" w:hAnsi="Candara" w:cs="Candara"/>
          <w:color w:val="000000"/>
          <w:sz w:val="20"/>
          <w:szCs w:val="20"/>
        </w:rPr>
        <w:t>UNICAMP)</w:t>
      </w:r>
      <w:r w:rsidR="00D62B82" w:rsidRPr="001524E4">
        <w:rPr>
          <w:rFonts w:ascii="Candara" w:eastAsia="Candara" w:hAnsi="Candara" w:cs="Candara"/>
          <w:color w:val="000000"/>
          <w:sz w:val="20"/>
          <w:szCs w:val="20"/>
        </w:rPr>
        <w:t>,</w:t>
      </w:r>
      <w:r w:rsidR="00C66759" w:rsidRPr="001524E4">
        <w:rPr>
          <w:rFonts w:ascii="Candara" w:eastAsia="Candara" w:hAnsi="Candara" w:cs="Candara"/>
          <w:color w:val="000000"/>
          <w:sz w:val="20"/>
          <w:szCs w:val="20"/>
        </w:rPr>
        <w:t xml:space="preserve"> Pesquisador do Centro de Estudos do Desenvolvimento Econômico (</w:t>
      </w:r>
      <w:bookmarkStart w:id="0" w:name="_Hlk175651168"/>
      <w:r w:rsidR="00C66759" w:rsidRPr="001524E4">
        <w:rPr>
          <w:rFonts w:ascii="Candara" w:eastAsia="Candara" w:hAnsi="Candara" w:cs="Candara"/>
          <w:color w:val="000000"/>
          <w:sz w:val="20"/>
          <w:szCs w:val="20"/>
        </w:rPr>
        <w:t>CEDE-IE-UNICAMP</w:t>
      </w:r>
      <w:bookmarkEnd w:id="0"/>
      <w:r w:rsidR="00C66759" w:rsidRPr="001524E4">
        <w:rPr>
          <w:rFonts w:ascii="Candara" w:eastAsia="Candara" w:hAnsi="Candara" w:cs="Candara"/>
          <w:color w:val="000000"/>
          <w:sz w:val="20"/>
          <w:szCs w:val="20"/>
        </w:rPr>
        <w:t>)</w:t>
      </w:r>
      <w:r w:rsidR="00F414F1" w:rsidRPr="001524E4">
        <w:rPr>
          <w:rFonts w:ascii="Candara" w:eastAsia="Candara" w:hAnsi="Candara" w:cs="Candara"/>
          <w:color w:val="000000"/>
          <w:sz w:val="20"/>
          <w:szCs w:val="20"/>
        </w:rPr>
        <w:t xml:space="preserve"> e Coordenador do Grupo de Estudo das Transformações Econômicas e Territoriais </w:t>
      </w:r>
      <w:r w:rsidR="00F51952" w:rsidRPr="001524E4">
        <w:rPr>
          <w:rFonts w:ascii="Candara" w:eastAsia="Candara" w:hAnsi="Candara" w:cs="Candara"/>
          <w:color w:val="000000"/>
          <w:sz w:val="20"/>
          <w:szCs w:val="20"/>
        </w:rPr>
        <w:t>–</w:t>
      </w:r>
      <w:r w:rsidR="00F414F1" w:rsidRPr="001524E4">
        <w:rPr>
          <w:rFonts w:ascii="Candara" w:eastAsia="Candara" w:hAnsi="Candara" w:cs="Candara"/>
          <w:color w:val="000000"/>
          <w:sz w:val="20"/>
          <w:szCs w:val="20"/>
        </w:rPr>
        <w:t xml:space="preserve"> GETETE</w:t>
      </w:r>
      <w:r w:rsidR="00F51952" w:rsidRPr="001524E4">
        <w:rPr>
          <w:rFonts w:ascii="Candara" w:eastAsia="Candara" w:hAnsi="Candara" w:cs="Candara"/>
          <w:color w:val="000000"/>
          <w:sz w:val="20"/>
          <w:szCs w:val="20"/>
        </w:rPr>
        <w:t xml:space="preserve"> (CEDE-IE-UNICAMP),</w:t>
      </w:r>
      <w:r w:rsidR="007D595D" w:rsidRPr="001524E4">
        <w:rPr>
          <w:rFonts w:ascii="Candara" w:eastAsia="Candara" w:hAnsi="Candara" w:cs="Candara"/>
          <w:color w:val="000000"/>
          <w:sz w:val="20"/>
          <w:szCs w:val="20"/>
        </w:rPr>
        <w:t xml:space="preserve"> Campinas-SP</w:t>
      </w:r>
      <w:r w:rsidR="00CE779A" w:rsidRPr="001524E4">
        <w:rPr>
          <w:rFonts w:ascii="Candara" w:eastAsia="Candara" w:hAnsi="Candara" w:cs="Candara"/>
          <w:color w:val="000000"/>
          <w:sz w:val="20"/>
          <w:szCs w:val="20"/>
        </w:rPr>
        <w:t>, Brasil</w:t>
      </w:r>
      <w:r w:rsidR="00C66759" w:rsidRPr="001524E4">
        <w:rPr>
          <w:rFonts w:ascii="Candara" w:eastAsia="Candara" w:hAnsi="Candara" w:cs="Candara"/>
          <w:color w:val="000000"/>
          <w:sz w:val="20"/>
          <w:szCs w:val="20"/>
        </w:rPr>
        <w:t xml:space="preserve">. </w:t>
      </w:r>
      <w:r w:rsidR="00C66759" w:rsidRPr="001524E4">
        <w:rPr>
          <w:rFonts w:ascii="Candara" w:eastAsia="Candara" w:hAnsi="Candara" w:cs="Candara"/>
          <w:color w:val="000000"/>
          <w:sz w:val="20"/>
          <w:szCs w:val="20"/>
          <w:lang w:val="en-US"/>
        </w:rPr>
        <w:t xml:space="preserve">E-mail: </w:t>
      </w:r>
      <w:r w:rsidR="00E6102C">
        <w:fldChar w:fldCharType="begin"/>
      </w:r>
      <w:r w:rsidR="00E6102C" w:rsidRPr="00A80C18">
        <w:rPr>
          <w:lang w:val="en-US"/>
        </w:rPr>
        <w:instrText>HYPERLINK "mailto:fcmacedo@unicamp.br"</w:instrText>
      </w:r>
      <w:r w:rsidR="00E6102C">
        <w:fldChar w:fldCharType="separate"/>
      </w:r>
      <w:r w:rsidR="007D595D" w:rsidRPr="001524E4">
        <w:rPr>
          <w:rStyle w:val="Hyperlink"/>
          <w:rFonts w:ascii="Candara" w:eastAsia="Candara" w:hAnsi="Candara" w:cs="Candara"/>
          <w:sz w:val="20"/>
          <w:szCs w:val="20"/>
          <w:lang w:val="en-US"/>
        </w:rPr>
        <w:t>fcmacedo@unicamp.br</w:t>
      </w:r>
      <w:r w:rsidR="00E6102C">
        <w:rPr>
          <w:rStyle w:val="Hyperlink"/>
          <w:rFonts w:ascii="Candara" w:eastAsia="Candara" w:hAnsi="Candara" w:cs="Candara"/>
          <w:sz w:val="20"/>
          <w:szCs w:val="20"/>
          <w:lang w:val="en-US"/>
        </w:rPr>
        <w:fldChar w:fldCharType="end"/>
      </w:r>
      <w:r w:rsidR="00C66759" w:rsidRPr="001524E4">
        <w:rPr>
          <w:rFonts w:ascii="Candara" w:eastAsia="Candara" w:hAnsi="Candara" w:cs="Candara"/>
          <w:color w:val="000000"/>
          <w:sz w:val="20"/>
          <w:szCs w:val="20"/>
          <w:lang w:val="en-US"/>
        </w:rPr>
        <w:t>.</w:t>
      </w:r>
    </w:p>
  </w:footnote>
  <w:footnote w:id="3">
    <w:p w14:paraId="731C8183" w14:textId="414BB4C8" w:rsidR="00651133" w:rsidRPr="004D56F3" w:rsidRDefault="00651133" w:rsidP="00651133">
      <w:pPr>
        <w:pBdr>
          <w:top w:val="nil"/>
          <w:left w:val="nil"/>
          <w:bottom w:val="nil"/>
          <w:right w:val="nil"/>
          <w:between w:val="nil"/>
        </w:pBdr>
        <w:spacing w:after="120" w:line="240" w:lineRule="auto"/>
        <w:jc w:val="both"/>
        <w:rPr>
          <w:rFonts w:ascii="Candara" w:eastAsia="Candara" w:hAnsi="Candara" w:cs="Candara"/>
          <w:color w:val="000000"/>
          <w:sz w:val="20"/>
          <w:szCs w:val="20"/>
          <w:lang w:val="en-US"/>
        </w:rPr>
      </w:pPr>
      <w:r w:rsidRPr="004D56F3">
        <w:rPr>
          <w:rFonts w:ascii="Candara" w:hAnsi="Candara"/>
          <w:sz w:val="20"/>
          <w:szCs w:val="20"/>
          <w:vertAlign w:val="superscript"/>
        </w:rPr>
        <w:footnoteRef/>
      </w:r>
      <w:r w:rsidRPr="004D56F3">
        <w:rPr>
          <w:rFonts w:ascii="Candara" w:eastAsia="Candara" w:hAnsi="Candara" w:cs="Candara"/>
          <w:sz w:val="20"/>
          <w:szCs w:val="20"/>
          <w:lang w:val="en-US"/>
        </w:rPr>
        <w:t xml:space="preserve"> </w:t>
      </w:r>
      <w:r w:rsidR="00340362" w:rsidRPr="004D56F3">
        <w:rPr>
          <w:rFonts w:ascii="Candara" w:eastAsia="Candara" w:hAnsi="Candara" w:cs="Candara"/>
          <w:color w:val="000000"/>
          <w:sz w:val="20"/>
          <w:szCs w:val="20"/>
          <w:lang w:val="en-US"/>
        </w:rPr>
        <w:t>Doctorate</w:t>
      </w:r>
      <w:r w:rsidR="004A21CE" w:rsidRPr="004D56F3">
        <w:rPr>
          <w:rFonts w:ascii="Candara" w:eastAsia="Candara" w:hAnsi="Candara" w:cs="Candara"/>
          <w:color w:val="000000"/>
          <w:sz w:val="20"/>
          <w:szCs w:val="20"/>
          <w:lang w:val="en-US"/>
        </w:rPr>
        <w:t xml:space="preserve"> </w:t>
      </w:r>
      <w:r w:rsidR="00931635" w:rsidRPr="004D56F3">
        <w:rPr>
          <w:rFonts w:ascii="Candara" w:eastAsia="Candara" w:hAnsi="Candara" w:cs="Candara"/>
          <w:color w:val="000000"/>
          <w:sz w:val="20"/>
          <w:szCs w:val="20"/>
          <w:lang w:val="en-US"/>
        </w:rPr>
        <w:t>in Economic Development from the State University of Campinas (IE-UNICAMP), Researcher at the Economic and Territorial Transformations Study Group – GETETE (CEDE-IE-UNICAMP) and Adjunct Professor at the Department of Economics at the Federal University of Rio Grande do Norte ( UFRN), Natal-RN, Brazil</w:t>
      </w:r>
      <w:r w:rsidR="004A21CE" w:rsidRPr="004D56F3">
        <w:rPr>
          <w:rFonts w:ascii="Candara" w:eastAsia="Candara" w:hAnsi="Candara" w:cs="Candara"/>
          <w:color w:val="000000"/>
          <w:sz w:val="20"/>
          <w:szCs w:val="20"/>
          <w:lang w:val="en-US"/>
        </w:rPr>
        <w:t>. E-mail</w:t>
      </w:r>
      <w:r w:rsidRPr="004D56F3">
        <w:rPr>
          <w:rFonts w:ascii="Candara" w:eastAsia="Candara" w:hAnsi="Candara" w:cs="Candara"/>
          <w:color w:val="000000"/>
          <w:sz w:val="20"/>
          <w:szCs w:val="20"/>
          <w:lang w:val="en-US"/>
        </w:rPr>
        <w:t xml:space="preserve">: </w:t>
      </w:r>
      <w:r w:rsidR="00E6102C">
        <w:fldChar w:fldCharType="begin"/>
      </w:r>
      <w:r w:rsidR="00E6102C" w:rsidRPr="00A80C18">
        <w:rPr>
          <w:lang w:val="en-US"/>
        </w:rPr>
        <w:instrText>HYPERLINK "mailto:rosangela.pequeno@ufrn.br"</w:instrText>
      </w:r>
      <w:r w:rsidR="00E6102C">
        <w:fldChar w:fldCharType="separate"/>
      </w:r>
      <w:r w:rsidRPr="004D56F3">
        <w:rPr>
          <w:rStyle w:val="Hyperlink"/>
          <w:rFonts w:ascii="Candara" w:eastAsia="Candara" w:hAnsi="Candara" w:cs="Candara"/>
          <w:sz w:val="20"/>
          <w:szCs w:val="20"/>
          <w:lang w:val="en-US"/>
        </w:rPr>
        <w:t>rosangela.pequeno@ufrn.br</w:t>
      </w:r>
      <w:r w:rsidR="00E6102C">
        <w:rPr>
          <w:rStyle w:val="Hyperlink"/>
          <w:rFonts w:ascii="Candara" w:eastAsia="Candara" w:hAnsi="Candara" w:cs="Candara"/>
          <w:sz w:val="20"/>
          <w:szCs w:val="20"/>
          <w:lang w:val="en-US"/>
        </w:rPr>
        <w:fldChar w:fldCharType="end"/>
      </w:r>
      <w:r w:rsidRPr="004D56F3">
        <w:rPr>
          <w:rFonts w:ascii="Candara" w:eastAsia="Candara" w:hAnsi="Candara" w:cs="Candara"/>
          <w:color w:val="000000"/>
          <w:sz w:val="20"/>
          <w:szCs w:val="20"/>
          <w:lang w:val="en-US"/>
        </w:rPr>
        <w:t>.</w:t>
      </w:r>
    </w:p>
  </w:footnote>
  <w:footnote w:id="4">
    <w:p w14:paraId="27A16DDC" w14:textId="664A6C2B" w:rsidR="00651133" w:rsidRPr="004D56F3" w:rsidRDefault="00651133" w:rsidP="00651133">
      <w:pPr>
        <w:pBdr>
          <w:top w:val="nil"/>
          <w:left w:val="nil"/>
          <w:bottom w:val="nil"/>
          <w:right w:val="nil"/>
          <w:between w:val="nil"/>
        </w:pBdr>
        <w:spacing w:after="120" w:line="240" w:lineRule="auto"/>
        <w:jc w:val="both"/>
        <w:rPr>
          <w:rFonts w:ascii="Candara" w:hAnsi="Candara"/>
          <w:color w:val="000000"/>
          <w:sz w:val="20"/>
          <w:szCs w:val="20"/>
          <w:lang w:val="en-US"/>
        </w:rPr>
      </w:pPr>
      <w:r w:rsidRPr="004D56F3">
        <w:rPr>
          <w:rFonts w:ascii="Candara" w:hAnsi="Candara"/>
          <w:sz w:val="20"/>
          <w:szCs w:val="20"/>
          <w:vertAlign w:val="superscript"/>
        </w:rPr>
        <w:footnoteRef/>
      </w:r>
      <w:r w:rsidRPr="004D56F3">
        <w:rPr>
          <w:rFonts w:ascii="Candara" w:eastAsia="Candara" w:hAnsi="Candara" w:cs="Candara"/>
          <w:color w:val="000000"/>
          <w:sz w:val="20"/>
          <w:szCs w:val="20"/>
          <w:lang w:val="en-US"/>
        </w:rPr>
        <w:t xml:space="preserve"> </w:t>
      </w:r>
      <w:r w:rsidR="00340362" w:rsidRPr="004D56F3">
        <w:rPr>
          <w:rFonts w:ascii="Candara" w:eastAsia="Candara" w:hAnsi="Candara" w:cs="Candara"/>
          <w:color w:val="000000"/>
          <w:sz w:val="20"/>
          <w:szCs w:val="20"/>
          <w:lang w:val="en-US"/>
        </w:rPr>
        <w:t>Doctorate</w:t>
      </w:r>
      <w:r w:rsidR="004B5DB8" w:rsidRPr="004D56F3">
        <w:rPr>
          <w:rFonts w:ascii="Candara" w:eastAsia="Candara" w:hAnsi="Candara" w:cs="Candara"/>
          <w:color w:val="000000"/>
          <w:sz w:val="20"/>
          <w:szCs w:val="20"/>
          <w:lang w:val="en-US"/>
        </w:rPr>
        <w:t xml:space="preserve"> </w:t>
      </w:r>
      <w:r w:rsidR="004425AB" w:rsidRPr="004D56F3">
        <w:rPr>
          <w:rFonts w:ascii="Candara" w:eastAsia="Candara" w:hAnsi="Candara" w:cs="Candara"/>
          <w:color w:val="000000"/>
          <w:sz w:val="20"/>
          <w:szCs w:val="20"/>
          <w:lang w:val="en-US"/>
        </w:rPr>
        <w:t>in Economics from the State University of Campinas (IE-UNICAMP), Full Professor at the Institute of Economics at the State University of Campinas (IE-UNICAMP), Researcher at the Center for Economic Development Studies (CEDE-IE-UNICAMP) and Group Coordinator Study of Economic and Territorial Transformations – GETETE (CEDE-IE-UNICAMP), Campinas-SP, Brazil</w:t>
      </w:r>
      <w:r w:rsidRPr="004D56F3">
        <w:rPr>
          <w:rFonts w:ascii="Candara" w:eastAsia="Candara" w:hAnsi="Candara" w:cs="Candara"/>
          <w:color w:val="000000"/>
          <w:sz w:val="20"/>
          <w:szCs w:val="20"/>
          <w:lang w:val="en-US"/>
        </w:rPr>
        <w:t xml:space="preserve">. E-mail: </w:t>
      </w:r>
      <w:hyperlink r:id="rId2" w:history="1">
        <w:r w:rsidRPr="004D56F3">
          <w:rPr>
            <w:rStyle w:val="Hyperlink"/>
            <w:rFonts w:ascii="Candara" w:eastAsia="Candara" w:hAnsi="Candara" w:cs="Candara"/>
            <w:sz w:val="20"/>
            <w:szCs w:val="20"/>
            <w:lang w:val="en-US"/>
          </w:rPr>
          <w:t>fcmacedo@unicamp.br</w:t>
        </w:r>
      </w:hyperlink>
      <w:r w:rsidRPr="004D56F3">
        <w:rPr>
          <w:rFonts w:ascii="Candara" w:eastAsia="Candara" w:hAnsi="Candara" w:cs="Candara"/>
          <w:color w:val="000000"/>
          <w:sz w:val="20"/>
          <w:szCs w:val="20"/>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rsidP="00F373A8">
    <w:pPr>
      <w:ind w:left="992" w:firstLine="709"/>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Pr="00193338" w:rsidRDefault="005B483D" w:rsidP="00064173">
    <w:pPr>
      <w:ind w:left="992" w:firstLine="709"/>
      <w:jc w:val="both"/>
      <w:rPr>
        <w:rFonts w:ascii="Candara" w:eastAsia="Times New Roman" w:hAnsi="Candara"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487863980">
    <w:abstractNumId w:val="0"/>
  </w:num>
  <w:num w:numId="2" w16cid:durableId="1097562490">
    <w:abstractNumId w:val="1"/>
  </w:num>
  <w:num w:numId="3" w16cid:durableId="1008215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7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16BC"/>
    <w:rsid w:val="0000187F"/>
    <w:rsid w:val="0000204C"/>
    <w:rsid w:val="0000298E"/>
    <w:rsid w:val="00003767"/>
    <w:rsid w:val="000053E5"/>
    <w:rsid w:val="00006916"/>
    <w:rsid w:val="00006A83"/>
    <w:rsid w:val="00010689"/>
    <w:rsid w:val="00011AAE"/>
    <w:rsid w:val="00011BB3"/>
    <w:rsid w:val="000136C8"/>
    <w:rsid w:val="00016D5F"/>
    <w:rsid w:val="00017671"/>
    <w:rsid w:val="00017C36"/>
    <w:rsid w:val="000218F7"/>
    <w:rsid w:val="00021E6C"/>
    <w:rsid w:val="00024F0E"/>
    <w:rsid w:val="00025959"/>
    <w:rsid w:val="000309E6"/>
    <w:rsid w:val="00032A75"/>
    <w:rsid w:val="00034383"/>
    <w:rsid w:val="000366BE"/>
    <w:rsid w:val="00036747"/>
    <w:rsid w:val="000373EF"/>
    <w:rsid w:val="00046C3C"/>
    <w:rsid w:val="00047536"/>
    <w:rsid w:val="00047D20"/>
    <w:rsid w:val="00051D96"/>
    <w:rsid w:val="00051F9B"/>
    <w:rsid w:val="00052476"/>
    <w:rsid w:val="00052F91"/>
    <w:rsid w:val="00054ADD"/>
    <w:rsid w:val="00055C37"/>
    <w:rsid w:val="00056CCC"/>
    <w:rsid w:val="000620F7"/>
    <w:rsid w:val="00064173"/>
    <w:rsid w:val="000676DF"/>
    <w:rsid w:val="00071D90"/>
    <w:rsid w:val="00072EC2"/>
    <w:rsid w:val="000741FC"/>
    <w:rsid w:val="00074450"/>
    <w:rsid w:val="0008153A"/>
    <w:rsid w:val="0008197F"/>
    <w:rsid w:val="000871A8"/>
    <w:rsid w:val="00087E80"/>
    <w:rsid w:val="00090DE7"/>
    <w:rsid w:val="00091BDF"/>
    <w:rsid w:val="00092CAC"/>
    <w:rsid w:val="00093F60"/>
    <w:rsid w:val="0009416D"/>
    <w:rsid w:val="000A0AF3"/>
    <w:rsid w:val="000A13BC"/>
    <w:rsid w:val="000A2E8A"/>
    <w:rsid w:val="000A459D"/>
    <w:rsid w:val="000A5E2C"/>
    <w:rsid w:val="000A7141"/>
    <w:rsid w:val="000B132C"/>
    <w:rsid w:val="000B246F"/>
    <w:rsid w:val="000B50D1"/>
    <w:rsid w:val="000B5C15"/>
    <w:rsid w:val="000B5D92"/>
    <w:rsid w:val="000B60E5"/>
    <w:rsid w:val="000B66F6"/>
    <w:rsid w:val="000C3941"/>
    <w:rsid w:val="000D2021"/>
    <w:rsid w:val="000D270A"/>
    <w:rsid w:val="000D3411"/>
    <w:rsid w:val="000D7290"/>
    <w:rsid w:val="000E03B8"/>
    <w:rsid w:val="000E0818"/>
    <w:rsid w:val="000E1F0B"/>
    <w:rsid w:val="000E2ACC"/>
    <w:rsid w:val="000E2CF2"/>
    <w:rsid w:val="000E5E7D"/>
    <w:rsid w:val="000E6DC4"/>
    <w:rsid w:val="000F0C79"/>
    <w:rsid w:val="000F1492"/>
    <w:rsid w:val="000F307F"/>
    <w:rsid w:val="000F3D7A"/>
    <w:rsid w:val="000F408A"/>
    <w:rsid w:val="000F66A6"/>
    <w:rsid w:val="000F7362"/>
    <w:rsid w:val="00101F93"/>
    <w:rsid w:val="0010271C"/>
    <w:rsid w:val="00102E45"/>
    <w:rsid w:val="00103D64"/>
    <w:rsid w:val="001042EE"/>
    <w:rsid w:val="00105B25"/>
    <w:rsid w:val="00106455"/>
    <w:rsid w:val="00106895"/>
    <w:rsid w:val="00107A73"/>
    <w:rsid w:val="00112F69"/>
    <w:rsid w:val="00115E7D"/>
    <w:rsid w:val="001162BB"/>
    <w:rsid w:val="00122CBB"/>
    <w:rsid w:val="00122E10"/>
    <w:rsid w:val="0012385D"/>
    <w:rsid w:val="00123B4E"/>
    <w:rsid w:val="00124149"/>
    <w:rsid w:val="00124D28"/>
    <w:rsid w:val="0012589F"/>
    <w:rsid w:val="001261D9"/>
    <w:rsid w:val="001275C7"/>
    <w:rsid w:val="001328DA"/>
    <w:rsid w:val="001349F2"/>
    <w:rsid w:val="00137A15"/>
    <w:rsid w:val="0014217F"/>
    <w:rsid w:val="0014281D"/>
    <w:rsid w:val="00143442"/>
    <w:rsid w:val="00146534"/>
    <w:rsid w:val="001470C2"/>
    <w:rsid w:val="00150B2C"/>
    <w:rsid w:val="001524E4"/>
    <w:rsid w:val="00154578"/>
    <w:rsid w:val="00156096"/>
    <w:rsid w:val="00157D9D"/>
    <w:rsid w:val="0016214F"/>
    <w:rsid w:val="00162774"/>
    <w:rsid w:val="00162D25"/>
    <w:rsid w:val="0016377A"/>
    <w:rsid w:val="001643FD"/>
    <w:rsid w:val="001650BC"/>
    <w:rsid w:val="0017032F"/>
    <w:rsid w:val="001803E5"/>
    <w:rsid w:val="00187657"/>
    <w:rsid w:val="00187FA0"/>
    <w:rsid w:val="00191155"/>
    <w:rsid w:val="00192B49"/>
    <w:rsid w:val="00193338"/>
    <w:rsid w:val="001938BA"/>
    <w:rsid w:val="00193D02"/>
    <w:rsid w:val="00194134"/>
    <w:rsid w:val="001948C9"/>
    <w:rsid w:val="0019647B"/>
    <w:rsid w:val="00197E9E"/>
    <w:rsid w:val="001A060B"/>
    <w:rsid w:val="001A0EAF"/>
    <w:rsid w:val="001A1E14"/>
    <w:rsid w:val="001A42B5"/>
    <w:rsid w:val="001A4B56"/>
    <w:rsid w:val="001A565F"/>
    <w:rsid w:val="001A68E4"/>
    <w:rsid w:val="001A77DE"/>
    <w:rsid w:val="001B1E4B"/>
    <w:rsid w:val="001B3759"/>
    <w:rsid w:val="001B4346"/>
    <w:rsid w:val="001B45C9"/>
    <w:rsid w:val="001B52C5"/>
    <w:rsid w:val="001C1135"/>
    <w:rsid w:val="001C300F"/>
    <w:rsid w:val="001C3956"/>
    <w:rsid w:val="001C3EA6"/>
    <w:rsid w:val="001D0A0C"/>
    <w:rsid w:val="001D5931"/>
    <w:rsid w:val="001D7341"/>
    <w:rsid w:val="001E03C5"/>
    <w:rsid w:val="001E057E"/>
    <w:rsid w:val="001E0787"/>
    <w:rsid w:val="001E444D"/>
    <w:rsid w:val="001E7377"/>
    <w:rsid w:val="001F131E"/>
    <w:rsid w:val="001F3127"/>
    <w:rsid w:val="001F3ECF"/>
    <w:rsid w:val="001F677F"/>
    <w:rsid w:val="00200436"/>
    <w:rsid w:val="00200C64"/>
    <w:rsid w:val="002020B9"/>
    <w:rsid w:val="0020466B"/>
    <w:rsid w:val="002058C8"/>
    <w:rsid w:val="00207FD7"/>
    <w:rsid w:val="002112D0"/>
    <w:rsid w:val="00215996"/>
    <w:rsid w:val="002212C0"/>
    <w:rsid w:val="00221461"/>
    <w:rsid w:val="002236B7"/>
    <w:rsid w:val="00224798"/>
    <w:rsid w:val="0022496D"/>
    <w:rsid w:val="00225222"/>
    <w:rsid w:val="0022700B"/>
    <w:rsid w:val="002312F6"/>
    <w:rsid w:val="002325C8"/>
    <w:rsid w:val="00235F7C"/>
    <w:rsid w:val="00235FD3"/>
    <w:rsid w:val="002363BA"/>
    <w:rsid w:val="00241135"/>
    <w:rsid w:val="00241A21"/>
    <w:rsid w:val="00246AB1"/>
    <w:rsid w:val="00247CC1"/>
    <w:rsid w:val="00251686"/>
    <w:rsid w:val="00255CE3"/>
    <w:rsid w:val="00255D5E"/>
    <w:rsid w:val="00256E65"/>
    <w:rsid w:val="00264E6D"/>
    <w:rsid w:val="002652C1"/>
    <w:rsid w:val="00267789"/>
    <w:rsid w:val="00272003"/>
    <w:rsid w:val="00272341"/>
    <w:rsid w:val="002723DD"/>
    <w:rsid w:val="00274FB3"/>
    <w:rsid w:val="00281022"/>
    <w:rsid w:val="00281880"/>
    <w:rsid w:val="00286020"/>
    <w:rsid w:val="0028791A"/>
    <w:rsid w:val="00290D74"/>
    <w:rsid w:val="0029433F"/>
    <w:rsid w:val="00295D7D"/>
    <w:rsid w:val="002A3223"/>
    <w:rsid w:val="002A355B"/>
    <w:rsid w:val="002A4B78"/>
    <w:rsid w:val="002A63D8"/>
    <w:rsid w:val="002A7B4A"/>
    <w:rsid w:val="002B1E49"/>
    <w:rsid w:val="002B3398"/>
    <w:rsid w:val="002B6134"/>
    <w:rsid w:val="002B79BA"/>
    <w:rsid w:val="002C07EF"/>
    <w:rsid w:val="002C306D"/>
    <w:rsid w:val="002C734C"/>
    <w:rsid w:val="002C7E11"/>
    <w:rsid w:val="002D1D95"/>
    <w:rsid w:val="002D1F4B"/>
    <w:rsid w:val="002D25E6"/>
    <w:rsid w:val="002D3151"/>
    <w:rsid w:val="002E02A1"/>
    <w:rsid w:val="002E2929"/>
    <w:rsid w:val="002E4429"/>
    <w:rsid w:val="002E4624"/>
    <w:rsid w:val="002E5B61"/>
    <w:rsid w:val="003043FC"/>
    <w:rsid w:val="003044BB"/>
    <w:rsid w:val="0030491B"/>
    <w:rsid w:val="00304A1F"/>
    <w:rsid w:val="00310FA4"/>
    <w:rsid w:val="00311974"/>
    <w:rsid w:val="00312574"/>
    <w:rsid w:val="00312C7F"/>
    <w:rsid w:val="00316166"/>
    <w:rsid w:val="0032032E"/>
    <w:rsid w:val="0032072F"/>
    <w:rsid w:val="00320D54"/>
    <w:rsid w:val="00321D3D"/>
    <w:rsid w:val="003226DE"/>
    <w:rsid w:val="00324E7B"/>
    <w:rsid w:val="003260B6"/>
    <w:rsid w:val="003302D9"/>
    <w:rsid w:val="0033048B"/>
    <w:rsid w:val="00330CEF"/>
    <w:rsid w:val="003312B9"/>
    <w:rsid w:val="00332C6A"/>
    <w:rsid w:val="00334005"/>
    <w:rsid w:val="00336168"/>
    <w:rsid w:val="00337E5D"/>
    <w:rsid w:val="00340362"/>
    <w:rsid w:val="00341756"/>
    <w:rsid w:val="003417FA"/>
    <w:rsid w:val="00342704"/>
    <w:rsid w:val="00343150"/>
    <w:rsid w:val="003434A3"/>
    <w:rsid w:val="003438B7"/>
    <w:rsid w:val="00343979"/>
    <w:rsid w:val="00343BF7"/>
    <w:rsid w:val="00347827"/>
    <w:rsid w:val="00350994"/>
    <w:rsid w:val="003539BE"/>
    <w:rsid w:val="00354581"/>
    <w:rsid w:val="003554B3"/>
    <w:rsid w:val="003560DD"/>
    <w:rsid w:val="00357176"/>
    <w:rsid w:val="00357AEC"/>
    <w:rsid w:val="003601BF"/>
    <w:rsid w:val="00361F89"/>
    <w:rsid w:val="003667FB"/>
    <w:rsid w:val="00367413"/>
    <w:rsid w:val="00373097"/>
    <w:rsid w:val="00373B29"/>
    <w:rsid w:val="00376057"/>
    <w:rsid w:val="00376973"/>
    <w:rsid w:val="003769D7"/>
    <w:rsid w:val="00383726"/>
    <w:rsid w:val="00384942"/>
    <w:rsid w:val="0038594E"/>
    <w:rsid w:val="00390C98"/>
    <w:rsid w:val="00391144"/>
    <w:rsid w:val="003964FA"/>
    <w:rsid w:val="003977A1"/>
    <w:rsid w:val="003A2827"/>
    <w:rsid w:val="003A3E34"/>
    <w:rsid w:val="003A4D19"/>
    <w:rsid w:val="003A56E7"/>
    <w:rsid w:val="003A6439"/>
    <w:rsid w:val="003B1EA8"/>
    <w:rsid w:val="003B1F50"/>
    <w:rsid w:val="003B28F7"/>
    <w:rsid w:val="003B3B5B"/>
    <w:rsid w:val="003B4734"/>
    <w:rsid w:val="003B5F1D"/>
    <w:rsid w:val="003B6626"/>
    <w:rsid w:val="003C1D20"/>
    <w:rsid w:val="003C2F19"/>
    <w:rsid w:val="003C567B"/>
    <w:rsid w:val="003C62FB"/>
    <w:rsid w:val="003C6719"/>
    <w:rsid w:val="003C6B38"/>
    <w:rsid w:val="003D0F21"/>
    <w:rsid w:val="003D3D2C"/>
    <w:rsid w:val="003D6C4F"/>
    <w:rsid w:val="003D6C61"/>
    <w:rsid w:val="003D6D96"/>
    <w:rsid w:val="003D77B5"/>
    <w:rsid w:val="003E052D"/>
    <w:rsid w:val="003E07DC"/>
    <w:rsid w:val="003E1E77"/>
    <w:rsid w:val="003E7636"/>
    <w:rsid w:val="003F2634"/>
    <w:rsid w:val="003F719B"/>
    <w:rsid w:val="004007BF"/>
    <w:rsid w:val="00401A40"/>
    <w:rsid w:val="004034D5"/>
    <w:rsid w:val="00407D49"/>
    <w:rsid w:val="00410729"/>
    <w:rsid w:val="00411172"/>
    <w:rsid w:val="0041146E"/>
    <w:rsid w:val="00411474"/>
    <w:rsid w:val="00412DCE"/>
    <w:rsid w:val="0042011C"/>
    <w:rsid w:val="004273AD"/>
    <w:rsid w:val="00427DEA"/>
    <w:rsid w:val="00431133"/>
    <w:rsid w:val="004346EA"/>
    <w:rsid w:val="0043570E"/>
    <w:rsid w:val="00436A46"/>
    <w:rsid w:val="004425AB"/>
    <w:rsid w:val="00444717"/>
    <w:rsid w:val="00444D37"/>
    <w:rsid w:val="004515C2"/>
    <w:rsid w:val="004532DD"/>
    <w:rsid w:val="00454806"/>
    <w:rsid w:val="00454DEE"/>
    <w:rsid w:val="004619AC"/>
    <w:rsid w:val="00462245"/>
    <w:rsid w:val="00465265"/>
    <w:rsid w:val="00465738"/>
    <w:rsid w:val="004661B9"/>
    <w:rsid w:val="00466B39"/>
    <w:rsid w:val="0047001A"/>
    <w:rsid w:val="004711E5"/>
    <w:rsid w:val="00471DAA"/>
    <w:rsid w:val="0047774B"/>
    <w:rsid w:val="00483B47"/>
    <w:rsid w:val="00485024"/>
    <w:rsid w:val="0048518E"/>
    <w:rsid w:val="00486AC8"/>
    <w:rsid w:val="004909FF"/>
    <w:rsid w:val="00495B96"/>
    <w:rsid w:val="00495BD3"/>
    <w:rsid w:val="004972C6"/>
    <w:rsid w:val="004A16A5"/>
    <w:rsid w:val="004A21CE"/>
    <w:rsid w:val="004B53DF"/>
    <w:rsid w:val="004B59A5"/>
    <w:rsid w:val="004B5DB8"/>
    <w:rsid w:val="004B68AB"/>
    <w:rsid w:val="004C01A5"/>
    <w:rsid w:val="004C035B"/>
    <w:rsid w:val="004C0486"/>
    <w:rsid w:val="004C0649"/>
    <w:rsid w:val="004C14AD"/>
    <w:rsid w:val="004C4158"/>
    <w:rsid w:val="004C50F3"/>
    <w:rsid w:val="004C553A"/>
    <w:rsid w:val="004C64F7"/>
    <w:rsid w:val="004C6A29"/>
    <w:rsid w:val="004C7004"/>
    <w:rsid w:val="004D2486"/>
    <w:rsid w:val="004D279B"/>
    <w:rsid w:val="004D3426"/>
    <w:rsid w:val="004D43E4"/>
    <w:rsid w:val="004D56F3"/>
    <w:rsid w:val="004E0746"/>
    <w:rsid w:val="004E30D2"/>
    <w:rsid w:val="004E453F"/>
    <w:rsid w:val="004E70FC"/>
    <w:rsid w:val="004F0278"/>
    <w:rsid w:val="004F0AF1"/>
    <w:rsid w:val="004F1798"/>
    <w:rsid w:val="004F50AB"/>
    <w:rsid w:val="00500214"/>
    <w:rsid w:val="00505281"/>
    <w:rsid w:val="0050695C"/>
    <w:rsid w:val="00507DB2"/>
    <w:rsid w:val="00510C5F"/>
    <w:rsid w:val="005112C7"/>
    <w:rsid w:val="00512939"/>
    <w:rsid w:val="00514D09"/>
    <w:rsid w:val="0052038D"/>
    <w:rsid w:val="005207B7"/>
    <w:rsid w:val="0052593C"/>
    <w:rsid w:val="00526303"/>
    <w:rsid w:val="00526B1B"/>
    <w:rsid w:val="00534998"/>
    <w:rsid w:val="00536648"/>
    <w:rsid w:val="00540A98"/>
    <w:rsid w:val="005420A8"/>
    <w:rsid w:val="0054362A"/>
    <w:rsid w:val="00545ABB"/>
    <w:rsid w:val="00546B2A"/>
    <w:rsid w:val="00547C79"/>
    <w:rsid w:val="00547E8E"/>
    <w:rsid w:val="0055122D"/>
    <w:rsid w:val="00551945"/>
    <w:rsid w:val="00555BC5"/>
    <w:rsid w:val="00556A79"/>
    <w:rsid w:val="0055791D"/>
    <w:rsid w:val="00561B40"/>
    <w:rsid w:val="00564DE5"/>
    <w:rsid w:val="005659C5"/>
    <w:rsid w:val="00565AF0"/>
    <w:rsid w:val="00565BD6"/>
    <w:rsid w:val="005666D3"/>
    <w:rsid w:val="005676E6"/>
    <w:rsid w:val="00571135"/>
    <w:rsid w:val="00573FB2"/>
    <w:rsid w:val="00574473"/>
    <w:rsid w:val="005759C4"/>
    <w:rsid w:val="00576E4F"/>
    <w:rsid w:val="00576EF4"/>
    <w:rsid w:val="00577137"/>
    <w:rsid w:val="0058082B"/>
    <w:rsid w:val="00580836"/>
    <w:rsid w:val="00581D29"/>
    <w:rsid w:val="005831AB"/>
    <w:rsid w:val="00587509"/>
    <w:rsid w:val="00587890"/>
    <w:rsid w:val="00592662"/>
    <w:rsid w:val="00593CCE"/>
    <w:rsid w:val="00594BB1"/>
    <w:rsid w:val="00595373"/>
    <w:rsid w:val="005960CA"/>
    <w:rsid w:val="005966C9"/>
    <w:rsid w:val="005A1C53"/>
    <w:rsid w:val="005A5EDA"/>
    <w:rsid w:val="005A69B8"/>
    <w:rsid w:val="005B0858"/>
    <w:rsid w:val="005B21C7"/>
    <w:rsid w:val="005B483D"/>
    <w:rsid w:val="005B75B3"/>
    <w:rsid w:val="005B7C9C"/>
    <w:rsid w:val="005C31F7"/>
    <w:rsid w:val="005C4F52"/>
    <w:rsid w:val="005C690A"/>
    <w:rsid w:val="005D1DC0"/>
    <w:rsid w:val="005D700F"/>
    <w:rsid w:val="005E199C"/>
    <w:rsid w:val="005E31F0"/>
    <w:rsid w:val="005E787C"/>
    <w:rsid w:val="005F2541"/>
    <w:rsid w:val="005F4D44"/>
    <w:rsid w:val="005F50B8"/>
    <w:rsid w:val="005F64C1"/>
    <w:rsid w:val="005F6BAC"/>
    <w:rsid w:val="005F717B"/>
    <w:rsid w:val="005F77BD"/>
    <w:rsid w:val="006063A4"/>
    <w:rsid w:val="00607B95"/>
    <w:rsid w:val="006114ED"/>
    <w:rsid w:val="006130A7"/>
    <w:rsid w:val="00613218"/>
    <w:rsid w:val="00615639"/>
    <w:rsid w:val="00616BA3"/>
    <w:rsid w:val="00622704"/>
    <w:rsid w:val="0062482E"/>
    <w:rsid w:val="00624BB2"/>
    <w:rsid w:val="0062501E"/>
    <w:rsid w:val="00626D86"/>
    <w:rsid w:val="0062759A"/>
    <w:rsid w:val="0062792F"/>
    <w:rsid w:val="00630B08"/>
    <w:rsid w:val="0063333A"/>
    <w:rsid w:val="0063429A"/>
    <w:rsid w:val="00634838"/>
    <w:rsid w:val="0064054E"/>
    <w:rsid w:val="00641840"/>
    <w:rsid w:val="00641CD8"/>
    <w:rsid w:val="00642608"/>
    <w:rsid w:val="0064260E"/>
    <w:rsid w:val="00645290"/>
    <w:rsid w:val="00645941"/>
    <w:rsid w:val="00651133"/>
    <w:rsid w:val="00652481"/>
    <w:rsid w:val="006553A9"/>
    <w:rsid w:val="0065588C"/>
    <w:rsid w:val="00662A81"/>
    <w:rsid w:val="00662BDA"/>
    <w:rsid w:val="0066367E"/>
    <w:rsid w:val="00666290"/>
    <w:rsid w:val="00666B06"/>
    <w:rsid w:val="00673247"/>
    <w:rsid w:val="00673469"/>
    <w:rsid w:val="00673E83"/>
    <w:rsid w:val="006746A1"/>
    <w:rsid w:val="0067530B"/>
    <w:rsid w:val="006755E9"/>
    <w:rsid w:val="00676E95"/>
    <w:rsid w:val="00681561"/>
    <w:rsid w:val="00681848"/>
    <w:rsid w:val="00685344"/>
    <w:rsid w:val="00691701"/>
    <w:rsid w:val="00692718"/>
    <w:rsid w:val="00692EAC"/>
    <w:rsid w:val="00694362"/>
    <w:rsid w:val="006A019E"/>
    <w:rsid w:val="006A061E"/>
    <w:rsid w:val="006A0F7D"/>
    <w:rsid w:val="006A5DB4"/>
    <w:rsid w:val="006B048F"/>
    <w:rsid w:val="006B11F9"/>
    <w:rsid w:val="006B2E21"/>
    <w:rsid w:val="006B2F56"/>
    <w:rsid w:val="006B76BE"/>
    <w:rsid w:val="006B770B"/>
    <w:rsid w:val="006B7784"/>
    <w:rsid w:val="006C1F5A"/>
    <w:rsid w:val="006C645B"/>
    <w:rsid w:val="006C6B66"/>
    <w:rsid w:val="006D27A2"/>
    <w:rsid w:val="006D2994"/>
    <w:rsid w:val="006D391B"/>
    <w:rsid w:val="006D5E78"/>
    <w:rsid w:val="006D727C"/>
    <w:rsid w:val="006D78F7"/>
    <w:rsid w:val="006E03C2"/>
    <w:rsid w:val="006E3279"/>
    <w:rsid w:val="006E333A"/>
    <w:rsid w:val="006E7DC4"/>
    <w:rsid w:val="006F083C"/>
    <w:rsid w:val="006F1BDD"/>
    <w:rsid w:val="006F323B"/>
    <w:rsid w:val="006F508C"/>
    <w:rsid w:val="006F50A5"/>
    <w:rsid w:val="006F59A1"/>
    <w:rsid w:val="006F5AB4"/>
    <w:rsid w:val="006F5DF3"/>
    <w:rsid w:val="006F658A"/>
    <w:rsid w:val="006F68A8"/>
    <w:rsid w:val="006F6B1E"/>
    <w:rsid w:val="007046D9"/>
    <w:rsid w:val="00706157"/>
    <w:rsid w:val="00711269"/>
    <w:rsid w:val="007118DC"/>
    <w:rsid w:val="00714FB2"/>
    <w:rsid w:val="007162B0"/>
    <w:rsid w:val="00716904"/>
    <w:rsid w:val="00717583"/>
    <w:rsid w:val="00717F49"/>
    <w:rsid w:val="007209A7"/>
    <w:rsid w:val="007209B7"/>
    <w:rsid w:val="00721DAF"/>
    <w:rsid w:val="00722B32"/>
    <w:rsid w:val="007237EC"/>
    <w:rsid w:val="00725A3F"/>
    <w:rsid w:val="0073350D"/>
    <w:rsid w:val="00734815"/>
    <w:rsid w:val="007353DE"/>
    <w:rsid w:val="00736D5A"/>
    <w:rsid w:val="00741A0D"/>
    <w:rsid w:val="00743F67"/>
    <w:rsid w:val="00745477"/>
    <w:rsid w:val="00746DC7"/>
    <w:rsid w:val="00747469"/>
    <w:rsid w:val="00750BC3"/>
    <w:rsid w:val="00750D58"/>
    <w:rsid w:val="0075408C"/>
    <w:rsid w:val="0075437D"/>
    <w:rsid w:val="00754A0D"/>
    <w:rsid w:val="00755757"/>
    <w:rsid w:val="0075740C"/>
    <w:rsid w:val="00760B76"/>
    <w:rsid w:val="007612B7"/>
    <w:rsid w:val="007616CF"/>
    <w:rsid w:val="00761D14"/>
    <w:rsid w:val="0076732E"/>
    <w:rsid w:val="00771BDD"/>
    <w:rsid w:val="00775A31"/>
    <w:rsid w:val="00781988"/>
    <w:rsid w:val="00784A1C"/>
    <w:rsid w:val="00787A3C"/>
    <w:rsid w:val="007939F6"/>
    <w:rsid w:val="00794D29"/>
    <w:rsid w:val="007969A4"/>
    <w:rsid w:val="007A1D10"/>
    <w:rsid w:val="007A2547"/>
    <w:rsid w:val="007A4C91"/>
    <w:rsid w:val="007A5214"/>
    <w:rsid w:val="007A74D8"/>
    <w:rsid w:val="007B412F"/>
    <w:rsid w:val="007B5C61"/>
    <w:rsid w:val="007B7456"/>
    <w:rsid w:val="007C4193"/>
    <w:rsid w:val="007C6537"/>
    <w:rsid w:val="007D1B0E"/>
    <w:rsid w:val="007D595D"/>
    <w:rsid w:val="007D5FD1"/>
    <w:rsid w:val="007F3289"/>
    <w:rsid w:val="007F3347"/>
    <w:rsid w:val="0080002B"/>
    <w:rsid w:val="008045D7"/>
    <w:rsid w:val="0080730D"/>
    <w:rsid w:val="0081126C"/>
    <w:rsid w:val="00814B5F"/>
    <w:rsid w:val="008177D7"/>
    <w:rsid w:val="008233C6"/>
    <w:rsid w:val="00825F01"/>
    <w:rsid w:val="00826835"/>
    <w:rsid w:val="00826A6B"/>
    <w:rsid w:val="0082757B"/>
    <w:rsid w:val="00832E19"/>
    <w:rsid w:val="00834F40"/>
    <w:rsid w:val="0083515B"/>
    <w:rsid w:val="008358E9"/>
    <w:rsid w:val="00837BCE"/>
    <w:rsid w:val="00844252"/>
    <w:rsid w:val="00852EEE"/>
    <w:rsid w:val="0085439C"/>
    <w:rsid w:val="00854479"/>
    <w:rsid w:val="008545F7"/>
    <w:rsid w:val="008575F8"/>
    <w:rsid w:val="00860362"/>
    <w:rsid w:val="00860FE4"/>
    <w:rsid w:val="00861A6E"/>
    <w:rsid w:val="0086365B"/>
    <w:rsid w:val="008662D6"/>
    <w:rsid w:val="00866FF1"/>
    <w:rsid w:val="008679A5"/>
    <w:rsid w:val="008719C6"/>
    <w:rsid w:val="00871DA3"/>
    <w:rsid w:val="00872E57"/>
    <w:rsid w:val="00873BEF"/>
    <w:rsid w:val="00880B66"/>
    <w:rsid w:val="00881BD0"/>
    <w:rsid w:val="00883DBB"/>
    <w:rsid w:val="008844CC"/>
    <w:rsid w:val="00887736"/>
    <w:rsid w:val="00891117"/>
    <w:rsid w:val="00893631"/>
    <w:rsid w:val="00893748"/>
    <w:rsid w:val="00893DA8"/>
    <w:rsid w:val="008A10E3"/>
    <w:rsid w:val="008A1A5A"/>
    <w:rsid w:val="008A6403"/>
    <w:rsid w:val="008B0365"/>
    <w:rsid w:val="008B11D1"/>
    <w:rsid w:val="008B15A3"/>
    <w:rsid w:val="008B1BC0"/>
    <w:rsid w:val="008B251C"/>
    <w:rsid w:val="008B286B"/>
    <w:rsid w:val="008B2888"/>
    <w:rsid w:val="008B2A01"/>
    <w:rsid w:val="008B6C34"/>
    <w:rsid w:val="008C0B61"/>
    <w:rsid w:val="008C277C"/>
    <w:rsid w:val="008C3931"/>
    <w:rsid w:val="008C73D8"/>
    <w:rsid w:val="008C7659"/>
    <w:rsid w:val="008D473A"/>
    <w:rsid w:val="008D5A70"/>
    <w:rsid w:val="008D5CE6"/>
    <w:rsid w:val="008E0C85"/>
    <w:rsid w:val="008E1EEB"/>
    <w:rsid w:val="008E1FB9"/>
    <w:rsid w:val="008E5D82"/>
    <w:rsid w:val="008E7A14"/>
    <w:rsid w:val="008F0BAF"/>
    <w:rsid w:val="008F5B50"/>
    <w:rsid w:val="008F6A20"/>
    <w:rsid w:val="00900ADF"/>
    <w:rsid w:val="00901AEE"/>
    <w:rsid w:val="00902E6F"/>
    <w:rsid w:val="00907780"/>
    <w:rsid w:val="00907CFF"/>
    <w:rsid w:val="0091207E"/>
    <w:rsid w:val="00914735"/>
    <w:rsid w:val="00917C9D"/>
    <w:rsid w:val="0092271D"/>
    <w:rsid w:val="0092276D"/>
    <w:rsid w:val="009231C2"/>
    <w:rsid w:val="009274EB"/>
    <w:rsid w:val="009313FD"/>
    <w:rsid w:val="009315F8"/>
    <w:rsid w:val="00931635"/>
    <w:rsid w:val="009324C0"/>
    <w:rsid w:val="0093445B"/>
    <w:rsid w:val="00935E1B"/>
    <w:rsid w:val="00936402"/>
    <w:rsid w:val="00936EA4"/>
    <w:rsid w:val="00941380"/>
    <w:rsid w:val="00944DF7"/>
    <w:rsid w:val="00947775"/>
    <w:rsid w:val="00950BD4"/>
    <w:rsid w:val="0095183D"/>
    <w:rsid w:val="009528FB"/>
    <w:rsid w:val="00953923"/>
    <w:rsid w:val="009557AD"/>
    <w:rsid w:val="00955A01"/>
    <w:rsid w:val="00955B0E"/>
    <w:rsid w:val="009628C1"/>
    <w:rsid w:val="0096351F"/>
    <w:rsid w:val="00963B14"/>
    <w:rsid w:val="00964F3B"/>
    <w:rsid w:val="009652A6"/>
    <w:rsid w:val="00967D74"/>
    <w:rsid w:val="009709FF"/>
    <w:rsid w:val="00971D5E"/>
    <w:rsid w:val="009755D1"/>
    <w:rsid w:val="00975D0E"/>
    <w:rsid w:val="00976585"/>
    <w:rsid w:val="009807FF"/>
    <w:rsid w:val="00980FC5"/>
    <w:rsid w:val="00983C3B"/>
    <w:rsid w:val="00985D27"/>
    <w:rsid w:val="009878A1"/>
    <w:rsid w:val="00987E55"/>
    <w:rsid w:val="0099066F"/>
    <w:rsid w:val="0099246B"/>
    <w:rsid w:val="0099247F"/>
    <w:rsid w:val="00992D69"/>
    <w:rsid w:val="0099317E"/>
    <w:rsid w:val="00995703"/>
    <w:rsid w:val="009958AB"/>
    <w:rsid w:val="0099730C"/>
    <w:rsid w:val="009A06C3"/>
    <w:rsid w:val="009A1214"/>
    <w:rsid w:val="009A5094"/>
    <w:rsid w:val="009A795A"/>
    <w:rsid w:val="009B495F"/>
    <w:rsid w:val="009B718B"/>
    <w:rsid w:val="009C1024"/>
    <w:rsid w:val="009C324B"/>
    <w:rsid w:val="009C37BB"/>
    <w:rsid w:val="009C5AB6"/>
    <w:rsid w:val="009C6A75"/>
    <w:rsid w:val="009C709C"/>
    <w:rsid w:val="009D0F26"/>
    <w:rsid w:val="009D2B80"/>
    <w:rsid w:val="009D2E21"/>
    <w:rsid w:val="009D39CE"/>
    <w:rsid w:val="009D3BC8"/>
    <w:rsid w:val="009D4A28"/>
    <w:rsid w:val="009E4A0F"/>
    <w:rsid w:val="009E7AB8"/>
    <w:rsid w:val="009F1197"/>
    <w:rsid w:val="009F4EA8"/>
    <w:rsid w:val="009F6630"/>
    <w:rsid w:val="00A01D68"/>
    <w:rsid w:val="00A023C1"/>
    <w:rsid w:val="00A033F2"/>
    <w:rsid w:val="00A046F5"/>
    <w:rsid w:val="00A05D91"/>
    <w:rsid w:val="00A06688"/>
    <w:rsid w:val="00A111B7"/>
    <w:rsid w:val="00A1147A"/>
    <w:rsid w:val="00A12F42"/>
    <w:rsid w:val="00A13E15"/>
    <w:rsid w:val="00A15ACD"/>
    <w:rsid w:val="00A21C6C"/>
    <w:rsid w:val="00A22067"/>
    <w:rsid w:val="00A24632"/>
    <w:rsid w:val="00A26636"/>
    <w:rsid w:val="00A308F7"/>
    <w:rsid w:val="00A30C16"/>
    <w:rsid w:val="00A33F32"/>
    <w:rsid w:val="00A3590D"/>
    <w:rsid w:val="00A35DE1"/>
    <w:rsid w:val="00A36B0A"/>
    <w:rsid w:val="00A42958"/>
    <w:rsid w:val="00A44839"/>
    <w:rsid w:val="00A46333"/>
    <w:rsid w:val="00A50872"/>
    <w:rsid w:val="00A56800"/>
    <w:rsid w:val="00A5695B"/>
    <w:rsid w:val="00A56D7B"/>
    <w:rsid w:val="00A60519"/>
    <w:rsid w:val="00A627EF"/>
    <w:rsid w:val="00A66F86"/>
    <w:rsid w:val="00A6727A"/>
    <w:rsid w:val="00A6766E"/>
    <w:rsid w:val="00A70B6E"/>
    <w:rsid w:val="00A723CA"/>
    <w:rsid w:val="00A76D42"/>
    <w:rsid w:val="00A80671"/>
    <w:rsid w:val="00A80C18"/>
    <w:rsid w:val="00A84A0A"/>
    <w:rsid w:val="00A86E1D"/>
    <w:rsid w:val="00A87F7A"/>
    <w:rsid w:val="00A94D54"/>
    <w:rsid w:val="00A95592"/>
    <w:rsid w:val="00AA0331"/>
    <w:rsid w:val="00AA0CD9"/>
    <w:rsid w:val="00AA164F"/>
    <w:rsid w:val="00AA40B2"/>
    <w:rsid w:val="00AA555D"/>
    <w:rsid w:val="00AA5B07"/>
    <w:rsid w:val="00AA6F0B"/>
    <w:rsid w:val="00AA7FB3"/>
    <w:rsid w:val="00AB118E"/>
    <w:rsid w:val="00AB1967"/>
    <w:rsid w:val="00AB1CAF"/>
    <w:rsid w:val="00AB2D41"/>
    <w:rsid w:val="00AB30AA"/>
    <w:rsid w:val="00AB3AAB"/>
    <w:rsid w:val="00AC2722"/>
    <w:rsid w:val="00AC7AEC"/>
    <w:rsid w:val="00AC7C80"/>
    <w:rsid w:val="00AD1273"/>
    <w:rsid w:val="00AD156A"/>
    <w:rsid w:val="00AD2307"/>
    <w:rsid w:val="00AD2504"/>
    <w:rsid w:val="00AD36B9"/>
    <w:rsid w:val="00AD4E33"/>
    <w:rsid w:val="00AD5867"/>
    <w:rsid w:val="00AE0F44"/>
    <w:rsid w:val="00AE1FB0"/>
    <w:rsid w:val="00AE2E7C"/>
    <w:rsid w:val="00AE3AF7"/>
    <w:rsid w:val="00AE50E8"/>
    <w:rsid w:val="00AE633F"/>
    <w:rsid w:val="00AF3F86"/>
    <w:rsid w:val="00B00423"/>
    <w:rsid w:val="00B04DF0"/>
    <w:rsid w:val="00B0616A"/>
    <w:rsid w:val="00B108AE"/>
    <w:rsid w:val="00B1207A"/>
    <w:rsid w:val="00B12371"/>
    <w:rsid w:val="00B123C2"/>
    <w:rsid w:val="00B12A5B"/>
    <w:rsid w:val="00B17E45"/>
    <w:rsid w:val="00B204D3"/>
    <w:rsid w:val="00B211D3"/>
    <w:rsid w:val="00B24BF8"/>
    <w:rsid w:val="00B257CA"/>
    <w:rsid w:val="00B25FB8"/>
    <w:rsid w:val="00B266FD"/>
    <w:rsid w:val="00B30B3B"/>
    <w:rsid w:val="00B30C52"/>
    <w:rsid w:val="00B349E7"/>
    <w:rsid w:val="00B34F00"/>
    <w:rsid w:val="00B35F09"/>
    <w:rsid w:val="00B508B4"/>
    <w:rsid w:val="00B51B96"/>
    <w:rsid w:val="00B53B59"/>
    <w:rsid w:val="00B55407"/>
    <w:rsid w:val="00B6040A"/>
    <w:rsid w:val="00B61418"/>
    <w:rsid w:val="00B62E37"/>
    <w:rsid w:val="00B64DE4"/>
    <w:rsid w:val="00B651C3"/>
    <w:rsid w:val="00B66A63"/>
    <w:rsid w:val="00B66B6E"/>
    <w:rsid w:val="00B67C0E"/>
    <w:rsid w:val="00B67FD0"/>
    <w:rsid w:val="00B67FFA"/>
    <w:rsid w:val="00B71561"/>
    <w:rsid w:val="00B7233D"/>
    <w:rsid w:val="00B773D1"/>
    <w:rsid w:val="00B774B0"/>
    <w:rsid w:val="00B8030B"/>
    <w:rsid w:val="00B81DAB"/>
    <w:rsid w:val="00B84681"/>
    <w:rsid w:val="00B84D27"/>
    <w:rsid w:val="00B8782B"/>
    <w:rsid w:val="00B9122C"/>
    <w:rsid w:val="00B9301F"/>
    <w:rsid w:val="00B931A1"/>
    <w:rsid w:val="00B93986"/>
    <w:rsid w:val="00B976AE"/>
    <w:rsid w:val="00BA0106"/>
    <w:rsid w:val="00BA0A70"/>
    <w:rsid w:val="00BA0D8F"/>
    <w:rsid w:val="00BA1566"/>
    <w:rsid w:val="00BA31ED"/>
    <w:rsid w:val="00BA4A10"/>
    <w:rsid w:val="00BA7C93"/>
    <w:rsid w:val="00BB4B0A"/>
    <w:rsid w:val="00BB54A9"/>
    <w:rsid w:val="00BB56DD"/>
    <w:rsid w:val="00BC0561"/>
    <w:rsid w:val="00BC124B"/>
    <w:rsid w:val="00BC1C7C"/>
    <w:rsid w:val="00BC2688"/>
    <w:rsid w:val="00BC2C88"/>
    <w:rsid w:val="00BC41CF"/>
    <w:rsid w:val="00BC4511"/>
    <w:rsid w:val="00BC4663"/>
    <w:rsid w:val="00BC4CC1"/>
    <w:rsid w:val="00BD07E7"/>
    <w:rsid w:val="00BD2893"/>
    <w:rsid w:val="00BD35C9"/>
    <w:rsid w:val="00BD5AFB"/>
    <w:rsid w:val="00BD7259"/>
    <w:rsid w:val="00BE19AF"/>
    <w:rsid w:val="00BE3CD1"/>
    <w:rsid w:val="00BE402F"/>
    <w:rsid w:val="00BE5437"/>
    <w:rsid w:val="00BE65B9"/>
    <w:rsid w:val="00BE7379"/>
    <w:rsid w:val="00BE7FA2"/>
    <w:rsid w:val="00BF1265"/>
    <w:rsid w:val="00BF1855"/>
    <w:rsid w:val="00BF3E4B"/>
    <w:rsid w:val="00BF652E"/>
    <w:rsid w:val="00BF70E8"/>
    <w:rsid w:val="00C02F8F"/>
    <w:rsid w:val="00C05B58"/>
    <w:rsid w:val="00C07D34"/>
    <w:rsid w:val="00C164AB"/>
    <w:rsid w:val="00C164E8"/>
    <w:rsid w:val="00C20998"/>
    <w:rsid w:val="00C209F3"/>
    <w:rsid w:val="00C2114A"/>
    <w:rsid w:val="00C2368B"/>
    <w:rsid w:val="00C3023F"/>
    <w:rsid w:val="00C320E7"/>
    <w:rsid w:val="00C328DC"/>
    <w:rsid w:val="00C339D4"/>
    <w:rsid w:val="00C346DB"/>
    <w:rsid w:val="00C40091"/>
    <w:rsid w:val="00C4013A"/>
    <w:rsid w:val="00C416E3"/>
    <w:rsid w:val="00C42E58"/>
    <w:rsid w:val="00C43885"/>
    <w:rsid w:val="00C446CA"/>
    <w:rsid w:val="00C466D0"/>
    <w:rsid w:val="00C469F5"/>
    <w:rsid w:val="00C52102"/>
    <w:rsid w:val="00C571D3"/>
    <w:rsid w:val="00C6094B"/>
    <w:rsid w:val="00C60ACE"/>
    <w:rsid w:val="00C627BF"/>
    <w:rsid w:val="00C62858"/>
    <w:rsid w:val="00C637C4"/>
    <w:rsid w:val="00C64CFB"/>
    <w:rsid w:val="00C65DC9"/>
    <w:rsid w:val="00C66759"/>
    <w:rsid w:val="00C66CFA"/>
    <w:rsid w:val="00C672E2"/>
    <w:rsid w:val="00C674B5"/>
    <w:rsid w:val="00C67CCE"/>
    <w:rsid w:val="00C7257C"/>
    <w:rsid w:val="00C742D2"/>
    <w:rsid w:val="00C80563"/>
    <w:rsid w:val="00C81217"/>
    <w:rsid w:val="00C815BC"/>
    <w:rsid w:val="00C82F4A"/>
    <w:rsid w:val="00C848C3"/>
    <w:rsid w:val="00C86954"/>
    <w:rsid w:val="00C86E9A"/>
    <w:rsid w:val="00C90E23"/>
    <w:rsid w:val="00C924BE"/>
    <w:rsid w:val="00C933D0"/>
    <w:rsid w:val="00C9388A"/>
    <w:rsid w:val="00C94AD0"/>
    <w:rsid w:val="00C94CC9"/>
    <w:rsid w:val="00CA0A4F"/>
    <w:rsid w:val="00CA1353"/>
    <w:rsid w:val="00CA1D83"/>
    <w:rsid w:val="00CA3CDF"/>
    <w:rsid w:val="00CA5C8D"/>
    <w:rsid w:val="00CB0B8C"/>
    <w:rsid w:val="00CB11E2"/>
    <w:rsid w:val="00CB130C"/>
    <w:rsid w:val="00CB565B"/>
    <w:rsid w:val="00CC531B"/>
    <w:rsid w:val="00CC5AA2"/>
    <w:rsid w:val="00CC6808"/>
    <w:rsid w:val="00CD04E1"/>
    <w:rsid w:val="00CD4B90"/>
    <w:rsid w:val="00CE02A0"/>
    <w:rsid w:val="00CE0745"/>
    <w:rsid w:val="00CE51FD"/>
    <w:rsid w:val="00CE6191"/>
    <w:rsid w:val="00CE6B9F"/>
    <w:rsid w:val="00CE779A"/>
    <w:rsid w:val="00CE7EE5"/>
    <w:rsid w:val="00CF0A22"/>
    <w:rsid w:val="00CF24EC"/>
    <w:rsid w:val="00CF32DD"/>
    <w:rsid w:val="00CF3CC9"/>
    <w:rsid w:val="00CF4291"/>
    <w:rsid w:val="00CF6709"/>
    <w:rsid w:val="00CF6F00"/>
    <w:rsid w:val="00D01559"/>
    <w:rsid w:val="00D01677"/>
    <w:rsid w:val="00D0264C"/>
    <w:rsid w:val="00D0397A"/>
    <w:rsid w:val="00D077BC"/>
    <w:rsid w:val="00D136AD"/>
    <w:rsid w:val="00D141A6"/>
    <w:rsid w:val="00D1507E"/>
    <w:rsid w:val="00D150D0"/>
    <w:rsid w:val="00D21B30"/>
    <w:rsid w:val="00D25BD8"/>
    <w:rsid w:val="00D25C83"/>
    <w:rsid w:val="00D271BC"/>
    <w:rsid w:val="00D27D88"/>
    <w:rsid w:val="00D30506"/>
    <w:rsid w:val="00D329FA"/>
    <w:rsid w:val="00D3407B"/>
    <w:rsid w:val="00D34A03"/>
    <w:rsid w:val="00D34EB0"/>
    <w:rsid w:val="00D41ABE"/>
    <w:rsid w:val="00D42FCD"/>
    <w:rsid w:val="00D4459C"/>
    <w:rsid w:val="00D454D2"/>
    <w:rsid w:val="00D45752"/>
    <w:rsid w:val="00D4584E"/>
    <w:rsid w:val="00D46FDD"/>
    <w:rsid w:val="00D509A3"/>
    <w:rsid w:val="00D52557"/>
    <w:rsid w:val="00D53EE9"/>
    <w:rsid w:val="00D54A7F"/>
    <w:rsid w:val="00D57F87"/>
    <w:rsid w:val="00D60505"/>
    <w:rsid w:val="00D60BD4"/>
    <w:rsid w:val="00D62B82"/>
    <w:rsid w:val="00D63138"/>
    <w:rsid w:val="00D67301"/>
    <w:rsid w:val="00D73D6B"/>
    <w:rsid w:val="00D75A8A"/>
    <w:rsid w:val="00D75AD0"/>
    <w:rsid w:val="00D77EAC"/>
    <w:rsid w:val="00D8297D"/>
    <w:rsid w:val="00D830E0"/>
    <w:rsid w:val="00D85FB0"/>
    <w:rsid w:val="00D87F95"/>
    <w:rsid w:val="00D92BC9"/>
    <w:rsid w:val="00D949B6"/>
    <w:rsid w:val="00D94C4D"/>
    <w:rsid w:val="00D95499"/>
    <w:rsid w:val="00D95F57"/>
    <w:rsid w:val="00D970D4"/>
    <w:rsid w:val="00DA3103"/>
    <w:rsid w:val="00DA4F93"/>
    <w:rsid w:val="00DA71CD"/>
    <w:rsid w:val="00DB0A68"/>
    <w:rsid w:val="00DB19CD"/>
    <w:rsid w:val="00DB2F49"/>
    <w:rsid w:val="00DB3D4D"/>
    <w:rsid w:val="00DB4535"/>
    <w:rsid w:val="00DB510B"/>
    <w:rsid w:val="00DC03D5"/>
    <w:rsid w:val="00DC0CA8"/>
    <w:rsid w:val="00DC3AD5"/>
    <w:rsid w:val="00DC3C22"/>
    <w:rsid w:val="00DC50A9"/>
    <w:rsid w:val="00DC55A5"/>
    <w:rsid w:val="00DD044B"/>
    <w:rsid w:val="00DD288A"/>
    <w:rsid w:val="00DD4B00"/>
    <w:rsid w:val="00DD4E5C"/>
    <w:rsid w:val="00DD5BDA"/>
    <w:rsid w:val="00DE1144"/>
    <w:rsid w:val="00DE16C0"/>
    <w:rsid w:val="00DE3291"/>
    <w:rsid w:val="00DE4CD7"/>
    <w:rsid w:val="00DE5666"/>
    <w:rsid w:val="00DE5997"/>
    <w:rsid w:val="00DF2A1A"/>
    <w:rsid w:val="00DF4DF6"/>
    <w:rsid w:val="00DF73DD"/>
    <w:rsid w:val="00E00128"/>
    <w:rsid w:val="00E0103D"/>
    <w:rsid w:val="00E03147"/>
    <w:rsid w:val="00E051C0"/>
    <w:rsid w:val="00E054FD"/>
    <w:rsid w:val="00E056D3"/>
    <w:rsid w:val="00E06AFB"/>
    <w:rsid w:val="00E1323C"/>
    <w:rsid w:val="00E14AD4"/>
    <w:rsid w:val="00E16301"/>
    <w:rsid w:val="00E1639C"/>
    <w:rsid w:val="00E1757C"/>
    <w:rsid w:val="00E21D80"/>
    <w:rsid w:val="00E269D7"/>
    <w:rsid w:val="00E3391D"/>
    <w:rsid w:val="00E34D88"/>
    <w:rsid w:val="00E35854"/>
    <w:rsid w:val="00E35AC3"/>
    <w:rsid w:val="00E37268"/>
    <w:rsid w:val="00E37C6F"/>
    <w:rsid w:val="00E43FC3"/>
    <w:rsid w:val="00E463D4"/>
    <w:rsid w:val="00E512ED"/>
    <w:rsid w:val="00E5246F"/>
    <w:rsid w:val="00E565C8"/>
    <w:rsid w:val="00E6102C"/>
    <w:rsid w:val="00E6214C"/>
    <w:rsid w:val="00E632A9"/>
    <w:rsid w:val="00E66AFC"/>
    <w:rsid w:val="00E706CF"/>
    <w:rsid w:val="00E70B9C"/>
    <w:rsid w:val="00E71A64"/>
    <w:rsid w:val="00E74AC1"/>
    <w:rsid w:val="00E833E1"/>
    <w:rsid w:val="00E85EB7"/>
    <w:rsid w:val="00E870FC"/>
    <w:rsid w:val="00E908D7"/>
    <w:rsid w:val="00E92186"/>
    <w:rsid w:val="00E95691"/>
    <w:rsid w:val="00E95DE1"/>
    <w:rsid w:val="00E97978"/>
    <w:rsid w:val="00EA2439"/>
    <w:rsid w:val="00EA382D"/>
    <w:rsid w:val="00EA4392"/>
    <w:rsid w:val="00EA554E"/>
    <w:rsid w:val="00EA5C61"/>
    <w:rsid w:val="00EB306D"/>
    <w:rsid w:val="00EB392B"/>
    <w:rsid w:val="00EB5A59"/>
    <w:rsid w:val="00EC2A15"/>
    <w:rsid w:val="00EC33A0"/>
    <w:rsid w:val="00ED015E"/>
    <w:rsid w:val="00ED06CD"/>
    <w:rsid w:val="00ED28EB"/>
    <w:rsid w:val="00ED3573"/>
    <w:rsid w:val="00ED3EC2"/>
    <w:rsid w:val="00ED5A15"/>
    <w:rsid w:val="00ED6300"/>
    <w:rsid w:val="00ED6325"/>
    <w:rsid w:val="00ED6A9C"/>
    <w:rsid w:val="00ED76C7"/>
    <w:rsid w:val="00ED7801"/>
    <w:rsid w:val="00EE169E"/>
    <w:rsid w:val="00EE20B8"/>
    <w:rsid w:val="00EE2658"/>
    <w:rsid w:val="00EE2851"/>
    <w:rsid w:val="00EE3BE2"/>
    <w:rsid w:val="00EE51B6"/>
    <w:rsid w:val="00EE59FD"/>
    <w:rsid w:val="00EE672A"/>
    <w:rsid w:val="00EF38F4"/>
    <w:rsid w:val="00EF604D"/>
    <w:rsid w:val="00EF6ADD"/>
    <w:rsid w:val="00EF6B35"/>
    <w:rsid w:val="00EF7761"/>
    <w:rsid w:val="00F0128C"/>
    <w:rsid w:val="00F05A75"/>
    <w:rsid w:val="00F074E0"/>
    <w:rsid w:val="00F10072"/>
    <w:rsid w:val="00F101EC"/>
    <w:rsid w:val="00F11C3D"/>
    <w:rsid w:val="00F12238"/>
    <w:rsid w:val="00F14C21"/>
    <w:rsid w:val="00F15B38"/>
    <w:rsid w:val="00F163A5"/>
    <w:rsid w:val="00F1643F"/>
    <w:rsid w:val="00F21170"/>
    <w:rsid w:val="00F23CFE"/>
    <w:rsid w:val="00F24CF3"/>
    <w:rsid w:val="00F256C9"/>
    <w:rsid w:val="00F31F97"/>
    <w:rsid w:val="00F32D10"/>
    <w:rsid w:val="00F34CF1"/>
    <w:rsid w:val="00F354D7"/>
    <w:rsid w:val="00F366DD"/>
    <w:rsid w:val="00F370BA"/>
    <w:rsid w:val="00F373A8"/>
    <w:rsid w:val="00F414F1"/>
    <w:rsid w:val="00F42B32"/>
    <w:rsid w:val="00F46558"/>
    <w:rsid w:val="00F46F7E"/>
    <w:rsid w:val="00F51952"/>
    <w:rsid w:val="00F52834"/>
    <w:rsid w:val="00F54AD6"/>
    <w:rsid w:val="00F610AF"/>
    <w:rsid w:val="00F61230"/>
    <w:rsid w:val="00F64619"/>
    <w:rsid w:val="00F646FE"/>
    <w:rsid w:val="00F649DE"/>
    <w:rsid w:val="00F64CE6"/>
    <w:rsid w:val="00F70AC0"/>
    <w:rsid w:val="00F73D6B"/>
    <w:rsid w:val="00F752A0"/>
    <w:rsid w:val="00F81499"/>
    <w:rsid w:val="00F81D49"/>
    <w:rsid w:val="00F837E5"/>
    <w:rsid w:val="00F83B6E"/>
    <w:rsid w:val="00F85696"/>
    <w:rsid w:val="00F86B09"/>
    <w:rsid w:val="00F87D3F"/>
    <w:rsid w:val="00F919AA"/>
    <w:rsid w:val="00F930CF"/>
    <w:rsid w:val="00F9439B"/>
    <w:rsid w:val="00F96166"/>
    <w:rsid w:val="00FA3C19"/>
    <w:rsid w:val="00FB04FC"/>
    <w:rsid w:val="00FB308F"/>
    <w:rsid w:val="00FB3235"/>
    <w:rsid w:val="00FB4EEC"/>
    <w:rsid w:val="00FB57D4"/>
    <w:rsid w:val="00FB5FD1"/>
    <w:rsid w:val="00FC1585"/>
    <w:rsid w:val="00FC1E25"/>
    <w:rsid w:val="00FC2143"/>
    <w:rsid w:val="00FC26E7"/>
    <w:rsid w:val="00FC6ECA"/>
    <w:rsid w:val="00FD0FBA"/>
    <w:rsid w:val="00FD5CC3"/>
    <w:rsid w:val="00FE1D4C"/>
    <w:rsid w:val="00FE3BA7"/>
    <w:rsid w:val="00FE54E4"/>
    <w:rsid w:val="00FE692D"/>
    <w:rsid w:val="00FF04F3"/>
    <w:rsid w:val="00FF0CD3"/>
    <w:rsid w:val="00FF17A7"/>
    <w:rsid w:val="00FF5EAD"/>
    <w:rsid w:val="00FF73B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3964FA"/>
    <w:rPr>
      <w:color w:val="0000FF" w:themeColor="hyperlink"/>
      <w:u w:val="single"/>
    </w:rPr>
  </w:style>
  <w:style w:type="character" w:styleId="MenoPendente">
    <w:name w:val="Unresolved Mention"/>
    <w:basedOn w:val="Fontepargpadro"/>
    <w:uiPriority w:val="99"/>
    <w:semiHidden/>
    <w:unhideWhenUsed/>
    <w:rsid w:val="003964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planalto.gov.br/ccivil_03/consti-tuicao/constituicao.htm" TargetMode="External"/><Relationship Id="rId18" Type="http://schemas.openxmlformats.org/officeDocument/2006/relationships/hyperlink" Target="https://www.scielo.br/j/rsocp/a/w75TqBF3yjv4JHqyV65vcjb/abstract/?lang=pt"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hyperlink" Target="https://www.scielo.br/j/dados/a/Lrm7KQHYssvHZk6GmRrrnfF/" TargetMode="External"/><Relationship Id="rId17" Type="http://schemas.openxmlformats.org/officeDocument/2006/relationships/hyperlink" Target="https://doi.org/10.1590/S0104-44782005000100008" TargetMode="External"/><Relationship Id="rId2" Type="http://schemas.openxmlformats.org/officeDocument/2006/relationships/styles" Target="styles.xml"/><Relationship Id="rId16" Type="http://schemas.openxmlformats.org/officeDocument/2006/relationships/hyperlink" Target="https://biblioteca.ibge.gov.br/visualiza-cao/livros/liv101770.pdf" TargetMode="External"/><Relationship Id="rId20" Type="http://schemas.openxmlformats.org/officeDocument/2006/relationships/hyperlink" Target="https://www.scielo.br/j/csp/a/45DWPg6xBf99zWHR57q4hc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590/S0011-52582010000300003"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planalto.gov.br/ccivil_03/_ato2004-2006/2005/lei/l11107.htm"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590/0102-311X0004681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planalto.gov.br/ccivil_03/_Ato2007-2010/2007/Decreto/D6017.htm"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mailto:fcmacedo@unicamp.br" TargetMode="External"/><Relationship Id="rId1" Type="http://schemas.openxmlformats.org/officeDocument/2006/relationships/hyperlink" Target="mailto:rosangela.pequeno@ufr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1389</TotalTime>
  <Pages>25</Pages>
  <Words>6740</Words>
  <Characters>36400</Characters>
  <Application>Microsoft Office Word</Application>
  <DocSecurity>0</DocSecurity>
  <Lines>303</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Rosangela dos Santos Alves Pequeno</cp:lastModifiedBy>
  <cp:revision>1427</cp:revision>
  <dcterms:created xsi:type="dcterms:W3CDTF">2024-06-30T20:32:00Z</dcterms:created>
  <dcterms:modified xsi:type="dcterms:W3CDTF">2024-08-28T16:06:00Z</dcterms:modified>
</cp:coreProperties>
</file>