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6CE42A" w14:textId="4EB7FFA3" w:rsidR="004071DD" w:rsidRPr="004071DD" w:rsidRDefault="004071DD" w:rsidP="004071DD">
      <w:pPr>
        <w:spacing w:line="360" w:lineRule="auto"/>
        <w:rPr>
          <w:sz w:val="24"/>
          <w:szCs w:val="24"/>
        </w:rPr>
      </w:pPr>
    </w:p>
    <w:p w14:paraId="07383E7F" w14:textId="61AEC3D1" w:rsidR="00DB1935" w:rsidRDefault="00DB1935" w:rsidP="00DB1935">
      <w:pPr>
        <w:spacing w:line="360" w:lineRule="auto"/>
        <w:jc w:val="center"/>
        <w:rPr>
          <w:rFonts w:eastAsia="Times New Roman"/>
          <w:b/>
          <w:bCs/>
          <w:sz w:val="24"/>
          <w:szCs w:val="24"/>
        </w:rPr>
      </w:pPr>
    </w:p>
    <w:p w14:paraId="4729904D" w14:textId="77777777" w:rsidR="009140D1" w:rsidRDefault="009140D1" w:rsidP="00DB1935">
      <w:pPr>
        <w:spacing w:line="360" w:lineRule="auto"/>
        <w:jc w:val="center"/>
        <w:rPr>
          <w:rFonts w:eastAsia="Times New Roman"/>
          <w:b/>
          <w:bCs/>
          <w:sz w:val="24"/>
          <w:szCs w:val="24"/>
        </w:rPr>
      </w:pPr>
    </w:p>
    <w:p w14:paraId="035C6E68" w14:textId="77777777" w:rsidR="00A1520F" w:rsidRPr="00A1520F" w:rsidRDefault="00A1520F" w:rsidP="00B0197A">
      <w:pPr>
        <w:tabs>
          <w:tab w:val="left" w:pos="1540"/>
        </w:tabs>
        <w:spacing w:line="360" w:lineRule="auto"/>
        <w:ind w:left="-360"/>
        <w:jc w:val="center"/>
        <w:rPr>
          <w:rFonts w:eastAsia="Times New Roman"/>
          <w:b/>
          <w:bCs/>
          <w:sz w:val="24"/>
          <w:szCs w:val="24"/>
        </w:rPr>
      </w:pPr>
      <w:r w:rsidRPr="00A1520F">
        <w:rPr>
          <w:rFonts w:eastAsia="Times New Roman"/>
          <w:b/>
          <w:bCs/>
          <w:sz w:val="24"/>
          <w:szCs w:val="24"/>
        </w:rPr>
        <w:t>ESTUDO DE VIABILIDADE ECONÔMICA NA CONSTRUÇÃO DE UNIDADES HABITACIONAIS DE INTERESSE POPULAR USANDO ALVENARIA ESTRUTURAL COMO SISTEMA CONSTRUTIVO</w:t>
      </w:r>
    </w:p>
    <w:p w14:paraId="2CB6A081" w14:textId="77777777" w:rsidR="00DB1935" w:rsidRDefault="00DB1935" w:rsidP="004071DD">
      <w:pPr>
        <w:tabs>
          <w:tab w:val="left" w:pos="1540"/>
        </w:tabs>
        <w:spacing w:line="360" w:lineRule="auto"/>
        <w:ind w:left="-360"/>
        <w:jc w:val="right"/>
        <w:rPr>
          <w:rFonts w:eastAsia="Times New Roman"/>
          <w:sz w:val="24"/>
          <w:szCs w:val="24"/>
        </w:rPr>
      </w:pPr>
    </w:p>
    <w:p w14:paraId="271E8EAA" w14:textId="41469328" w:rsidR="004071DD" w:rsidRPr="004071DD" w:rsidRDefault="00A1520F" w:rsidP="004071DD">
      <w:pPr>
        <w:tabs>
          <w:tab w:val="left" w:pos="1540"/>
        </w:tabs>
        <w:spacing w:line="360" w:lineRule="auto"/>
        <w:ind w:left="-360"/>
        <w:jc w:val="right"/>
        <w:rPr>
          <w:sz w:val="24"/>
          <w:szCs w:val="24"/>
        </w:rPr>
      </w:pPr>
      <w:r>
        <w:rPr>
          <w:rFonts w:eastAsia="Times New Roman"/>
          <w:sz w:val="24"/>
          <w:szCs w:val="24"/>
        </w:rPr>
        <w:t>Bruno Silva Brasil</w:t>
      </w:r>
      <w:r w:rsidR="004071DD" w:rsidRPr="004071DD">
        <w:rPr>
          <w:rFonts w:eastAsia="Times New Roman"/>
          <w:sz w:val="24"/>
          <w:szCs w:val="24"/>
        </w:rPr>
        <w:t>:</w:t>
      </w:r>
      <w:r w:rsidR="004071DD">
        <w:rPr>
          <w:rFonts w:eastAsia="Times New Roman"/>
          <w:sz w:val="24"/>
          <w:szCs w:val="24"/>
        </w:rPr>
        <w:t>¹</w:t>
      </w:r>
    </w:p>
    <w:p w14:paraId="6F219C3B" w14:textId="1F4AA98B" w:rsidR="004071DD" w:rsidRPr="004071DD" w:rsidRDefault="00A1520F" w:rsidP="004071DD">
      <w:pPr>
        <w:tabs>
          <w:tab w:val="left" w:pos="2060"/>
        </w:tabs>
        <w:spacing w:line="360" w:lineRule="auto"/>
        <w:ind w:left="-360"/>
        <w:jc w:val="right"/>
        <w:rPr>
          <w:sz w:val="24"/>
          <w:szCs w:val="24"/>
        </w:rPr>
      </w:pPr>
      <w:r>
        <w:rPr>
          <w:rFonts w:eastAsia="Times New Roman"/>
          <w:sz w:val="24"/>
          <w:szCs w:val="24"/>
        </w:rPr>
        <w:t>Gleyson Alves de Sousa</w:t>
      </w:r>
    </w:p>
    <w:p w14:paraId="43C6EE22" w14:textId="601B645E" w:rsidR="004071DD" w:rsidRPr="004071DD" w:rsidRDefault="00A1520F" w:rsidP="004071DD">
      <w:pPr>
        <w:tabs>
          <w:tab w:val="left" w:pos="2060"/>
          <w:tab w:val="left" w:pos="7240"/>
        </w:tabs>
        <w:spacing w:line="360" w:lineRule="auto"/>
        <w:ind w:left="-360"/>
        <w:jc w:val="right"/>
        <w:rPr>
          <w:sz w:val="24"/>
          <w:szCs w:val="24"/>
        </w:rPr>
      </w:pPr>
      <w:r>
        <w:rPr>
          <w:rFonts w:eastAsia="Times New Roman"/>
          <w:sz w:val="24"/>
          <w:szCs w:val="24"/>
        </w:rPr>
        <w:t>Marc</w:t>
      </w:r>
      <w:r w:rsidR="009E547C">
        <w:rPr>
          <w:rFonts w:eastAsia="Times New Roman"/>
          <w:sz w:val="24"/>
          <w:szCs w:val="24"/>
        </w:rPr>
        <w:t>í</w:t>
      </w:r>
      <w:r>
        <w:rPr>
          <w:rFonts w:eastAsia="Times New Roman"/>
          <w:sz w:val="24"/>
          <w:szCs w:val="24"/>
        </w:rPr>
        <w:t xml:space="preserve">lio Gonçalves </w:t>
      </w:r>
      <w:r w:rsidR="00904391">
        <w:rPr>
          <w:rFonts w:eastAsia="Times New Roman"/>
          <w:sz w:val="24"/>
          <w:szCs w:val="24"/>
        </w:rPr>
        <w:t>de Farias Pereira</w:t>
      </w:r>
    </w:p>
    <w:p w14:paraId="6AF28F2C" w14:textId="6B5AC3A0" w:rsidR="004071DD" w:rsidRPr="004071DD" w:rsidRDefault="005F6309" w:rsidP="004071DD">
      <w:pPr>
        <w:tabs>
          <w:tab w:val="left" w:pos="2060"/>
          <w:tab w:val="left" w:pos="7240"/>
        </w:tabs>
        <w:spacing w:line="360" w:lineRule="auto"/>
        <w:ind w:left="-360"/>
        <w:jc w:val="right"/>
        <w:rPr>
          <w:sz w:val="24"/>
          <w:szCs w:val="24"/>
        </w:rPr>
      </w:pPr>
      <w:r>
        <w:rPr>
          <w:rFonts w:eastAsia="Times New Roman"/>
          <w:sz w:val="24"/>
          <w:szCs w:val="24"/>
        </w:rPr>
        <w:t>Natanael Souza Mendes</w:t>
      </w:r>
    </w:p>
    <w:p w14:paraId="59291068" w14:textId="7DE23D68" w:rsidR="004071DD" w:rsidRDefault="005F6309" w:rsidP="009140D1">
      <w:pPr>
        <w:tabs>
          <w:tab w:val="left" w:pos="2060"/>
          <w:tab w:val="left" w:pos="7240"/>
        </w:tabs>
        <w:spacing w:line="360" w:lineRule="auto"/>
        <w:ind w:left="-360"/>
        <w:jc w:val="right"/>
        <w:rPr>
          <w:sz w:val="24"/>
          <w:szCs w:val="24"/>
        </w:rPr>
      </w:pPr>
      <w:r w:rsidRPr="005F6309">
        <w:rPr>
          <w:rFonts w:eastAsia="Times New Roman"/>
          <w:sz w:val="24"/>
          <w:szCs w:val="24"/>
        </w:rPr>
        <w:t>Pedro Victor Lopes Mendes e Moura</w:t>
      </w:r>
    </w:p>
    <w:p w14:paraId="2B6831DA" w14:textId="77777777" w:rsidR="009140D1" w:rsidRPr="004071DD" w:rsidRDefault="009140D1" w:rsidP="009140D1">
      <w:pPr>
        <w:tabs>
          <w:tab w:val="left" w:pos="2060"/>
          <w:tab w:val="left" w:pos="7240"/>
        </w:tabs>
        <w:spacing w:line="360" w:lineRule="auto"/>
        <w:ind w:left="-360"/>
        <w:jc w:val="right"/>
        <w:rPr>
          <w:sz w:val="24"/>
          <w:szCs w:val="24"/>
        </w:rPr>
      </w:pPr>
    </w:p>
    <w:p w14:paraId="711CF01E" w14:textId="77777777" w:rsidR="004071DD" w:rsidRPr="004071DD" w:rsidRDefault="004071DD" w:rsidP="004071DD">
      <w:pPr>
        <w:spacing w:line="360" w:lineRule="auto"/>
        <w:jc w:val="center"/>
        <w:rPr>
          <w:sz w:val="24"/>
          <w:szCs w:val="24"/>
        </w:rPr>
      </w:pPr>
      <w:r w:rsidRPr="004071DD">
        <w:rPr>
          <w:rFonts w:eastAsia="Times New Roman"/>
          <w:b/>
          <w:bCs/>
          <w:sz w:val="24"/>
          <w:szCs w:val="24"/>
        </w:rPr>
        <w:t>RESUMO</w:t>
      </w:r>
    </w:p>
    <w:p w14:paraId="587DD692" w14:textId="77777777" w:rsidR="00A1520F" w:rsidRPr="00A1520F" w:rsidRDefault="00A1520F" w:rsidP="00A1520F">
      <w:pPr>
        <w:jc w:val="both"/>
        <w:rPr>
          <w:rFonts w:eastAsia="Times New Roman"/>
          <w:sz w:val="24"/>
          <w:szCs w:val="24"/>
        </w:rPr>
      </w:pPr>
      <w:r w:rsidRPr="00A1520F">
        <w:rPr>
          <w:rFonts w:eastAsia="Times New Roman"/>
          <w:sz w:val="24"/>
          <w:szCs w:val="24"/>
        </w:rPr>
        <w:t xml:space="preserve">O presente trabalho teve como objetivo apresentar um estudo sobre a viabilidade econômica ao usar alvenaria estrutural na construção de unidades habitacionais de interesse popular do programa Minha Casa Minha Vida (MCMV). Para isso, foi realizada uma análise comparativa dos seguintes métodos: sistema construtivo de alvenaria estrutural e sistema construtivo convencional. Além disso, foi realizado levantamentos de quantitativos, um estudo mais detalhado sobre as formas construtivas dos métodos abordados, garantindo assim uma base de dados para a formulação dos resultados. Quadros e gráficos foram elaborados referentes aos custos por etapas da construção de casas do programa MCMV no </w:t>
      </w:r>
      <w:bookmarkStart w:id="0" w:name="_Hlk138717278"/>
      <w:r w:rsidRPr="00A1520F">
        <w:rPr>
          <w:rFonts w:eastAsia="Times New Roman"/>
          <w:sz w:val="24"/>
          <w:szCs w:val="24"/>
        </w:rPr>
        <w:t>sistema construtivo de alvenaria estrutural em relação ao sistema construtivo convencional</w:t>
      </w:r>
      <w:bookmarkEnd w:id="0"/>
      <w:r w:rsidRPr="00A1520F">
        <w:rPr>
          <w:rFonts w:eastAsia="Times New Roman"/>
          <w:sz w:val="24"/>
          <w:szCs w:val="24"/>
        </w:rPr>
        <w:t>. A metodologia deste trabalho foi um estudo de caso, onde foi realizada análises quantitativas de orçamentos, tanto para a alvenaria estrutural quanto a alvenaria convencional, com o intuito de identificar a viabilidade econômica de cada sistema construtivo. A alvenaria estrutural é uma alternativa bastante satisfatória e financeiramente tem um custo menor em relação ao sistema convencional.</w:t>
      </w:r>
    </w:p>
    <w:p w14:paraId="2F5A4D7C" w14:textId="77777777" w:rsidR="004071DD" w:rsidRDefault="004071DD" w:rsidP="004071DD">
      <w:pPr>
        <w:spacing w:line="360" w:lineRule="auto"/>
        <w:rPr>
          <w:rFonts w:eastAsia="Times New Roman"/>
          <w:b/>
          <w:bCs/>
          <w:sz w:val="24"/>
          <w:szCs w:val="24"/>
        </w:rPr>
      </w:pPr>
    </w:p>
    <w:p w14:paraId="11FA9B91" w14:textId="272D40A9" w:rsidR="004071DD" w:rsidRPr="004071DD" w:rsidRDefault="004071DD" w:rsidP="00A1520F">
      <w:pPr>
        <w:rPr>
          <w:i/>
          <w:iCs/>
          <w:sz w:val="24"/>
          <w:szCs w:val="24"/>
        </w:rPr>
      </w:pPr>
      <w:r w:rsidRPr="004071DD">
        <w:rPr>
          <w:rFonts w:eastAsia="Times New Roman"/>
          <w:b/>
          <w:bCs/>
          <w:sz w:val="24"/>
          <w:szCs w:val="24"/>
        </w:rPr>
        <w:t xml:space="preserve">Palavras-chave: </w:t>
      </w:r>
      <w:r w:rsidR="00A1520F" w:rsidRPr="00A1520F">
        <w:rPr>
          <w:rFonts w:eastAsia="Times New Roman"/>
          <w:sz w:val="24"/>
          <w:szCs w:val="24"/>
        </w:rPr>
        <w:t>Alvenaria estrutural; Alvenaria convencional; Conjunto habitacional de interesse popular; Minha Casa Minha Vida; Viabilidade econômica.</w:t>
      </w:r>
    </w:p>
    <w:p w14:paraId="562ECBD6" w14:textId="4A4D05E3" w:rsidR="004071DD" w:rsidRDefault="004071DD" w:rsidP="004071DD">
      <w:pPr>
        <w:spacing w:line="360" w:lineRule="auto"/>
        <w:rPr>
          <w:sz w:val="24"/>
          <w:szCs w:val="24"/>
        </w:rPr>
      </w:pPr>
    </w:p>
    <w:p w14:paraId="33B79254" w14:textId="77777777" w:rsidR="004071DD" w:rsidRPr="004071DD" w:rsidRDefault="004071DD" w:rsidP="004071DD">
      <w:pPr>
        <w:spacing w:line="360" w:lineRule="auto"/>
        <w:rPr>
          <w:sz w:val="24"/>
          <w:szCs w:val="24"/>
        </w:rPr>
      </w:pPr>
      <w:bookmarkStart w:id="1" w:name="page2"/>
      <w:bookmarkEnd w:id="1"/>
      <w:r w:rsidRPr="004071DD">
        <w:rPr>
          <w:rFonts w:eastAsia="Times New Roman"/>
          <w:b/>
          <w:bCs/>
          <w:sz w:val="24"/>
          <w:szCs w:val="24"/>
        </w:rPr>
        <w:t>1 INTRODUÇÃO</w:t>
      </w:r>
    </w:p>
    <w:p w14:paraId="7541F884" w14:textId="77777777" w:rsidR="00A1520F" w:rsidRPr="00A1520F" w:rsidRDefault="00A1520F" w:rsidP="00B0197A">
      <w:pPr>
        <w:spacing w:line="360" w:lineRule="auto"/>
        <w:ind w:firstLine="851"/>
        <w:jc w:val="both"/>
        <w:rPr>
          <w:rFonts w:eastAsia="Times New Roman"/>
          <w:sz w:val="24"/>
          <w:szCs w:val="24"/>
        </w:rPr>
      </w:pPr>
      <w:r w:rsidRPr="00A1520F">
        <w:rPr>
          <w:rFonts w:eastAsia="Times New Roman"/>
          <w:sz w:val="24"/>
          <w:szCs w:val="24"/>
        </w:rPr>
        <w:t xml:space="preserve">De acordo com Mohamad (2020) a alvenaria estrutural existe há milhares de anos como sistema construtivo. No princípio, partindo de conhecimento empírico, ou seja, baseado na experiência de quem construía, foi passado de geração em geração até, aproximadamente, o início do século XX. Basicamente, o que garantia a rigidez e a estabilidade estrutural era o formato da edificação. </w:t>
      </w:r>
      <w:bookmarkStart w:id="2" w:name="_GoBack"/>
      <w:bookmarkEnd w:id="2"/>
    </w:p>
    <w:p w14:paraId="2DDA0E89" w14:textId="6C8F7FB5" w:rsidR="00B0197A" w:rsidRPr="005F6309" w:rsidRDefault="005F6309" w:rsidP="005F6309">
      <w:pPr>
        <w:pStyle w:val="PargrafodaLista"/>
        <w:numPr>
          <w:ilvl w:val="0"/>
          <w:numId w:val="7"/>
        </w:numPr>
        <w:spacing w:line="360" w:lineRule="auto"/>
        <w:ind w:left="0" w:firstLine="0"/>
        <w:jc w:val="both"/>
        <w:rPr>
          <w:rFonts w:eastAsia="Times New Roman"/>
          <w:sz w:val="18"/>
          <w:szCs w:val="18"/>
        </w:rPr>
      </w:pPr>
      <w:r w:rsidRPr="005F6309">
        <w:rPr>
          <w:rFonts w:eastAsia="Times New Roman"/>
          <w:sz w:val="18"/>
          <w:szCs w:val="18"/>
        </w:rPr>
        <w:t>Graduando de Engenharia Civil - CHRISFAPI</w:t>
      </w:r>
    </w:p>
    <w:p w14:paraId="598309DA" w14:textId="77777777" w:rsidR="00B0197A" w:rsidRDefault="00B0197A" w:rsidP="00B0197A">
      <w:pPr>
        <w:spacing w:line="360" w:lineRule="auto"/>
        <w:ind w:firstLine="851"/>
        <w:jc w:val="both"/>
        <w:rPr>
          <w:rFonts w:eastAsia="Times New Roman"/>
          <w:sz w:val="24"/>
          <w:szCs w:val="24"/>
        </w:rPr>
      </w:pPr>
    </w:p>
    <w:p w14:paraId="795DE71E" w14:textId="77777777" w:rsidR="00B0197A" w:rsidRDefault="00B0197A" w:rsidP="00B0197A">
      <w:pPr>
        <w:spacing w:line="360" w:lineRule="auto"/>
        <w:ind w:firstLine="851"/>
        <w:jc w:val="both"/>
        <w:rPr>
          <w:rFonts w:eastAsia="Times New Roman"/>
          <w:sz w:val="24"/>
          <w:szCs w:val="24"/>
        </w:rPr>
      </w:pPr>
    </w:p>
    <w:p w14:paraId="7EE7E373" w14:textId="131DCD69" w:rsidR="00A1520F" w:rsidRPr="00A1520F" w:rsidRDefault="00A1520F" w:rsidP="00B0197A">
      <w:pPr>
        <w:spacing w:line="360" w:lineRule="auto"/>
        <w:ind w:firstLine="851"/>
        <w:jc w:val="both"/>
        <w:rPr>
          <w:rFonts w:eastAsia="Times New Roman"/>
          <w:sz w:val="24"/>
          <w:szCs w:val="24"/>
        </w:rPr>
      </w:pPr>
      <w:r w:rsidRPr="00A1520F">
        <w:rPr>
          <w:rFonts w:eastAsia="Times New Roman"/>
          <w:sz w:val="24"/>
          <w:szCs w:val="24"/>
        </w:rPr>
        <w:t>Para Berti e Rafael (2019) A alvenaria estrutural é considerada um sistema construtivo sólido, caracterizado por custos reduzidos e tempos de execução rápidos em relação ao sistema construtivo convencional. Essa técnica substitui pilares e vigas por paredes resistentes a cargas. Desse modo, não serve somente para vedação, resistem também a cargas, ações e solicitações verticais e horizontais.</w:t>
      </w:r>
    </w:p>
    <w:p w14:paraId="210DAA97" w14:textId="77777777" w:rsidR="00A1520F" w:rsidRPr="00A1520F" w:rsidRDefault="00A1520F" w:rsidP="00B0197A">
      <w:pPr>
        <w:spacing w:line="360" w:lineRule="auto"/>
        <w:ind w:firstLine="851"/>
        <w:jc w:val="both"/>
        <w:rPr>
          <w:rFonts w:eastAsia="Times New Roman"/>
          <w:sz w:val="24"/>
          <w:szCs w:val="24"/>
        </w:rPr>
      </w:pPr>
      <w:r w:rsidRPr="00A1520F">
        <w:rPr>
          <w:rFonts w:eastAsia="Times New Roman"/>
          <w:sz w:val="24"/>
          <w:szCs w:val="24"/>
        </w:rPr>
        <w:t>A alvenaria estrutural, por muitos anos, se baseava em normas americanas: Ensaios, Projeto e Execução, motivo pelo qual o sistema construtivo não foi entregue como viável, tendo como um processo de transição das normas ao longo dos anos. Em agosto de 2020 foi publicada a nova norma de alvenaria estrutural pela ABNT, a NBR 16868 de 2020, na qual une as antigas normas sobre o sistema construtivo com bloco cerâmico e com bloco estrutural de concreto que estavam em uso desde 2010, o que permite enxergar várias possibilidades de utilização desse sistema construtivo.</w:t>
      </w:r>
    </w:p>
    <w:p w14:paraId="2456276B" w14:textId="77777777" w:rsidR="00A1520F" w:rsidRPr="00A1520F" w:rsidRDefault="00A1520F" w:rsidP="00B0197A">
      <w:pPr>
        <w:spacing w:line="360" w:lineRule="auto"/>
        <w:ind w:firstLine="851"/>
        <w:jc w:val="both"/>
        <w:rPr>
          <w:rFonts w:eastAsia="Times New Roman"/>
          <w:sz w:val="24"/>
          <w:szCs w:val="24"/>
        </w:rPr>
      </w:pPr>
      <w:r w:rsidRPr="00A1520F">
        <w:rPr>
          <w:rFonts w:eastAsia="Times New Roman"/>
          <w:sz w:val="24"/>
          <w:szCs w:val="24"/>
        </w:rPr>
        <w:t>Historicamente, o Brasil apresenta um déficit habitacional, e na tentativa de solucionar o problema, em março de 2009 foi criado o programa federal de habitação chamado Minha Casa Minha Vida (MCMV), subsidiando a aquisição de casas ou apartamentos próprio para famílias com renda até 1,8 mil reais e facilitando as condições de acesso ao imóvel para famílias com renda até de 9 mil reais. Em 2020 houve uma transição de nome, passando a ser chamado “Casa Verde e Amarela”, com o intuito de além do financiamento habitacional, o programa atuar com regularização fundiária (CAIXA ECONÔMICA FEDERAL, 2020)</w:t>
      </w:r>
    </w:p>
    <w:p w14:paraId="1832EF11" w14:textId="77777777" w:rsidR="00A1520F" w:rsidRPr="00A1520F" w:rsidRDefault="00A1520F" w:rsidP="00B0197A">
      <w:pPr>
        <w:spacing w:line="360" w:lineRule="auto"/>
        <w:ind w:firstLine="851"/>
        <w:jc w:val="both"/>
        <w:rPr>
          <w:rFonts w:eastAsia="Times New Roman"/>
          <w:sz w:val="24"/>
          <w:szCs w:val="24"/>
        </w:rPr>
      </w:pPr>
      <w:r w:rsidRPr="00A1520F">
        <w:rPr>
          <w:rFonts w:eastAsia="Times New Roman"/>
          <w:sz w:val="24"/>
          <w:szCs w:val="24"/>
        </w:rPr>
        <w:t xml:space="preserve">Nos três últimos anos, percebe-se que o mercado da construção civil apresenta um cenário de crescimento. No ano de 2020, este setor foi o que mais gerou empregos. Mesmo durante à pandemia do COVID-19, o número foi 34,6% maior do que o mesmo período do ano de 2019 (SOUSA, 2022). </w:t>
      </w:r>
    </w:p>
    <w:p w14:paraId="750A25AE" w14:textId="77777777" w:rsidR="00A1520F" w:rsidRPr="00A1520F" w:rsidRDefault="00A1520F" w:rsidP="00B0197A">
      <w:pPr>
        <w:spacing w:line="360" w:lineRule="auto"/>
        <w:ind w:firstLine="851"/>
        <w:jc w:val="both"/>
        <w:rPr>
          <w:rFonts w:eastAsia="Times New Roman"/>
          <w:sz w:val="24"/>
          <w:szCs w:val="24"/>
        </w:rPr>
      </w:pPr>
      <w:r w:rsidRPr="00A1520F">
        <w:rPr>
          <w:rFonts w:eastAsia="Times New Roman"/>
          <w:sz w:val="24"/>
          <w:szCs w:val="24"/>
        </w:rPr>
        <w:t>Diante desta oportunidade, a evolução dos métodos construtivos no âmbito habitacional de casas de padrões populares, que são habitações destinadas a parcela da população que possui um baixo poder de compra, também aumentou. A princípio, ainda se vê muitas casas sendo construídas de forma mais convencional com o uso da alvenaria de tijolos cerâmicos, mas também é crescente o número de empresas de construção que aderem aos métodos de construção de blocos de concreto estrutural. Nesse sentido, Sousa (2022) diz que a construção é impulsionada ainda mais em relação aos questionamentos sobre os pontos fortes e fracos de cada um desses métodos.</w:t>
      </w:r>
    </w:p>
    <w:p w14:paraId="52FB2760" w14:textId="77777777" w:rsidR="00B0197A" w:rsidRDefault="00B0197A" w:rsidP="00B0197A">
      <w:pPr>
        <w:spacing w:line="360" w:lineRule="auto"/>
        <w:ind w:firstLine="851"/>
        <w:jc w:val="both"/>
        <w:rPr>
          <w:rFonts w:eastAsia="Times New Roman"/>
          <w:sz w:val="24"/>
          <w:szCs w:val="24"/>
        </w:rPr>
      </w:pPr>
    </w:p>
    <w:p w14:paraId="2CC35434" w14:textId="77777777" w:rsidR="00B0197A" w:rsidRDefault="00B0197A" w:rsidP="00B0197A">
      <w:pPr>
        <w:spacing w:line="360" w:lineRule="auto"/>
        <w:ind w:firstLine="851"/>
        <w:jc w:val="both"/>
        <w:rPr>
          <w:rFonts w:eastAsia="Times New Roman"/>
          <w:sz w:val="24"/>
          <w:szCs w:val="24"/>
        </w:rPr>
      </w:pPr>
    </w:p>
    <w:p w14:paraId="05FFFB07" w14:textId="77777777" w:rsidR="00B0197A" w:rsidRDefault="00B0197A" w:rsidP="00B0197A">
      <w:pPr>
        <w:spacing w:line="360" w:lineRule="auto"/>
        <w:ind w:firstLine="851"/>
        <w:jc w:val="both"/>
        <w:rPr>
          <w:rFonts w:eastAsia="Times New Roman"/>
          <w:sz w:val="24"/>
          <w:szCs w:val="24"/>
        </w:rPr>
      </w:pPr>
    </w:p>
    <w:p w14:paraId="2154817E" w14:textId="5C8218D8" w:rsidR="00A1520F" w:rsidRPr="00A1520F" w:rsidRDefault="00A1520F" w:rsidP="00B0197A">
      <w:pPr>
        <w:spacing w:line="360" w:lineRule="auto"/>
        <w:ind w:firstLine="851"/>
        <w:jc w:val="both"/>
        <w:rPr>
          <w:rFonts w:eastAsia="Times New Roman"/>
          <w:sz w:val="24"/>
          <w:szCs w:val="24"/>
        </w:rPr>
      </w:pPr>
      <w:r w:rsidRPr="00A1520F">
        <w:rPr>
          <w:rFonts w:eastAsia="Times New Roman"/>
          <w:sz w:val="24"/>
          <w:szCs w:val="24"/>
        </w:rPr>
        <w:t>No Brasil, a alvenaria estrutural convencional é utilizada como método construtivo em praticamente todas as obras. Diante desse fato, a alvenaria estrutural tem ganhado notoriedade, uma vez que apresenta ótimas vantagens quando comparada com outros métodos construtivos.</w:t>
      </w:r>
      <w:r w:rsidR="00B0197A">
        <w:rPr>
          <w:rFonts w:eastAsia="Times New Roman"/>
          <w:sz w:val="24"/>
          <w:szCs w:val="24"/>
        </w:rPr>
        <w:t xml:space="preserve"> </w:t>
      </w:r>
      <w:r w:rsidRPr="00A1520F">
        <w:rPr>
          <w:rFonts w:eastAsia="Times New Roman"/>
          <w:sz w:val="24"/>
          <w:szCs w:val="24"/>
        </w:rPr>
        <w:t xml:space="preserve">A escolha desse método como principal método construtivo de casas de habitação de interesse popular, tem como objetivo melhorar essas construções de forma que elas sejam mais limpas, além de visar a parte econômica, buscando assim reduzir gastos com a obra. </w:t>
      </w:r>
    </w:p>
    <w:p w14:paraId="22799712" w14:textId="465E5B26" w:rsidR="004071DD" w:rsidRPr="00300D2F" w:rsidRDefault="00A1520F" w:rsidP="00300D2F">
      <w:pPr>
        <w:spacing w:line="360" w:lineRule="auto"/>
        <w:ind w:firstLine="851"/>
        <w:jc w:val="both"/>
        <w:rPr>
          <w:rFonts w:eastAsia="Times New Roman"/>
          <w:sz w:val="24"/>
          <w:szCs w:val="24"/>
        </w:rPr>
      </w:pPr>
      <w:r w:rsidRPr="00A1520F">
        <w:rPr>
          <w:rFonts w:eastAsia="Times New Roman"/>
          <w:sz w:val="24"/>
          <w:szCs w:val="24"/>
        </w:rPr>
        <w:t>Neste trabalho será abordado as principais características e diferenças da alvenaria convencional em relação a alvenaria estrutural em habitações de interesse popular, apresentando cada característica do sistema construtivo e também realizar um estudo sobre as vantagens que esse sistema proporciona em comparação com a alvenaria convencional. Esse estudo parte da análise dos dados obtidos por meio da comparação orçamentária quanto aos custos diretos e indiretos entre os sistemas, além de definir qual sistema será mais viável para a construção no caso estudado.</w:t>
      </w:r>
    </w:p>
    <w:p w14:paraId="44B950EC" w14:textId="0B324479" w:rsidR="004071DD" w:rsidRPr="004071DD" w:rsidRDefault="004071DD" w:rsidP="004071DD">
      <w:pPr>
        <w:spacing w:line="360" w:lineRule="auto"/>
        <w:rPr>
          <w:sz w:val="24"/>
          <w:szCs w:val="24"/>
        </w:rPr>
      </w:pPr>
      <w:r>
        <w:rPr>
          <w:rFonts w:eastAsia="Times New Roman"/>
          <w:b/>
          <w:bCs/>
          <w:sz w:val="24"/>
          <w:szCs w:val="24"/>
        </w:rPr>
        <w:t xml:space="preserve">2 </w:t>
      </w:r>
      <w:r w:rsidRPr="004071DD">
        <w:rPr>
          <w:rFonts w:eastAsia="Times New Roman"/>
          <w:b/>
          <w:bCs/>
          <w:sz w:val="24"/>
          <w:szCs w:val="24"/>
        </w:rPr>
        <w:t>OBJETIVO</w:t>
      </w:r>
    </w:p>
    <w:p w14:paraId="0F12A6F1" w14:textId="0215C31B" w:rsidR="00B0197A" w:rsidRPr="00300D2F" w:rsidRDefault="00B0197A" w:rsidP="00300D2F">
      <w:pPr>
        <w:spacing w:line="360" w:lineRule="auto"/>
        <w:ind w:firstLine="851"/>
        <w:jc w:val="both"/>
        <w:rPr>
          <w:rFonts w:eastAsia="Times New Roman"/>
          <w:sz w:val="24"/>
          <w:szCs w:val="24"/>
        </w:rPr>
      </w:pPr>
      <w:r w:rsidRPr="00A1520F">
        <w:rPr>
          <w:rFonts w:eastAsia="Times New Roman"/>
          <w:sz w:val="24"/>
          <w:szCs w:val="24"/>
        </w:rPr>
        <w:t xml:space="preserve">Diante do exposto, o presente artigo tem como objetivo apresentar uma comparação de dois importantes métodos construtivos: a alvenaria estrutural e a alvenaria convencional, visando principalmente à viabilidade econômica para edifícios de habitação popular. </w:t>
      </w:r>
    </w:p>
    <w:p w14:paraId="00221F63" w14:textId="3C908387" w:rsidR="004071DD" w:rsidRPr="004071DD" w:rsidRDefault="004071DD" w:rsidP="004071DD">
      <w:pPr>
        <w:spacing w:line="360" w:lineRule="auto"/>
        <w:rPr>
          <w:sz w:val="24"/>
          <w:szCs w:val="24"/>
        </w:rPr>
      </w:pPr>
      <w:r>
        <w:rPr>
          <w:rFonts w:eastAsia="Times New Roman"/>
          <w:b/>
          <w:bCs/>
          <w:sz w:val="24"/>
          <w:szCs w:val="24"/>
        </w:rPr>
        <w:t xml:space="preserve">3 </w:t>
      </w:r>
      <w:r w:rsidRPr="004071DD">
        <w:rPr>
          <w:rFonts w:eastAsia="Times New Roman"/>
          <w:b/>
          <w:bCs/>
          <w:sz w:val="24"/>
          <w:szCs w:val="24"/>
        </w:rPr>
        <w:t>METODOLOGIA</w:t>
      </w:r>
    </w:p>
    <w:p w14:paraId="292FF2E9" w14:textId="2CDBAA01" w:rsidR="00300D2F" w:rsidRDefault="00B0197A" w:rsidP="00300D2F">
      <w:pPr>
        <w:spacing w:line="360" w:lineRule="auto"/>
        <w:ind w:firstLine="851"/>
        <w:rPr>
          <w:rFonts w:eastAsia="Times New Roman"/>
          <w:sz w:val="24"/>
          <w:szCs w:val="24"/>
        </w:rPr>
      </w:pPr>
      <w:r w:rsidRPr="00B0197A">
        <w:rPr>
          <w:rFonts w:eastAsia="Times New Roman"/>
          <w:sz w:val="24"/>
          <w:szCs w:val="24"/>
        </w:rPr>
        <w:t xml:space="preserve">A metodologia utilizada neste trabalho foi um estudo de caso, na qual  realizou-se um estudo comparativo entre o projeto convencional padrão do programa de habitação de interesse popular disponibilizado no site oficial da CAIXA (Figura </w:t>
      </w:r>
      <w:r w:rsidR="00300D2F">
        <w:rPr>
          <w:rFonts w:eastAsia="Times New Roman"/>
          <w:sz w:val="24"/>
          <w:szCs w:val="24"/>
        </w:rPr>
        <w:t>01</w:t>
      </w:r>
      <w:r w:rsidRPr="00B0197A">
        <w:rPr>
          <w:rFonts w:eastAsia="Times New Roman"/>
          <w:sz w:val="24"/>
          <w:szCs w:val="24"/>
        </w:rPr>
        <w:t xml:space="preserve">) com à modelagem da planta baixa e cortes em alvenaria estrutural, adaptada pelos os próprios autores (Figura </w:t>
      </w:r>
      <w:r w:rsidR="00300D2F">
        <w:rPr>
          <w:rFonts w:eastAsia="Times New Roman"/>
          <w:sz w:val="24"/>
          <w:szCs w:val="24"/>
        </w:rPr>
        <w:t>02</w:t>
      </w:r>
      <w:r w:rsidRPr="00B0197A">
        <w:rPr>
          <w:rFonts w:eastAsia="Times New Roman"/>
          <w:sz w:val="24"/>
          <w:szCs w:val="24"/>
        </w:rPr>
        <w:t>)</w:t>
      </w:r>
      <w:r>
        <w:rPr>
          <w:rFonts w:eastAsia="Times New Roman"/>
          <w:sz w:val="24"/>
          <w:szCs w:val="24"/>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4566"/>
      </w:tblGrid>
      <w:tr w:rsidR="00B6406D" w14:paraId="41075D00" w14:textId="77777777" w:rsidTr="00B6406D">
        <w:tc>
          <w:tcPr>
            <w:tcW w:w="4495" w:type="dxa"/>
          </w:tcPr>
          <w:p w14:paraId="19F6A031" w14:textId="65CCCBD1" w:rsidR="00B6406D" w:rsidRDefault="00B6406D" w:rsidP="00B6406D">
            <w:pPr>
              <w:spacing w:line="360" w:lineRule="auto"/>
              <w:jc w:val="center"/>
              <w:rPr>
                <w:rFonts w:eastAsia="Times New Roman"/>
                <w:sz w:val="24"/>
                <w:szCs w:val="24"/>
              </w:rPr>
            </w:pPr>
            <w:r>
              <w:rPr>
                <w:noProof/>
              </w:rPr>
              <w:drawing>
                <wp:inline distT="0" distB="0" distL="0" distR="0" wp14:anchorId="7CB3FEC4" wp14:editId="46EDA3F6">
                  <wp:extent cx="2019300" cy="2019043"/>
                  <wp:effectExtent l="0" t="0" r="0" b="6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2060231" cy="2059969"/>
                          </a:xfrm>
                          <a:prstGeom prst="rect">
                            <a:avLst/>
                          </a:prstGeom>
                          <a:ln>
                            <a:noFill/>
                          </a:ln>
                          <a:extLst>
                            <a:ext uri="{53640926-AAD7-44D8-BBD7-CCE9431645EC}">
                              <a14:shadowObscured xmlns:a14="http://schemas.microsoft.com/office/drawing/2010/main"/>
                            </a:ext>
                          </a:extLst>
                        </pic:spPr>
                      </pic:pic>
                    </a:graphicData>
                  </a:graphic>
                </wp:inline>
              </w:drawing>
            </w:r>
          </w:p>
        </w:tc>
        <w:tc>
          <w:tcPr>
            <w:tcW w:w="4566" w:type="dxa"/>
          </w:tcPr>
          <w:p w14:paraId="256C2655" w14:textId="6AAF8611" w:rsidR="00B6406D" w:rsidRDefault="00B6406D" w:rsidP="00B6406D">
            <w:pPr>
              <w:spacing w:line="360" w:lineRule="auto"/>
              <w:rPr>
                <w:rFonts w:eastAsia="Times New Roman"/>
                <w:sz w:val="24"/>
                <w:szCs w:val="24"/>
              </w:rPr>
            </w:pPr>
            <w:r>
              <w:rPr>
                <w:noProof/>
              </w:rPr>
              <w:drawing>
                <wp:inline distT="0" distB="0" distL="0" distR="0" wp14:anchorId="6AB71D9A" wp14:editId="4A9AA1FD">
                  <wp:extent cx="2756369" cy="2019300"/>
                  <wp:effectExtent l="0" t="0" r="635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2769006" cy="2028558"/>
                          </a:xfrm>
                          <a:prstGeom prst="rect">
                            <a:avLst/>
                          </a:prstGeom>
                          <a:ln>
                            <a:noFill/>
                          </a:ln>
                          <a:extLst>
                            <a:ext uri="{53640926-AAD7-44D8-BBD7-CCE9431645EC}">
                              <a14:shadowObscured xmlns:a14="http://schemas.microsoft.com/office/drawing/2010/main"/>
                            </a:ext>
                          </a:extLst>
                        </pic:spPr>
                      </pic:pic>
                    </a:graphicData>
                  </a:graphic>
                </wp:inline>
              </w:drawing>
            </w:r>
          </w:p>
        </w:tc>
      </w:tr>
      <w:tr w:rsidR="00B6406D" w14:paraId="31F5AE4F" w14:textId="77777777" w:rsidTr="00B6406D">
        <w:tc>
          <w:tcPr>
            <w:tcW w:w="4495" w:type="dxa"/>
          </w:tcPr>
          <w:p w14:paraId="23EB8102" w14:textId="77777777" w:rsidR="00B6406D" w:rsidRPr="00B6406D" w:rsidRDefault="00B6406D" w:rsidP="00B6406D">
            <w:pPr>
              <w:rPr>
                <w:rFonts w:eastAsia="Times New Roman"/>
                <w:sz w:val="20"/>
                <w:szCs w:val="20"/>
              </w:rPr>
            </w:pPr>
            <w:r w:rsidRPr="00B6406D">
              <w:rPr>
                <w:rFonts w:eastAsia="Times New Roman"/>
                <w:sz w:val="20"/>
                <w:szCs w:val="20"/>
              </w:rPr>
              <w:t xml:space="preserve">Figura 01 – Planta baixa </w:t>
            </w:r>
          </w:p>
          <w:p w14:paraId="5287A5D6" w14:textId="7DD6062C" w:rsidR="00B6406D" w:rsidRDefault="00B6406D" w:rsidP="00B6406D">
            <w:pPr>
              <w:rPr>
                <w:rFonts w:eastAsia="Times New Roman"/>
                <w:sz w:val="24"/>
                <w:szCs w:val="24"/>
              </w:rPr>
            </w:pPr>
            <w:r w:rsidRPr="00B6406D">
              <w:rPr>
                <w:rFonts w:eastAsia="Times New Roman"/>
                <w:sz w:val="20"/>
                <w:szCs w:val="20"/>
              </w:rPr>
              <w:t xml:space="preserve"> Fonte: CAIXA ECONOMICA FEDERAL (adaptada) (2018).</w:t>
            </w:r>
          </w:p>
        </w:tc>
        <w:tc>
          <w:tcPr>
            <w:tcW w:w="4566" w:type="dxa"/>
          </w:tcPr>
          <w:p w14:paraId="4C63EC9E" w14:textId="77777777" w:rsidR="00B6406D" w:rsidRPr="00B0197A" w:rsidRDefault="00B6406D" w:rsidP="00B6406D">
            <w:pPr>
              <w:rPr>
                <w:rFonts w:eastAsia="Times New Roman"/>
                <w:sz w:val="24"/>
                <w:szCs w:val="24"/>
              </w:rPr>
            </w:pPr>
            <w:r w:rsidRPr="00B0197A">
              <w:rPr>
                <w:rFonts w:eastAsia="Times New Roman"/>
                <w:sz w:val="24"/>
                <w:szCs w:val="24"/>
              </w:rPr>
              <w:t xml:space="preserve">Figura </w:t>
            </w:r>
            <w:r>
              <w:rPr>
                <w:rFonts w:eastAsia="Times New Roman"/>
                <w:sz w:val="24"/>
                <w:szCs w:val="24"/>
              </w:rPr>
              <w:t>02</w:t>
            </w:r>
            <w:r w:rsidRPr="00B0197A">
              <w:rPr>
                <w:rFonts w:eastAsia="Times New Roman"/>
                <w:sz w:val="24"/>
                <w:szCs w:val="24"/>
              </w:rPr>
              <w:t xml:space="preserve"> – Projeto perspectiva 3D </w:t>
            </w:r>
          </w:p>
          <w:p w14:paraId="38F1DE9B" w14:textId="25B7FB8C" w:rsidR="00B6406D" w:rsidRDefault="00B6406D" w:rsidP="00B6406D">
            <w:pPr>
              <w:rPr>
                <w:rFonts w:eastAsia="Times New Roman"/>
                <w:sz w:val="24"/>
                <w:szCs w:val="24"/>
              </w:rPr>
            </w:pPr>
            <w:r w:rsidRPr="00B0197A">
              <w:rPr>
                <w:rFonts w:eastAsia="Times New Roman"/>
                <w:sz w:val="24"/>
                <w:szCs w:val="24"/>
              </w:rPr>
              <w:t>Fonte: autoria própria (2023).</w:t>
            </w:r>
          </w:p>
        </w:tc>
      </w:tr>
    </w:tbl>
    <w:p w14:paraId="5DF6BEBB" w14:textId="60D78E29" w:rsidR="00B6406D" w:rsidRDefault="00B6406D" w:rsidP="00B0197A">
      <w:pPr>
        <w:spacing w:line="360" w:lineRule="auto"/>
        <w:rPr>
          <w:rFonts w:eastAsia="Times New Roman"/>
          <w:sz w:val="24"/>
          <w:szCs w:val="24"/>
        </w:rPr>
        <w:sectPr w:rsidR="00B6406D" w:rsidSect="004071DD">
          <w:headerReference w:type="default" r:id="rId10"/>
          <w:footerReference w:type="default" r:id="rId11"/>
          <w:pgSz w:w="11906" w:h="16840"/>
          <w:pgMar w:top="1701" w:right="1134" w:bottom="1134" w:left="1701" w:header="708" w:footer="708" w:gutter="0"/>
          <w:cols w:space="708"/>
          <w:docGrid w:linePitch="360"/>
        </w:sectPr>
      </w:pPr>
    </w:p>
    <w:p w14:paraId="4327A2D6" w14:textId="6C687178" w:rsidR="00B0197A" w:rsidRPr="00B0197A" w:rsidRDefault="00B0197A" w:rsidP="00B0197A">
      <w:pPr>
        <w:tabs>
          <w:tab w:val="left" w:pos="756"/>
        </w:tabs>
        <w:spacing w:line="360" w:lineRule="auto"/>
        <w:rPr>
          <w:rFonts w:eastAsia="Times New Roman"/>
          <w:sz w:val="24"/>
          <w:szCs w:val="24"/>
        </w:rPr>
      </w:pPr>
    </w:p>
    <w:p w14:paraId="5E00017F" w14:textId="77777777" w:rsidR="00300D2F" w:rsidRDefault="00300D2F" w:rsidP="00B0197A">
      <w:pPr>
        <w:spacing w:line="360" w:lineRule="auto"/>
        <w:ind w:firstLine="851"/>
        <w:jc w:val="both"/>
        <w:rPr>
          <w:rFonts w:eastAsia="Times New Roman"/>
          <w:sz w:val="24"/>
          <w:szCs w:val="24"/>
        </w:rPr>
        <w:sectPr w:rsidR="00300D2F" w:rsidSect="00300D2F">
          <w:type w:val="continuous"/>
          <w:pgSz w:w="11906" w:h="16840"/>
          <w:pgMar w:top="1701" w:right="1134" w:bottom="1134" w:left="1701" w:header="708" w:footer="708" w:gutter="0"/>
          <w:cols w:num="2" w:space="708"/>
          <w:docGrid w:linePitch="360"/>
        </w:sectPr>
      </w:pPr>
    </w:p>
    <w:p w14:paraId="5953C356" w14:textId="77777777" w:rsidR="00B6406D" w:rsidRDefault="00B6406D" w:rsidP="00B0197A">
      <w:pPr>
        <w:spacing w:line="360" w:lineRule="auto"/>
        <w:ind w:firstLine="851"/>
        <w:jc w:val="both"/>
        <w:rPr>
          <w:rFonts w:eastAsia="Times New Roman"/>
          <w:sz w:val="24"/>
          <w:szCs w:val="24"/>
        </w:rPr>
      </w:pPr>
    </w:p>
    <w:p w14:paraId="15C0006C" w14:textId="5A0A5460" w:rsidR="00B0197A" w:rsidRPr="00B0197A" w:rsidRDefault="00B0197A" w:rsidP="00B0197A">
      <w:pPr>
        <w:spacing w:line="360" w:lineRule="auto"/>
        <w:ind w:firstLine="851"/>
        <w:jc w:val="both"/>
        <w:rPr>
          <w:rFonts w:eastAsia="Times New Roman"/>
          <w:sz w:val="24"/>
          <w:szCs w:val="24"/>
        </w:rPr>
      </w:pPr>
      <w:r w:rsidRPr="00B0197A">
        <w:rPr>
          <w:rFonts w:eastAsia="Times New Roman"/>
          <w:sz w:val="24"/>
          <w:szCs w:val="24"/>
        </w:rPr>
        <w:t xml:space="preserve"> O projeto tem como base uma casa unifamiliar de interesse popular de 41,16 m², analisando os quantitativos a partir dos itens, serviços preliminares, radier/fundação, paredes e painéis, pintura, revestimento, cobertura e esquadrias.</w:t>
      </w:r>
    </w:p>
    <w:p w14:paraId="01DCE51D" w14:textId="77777777" w:rsidR="00B0197A" w:rsidRPr="00B0197A" w:rsidRDefault="00B0197A" w:rsidP="00B0197A">
      <w:pPr>
        <w:spacing w:line="360" w:lineRule="auto"/>
        <w:ind w:firstLine="851"/>
        <w:jc w:val="both"/>
        <w:rPr>
          <w:rFonts w:eastAsia="Times New Roman"/>
          <w:sz w:val="24"/>
          <w:szCs w:val="24"/>
        </w:rPr>
      </w:pPr>
      <w:r w:rsidRPr="00B0197A">
        <w:rPr>
          <w:rFonts w:eastAsia="Times New Roman"/>
          <w:sz w:val="24"/>
          <w:szCs w:val="24"/>
        </w:rPr>
        <w:t xml:space="preserve">Para efeito de comparação, produziu-se tabelas e gráficos com o intuito de preencher com os dados obtidos da pesquisa feita, com base nas informações disponibilizados com valores de insumos, planilha orçamentária pelo programa MCMV e um software de orçamento de obras. Em seguida, os dados foram analisados para obter informações que levassem à discussão da viabilidade econômica ou não da alvenaria convencional em relação à alvenaria estrutural, a fim de se prever o melhor método para ser usado nas construções de casas do programa de unidades habitacionais de interesse popular. </w:t>
      </w:r>
    </w:p>
    <w:p w14:paraId="0E4875B5" w14:textId="48A9A7AC" w:rsidR="004071DD" w:rsidRDefault="004071DD" w:rsidP="004071DD">
      <w:pPr>
        <w:spacing w:line="360" w:lineRule="auto"/>
        <w:rPr>
          <w:rFonts w:eastAsia="Times New Roman"/>
          <w:b/>
          <w:bCs/>
          <w:sz w:val="24"/>
          <w:szCs w:val="24"/>
        </w:rPr>
      </w:pPr>
      <w:r w:rsidRPr="004071DD">
        <w:rPr>
          <w:rFonts w:eastAsia="Times New Roman"/>
          <w:b/>
          <w:bCs/>
          <w:sz w:val="24"/>
          <w:szCs w:val="24"/>
        </w:rPr>
        <w:t>4 RESULTADOS E DISCUSSÃO</w:t>
      </w:r>
    </w:p>
    <w:p w14:paraId="4A02BC66" w14:textId="77777777" w:rsidR="00B0197A" w:rsidRPr="00B0197A" w:rsidRDefault="00B0197A" w:rsidP="00B0197A">
      <w:pPr>
        <w:spacing w:line="360" w:lineRule="auto"/>
        <w:jc w:val="both"/>
        <w:rPr>
          <w:b/>
          <w:bCs/>
          <w:sz w:val="24"/>
          <w:szCs w:val="24"/>
        </w:rPr>
      </w:pPr>
      <w:r w:rsidRPr="00B0197A">
        <w:rPr>
          <w:b/>
          <w:bCs/>
          <w:sz w:val="24"/>
          <w:szCs w:val="24"/>
        </w:rPr>
        <w:t>5.1 Avaliação dos Custos das Etapas</w:t>
      </w:r>
    </w:p>
    <w:p w14:paraId="660261A1" w14:textId="77777777" w:rsidR="00B0197A" w:rsidRPr="00B0197A" w:rsidRDefault="00B0197A" w:rsidP="00B0197A">
      <w:pPr>
        <w:spacing w:line="360" w:lineRule="auto"/>
        <w:ind w:firstLine="709"/>
        <w:jc w:val="both"/>
        <w:rPr>
          <w:sz w:val="24"/>
          <w:szCs w:val="24"/>
        </w:rPr>
      </w:pPr>
      <w:r w:rsidRPr="00B0197A">
        <w:rPr>
          <w:sz w:val="24"/>
          <w:szCs w:val="24"/>
        </w:rPr>
        <w:t xml:space="preserve">Ao levar em consideração os custos dos métodos construtivos, retirados a partir dos projetos do conjunto habitacional de interesse popular, fiscalizado pela Caixa Econômica Federal e pelo levantamento de dados e quantitativos realizado por meio do </w:t>
      </w:r>
      <w:r w:rsidRPr="00B0197A">
        <w:rPr>
          <w:i/>
          <w:iCs/>
          <w:sz w:val="24"/>
          <w:szCs w:val="24"/>
        </w:rPr>
        <w:t>software</w:t>
      </w:r>
      <w:r w:rsidRPr="00B0197A">
        <w:rPr>
          <w:sz w:val="24"/>
          <w:szCs w:val="24"/>
        </w:rPr>
        <w:t xml:space="preserve"> OrçaFascio e de posse dos resultados obtidos, pôde-se comparar os dois métodos construtivos.</w:t>
      </w:r>
    </w:p>
    <w:p w14:paraId="04684FC2" w14:textId="77777777" w:rsidR="00B0197A" w:rsidRPr="00B0197A" w:rsidRDefault="00B0197A" w:rsidP="00B0197A">
      <w:pPr>
        <w:spacing w:line="360" w:lineRule="auto"/>
        <w:ind w:firstLine="709"/>
        <w:jc w:val="both"/>
        <w:rPr>
          <w:sz w:val="24"/>
          <w:szCs w:val="24"/>
        </w:rPr>
      </w:pPr>
      <w:r w:rsidRPr="00B0197A">
        <w:rPr>
          <w:sz w:val="24"/>
          <w:szCs w:val="24"/>
        </w:rPr>
        <w:t>Conforme Tabela 01, percebe-se que a maior diferença está nas paredes e painéis, uma vez que na alvenaria convencional é utilizado amarração de vigas, pilares e formas para a concretagem da estrutura que não fazem parte da alvenaria estrutural.</w:t>
      </w:r>
    </w:p>
    <w:p w14:paraId="13E8D5E1" w14:textId="77777777" w:rsidR="00300D2F" w:rsidRDefault="00300D2F" w:rsidP="00B0197A">
      <w:pPr>
        <w:jc w:val="both"/>
        <w:rPr>
          <w:sz w:val="24"/>
          <w:szCs w:val="24"/>
        </w:rPr>
      </w:pPr>
    </w:p>
    <w:p w14:paraId="32F1DCD7" w14:textId="77777777" w:rsidR="00300D2F" w:rsidRDefault="00300D2F" w:rsidP="00B0197A">
      <w:pPr>
        <w:jc w:val="both"/>
        <w:rPr>
          <w:sz w:val="24"/>
          <w:szCs w:val="24"/>
        </w:rPr>
      </w:pPr>
    </w:p>
    <w:p w14:paraId="30C87907" w14:textId="04F12A56" w:rsidR="00B0197A" w:rsidRPr="00B0197A" w:rsidRDefault="00B0197A" w:rsidP="00B0197A">
      <w:pPr>
        <w:jc w:val="both"/>
        <w:rPr>
          <w:sz w:val="24"/>
          <w:szCs w:val="24"/>
        </w:rPr>
      </w:pPr>
      <w:r w:rsidRPr="00B0197A">
        <w:rPr>
          <w:sz w:val="24"/>
          <w:szCs w:val="24"/>
        </w:rPr>
        <w:t>Tabela 01 – Custos dos Sistemas Construtivos</w:t>
      </w:r>
    </w:p>
    <w:tbl>
      <w:tblPr>
        <w:tblStyle w:val="TabeladeGrade2"/>
        <w:tblW w:w="0" w:type="auto"/>
        <w:tblBorders>
          <w:top w:val="single" w:sz="4" w:space="0" w:color="auto"/>
          <w:bottom w:val="single" w:sz="4" w:space="0" w:color="auto"/>
          <w:insideH w:val="none" w:sz="0" w:space="0" w:color="auto"/>
          <w:insideV w:val="none" w:sz="0" w:space="0" w:color="auto"/>
        </w:tblBorders>
        <w:tblLook w:val="04A0" w:firstRow="1" w:lastRow="0" w:firstColumn="1" w:lastColumn="0" w:noHBand="0" w:noVBand="1"/>
      </w:tblPr>
      <w:tblGrid>
        <w:gridCol w:w="3020"/>
        <w:gridCol w:w="3020"/>
        <w:gridCol w:w="3021"/>
      </w:tblGrid>
      <w:tr w:rsidR="00B0197A" w:rsidRPr="00B0197A" w14:paraId="1BCA1146" w14:textId="77777777" w:rsidTr="00CF2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none" w:sz="0" w:space="0" w:color="auto"/>
              <w:bottom w:val="none" w:sz="0" w:space="0" w:color="auto"/>
              <w:right w:val="none" w:sz="0" w:space="0" w:color="auto"/>
            </w:tcBorders>
          </w:tcPr>
          <w:p w14:paraId="15D7DA30" w14:textId="77777777" w:rsidR="00B0197A" w:rsidRPr="00B0197A" w:rsidRDefault="00B0197A" w:rsidP="00CF2237">
            <w:pPr>
              <w:spacing w:line="360" w:lineRule="auto"/>
              <w:jc w:val="center"/>
              <w:rPr>
                <w:sz w:val="24"/>
                <w:szCs w:val="24"/>
              </w:rPr>
            </w:pPr>
            <w:r w:rsidRPr="00B0197A">
              <w:rPr>
                <w:sz w:val="24"/>
                <w:szCs w:val="24"/>
              </w:rPr>
              <w:t>Etapas</w:t>
            </w:r>
          </w:p>
        </w:tc>
        <w:tc>
          <w:tcPr>
            <w:tcW w:w="3020" w:type="dxa"/>
            <w:tcBorders>
              <w:top w:val="none" w:sz="0" w:space="0" w:color="auto"/>
              <w:left w:val="none" w:sz="0" w:space="0" w:color="auto"/>
              <w:bottom w:val="none" w:sz="0" w:space="0" w:color="auto"/>
              <w:right w:val="none" w:sz="0" w:space="0" w:color="auto"/>
            </w:tcBorders>
          </w:tcPr>
          <w:p w14:paraId="14DA1258" w14:textId="77777777" w:rsidR="00B0197A" w:rsidRPr="00B0197A" w:rsidRDefault="00B0197A" w:rsidP="00CF2237">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B0197A">
              <w:rPr>
                <w:sz w:val="24"/>
                <w:szCs w:val="24"/>
              </w:rPr>
              <w:t>Alvenaria Estrutural</w:t>
            </w:r>
          </w:p>
        </w:tc>
        <w:tc>
          <w:tcPr>
            <w:tcW w:w="3021" w:type="dxa"/>
            <w:tcBorders>
              <w:top w:val="none" w:sz="0" w:space="0" w:color="auto"/>
              <w:left w:val="none" w:sz="0" w:space="0" w:color="auto"/>
              <w:bottom w:val="none" w:sz="0" w:space="0" w:color="auto"/>
            </w:tcBorders>
          </w:tcPr>
          <w:p w14:paraId="0CFE8892" w14:textId="77777777" w:rsidR="00B0197A" w:rsidRPr="00B0197A" w:rsidRDefault="00B0197A" w:rsidP="00CF2237">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B0197A">
              <w:rPr>
                <w:sz w:val="24"/>
                <w:szCs w:val="24"/>
              </w:rPr>
              <w:t>Alvenaria Convencional</w:t>
            </w:r>
          </w:p>
        </w:tc>
      </w:tr>
      <w:tr w:rsidR="00B0197A" w:rsidRPr="00B0197A" w14:paraId="735D9BAC" w14:textId="77777777" w:rsidTr="00CF2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20561CE" w14:textId="77777777" w:rsidR="00B0197A" w:rsidRPr="00B0197A" w:rsidRDefault="00B0197A" w:rsidP="00CF2237">
            <w:pPr>
              <w:spacing w:line="360" w:lineRule="auto"/>
              <w:jc w:val="center"/>
              <w:rPr>
                <w:sz w:val="24"/>
                <w:szCs w:val="24"/>
              </w:rPr>
            </w:pPr>
            <w:r w:rsidRPr="00B0197A">
              <w:rPr>
                <w:sz w:val="24"/>
                <w:szCs w:val="24"/>
              </w:rPr>
              <w:t>Serviços Preliminares</w:t>
            </w:r>
          </w:p>
        </w:tc>
        <w:tc>
          <w:tcPr>
            <w:tcW w:w="3020" w:type="dxa"/>
          </w:tcPr>
          <w:p w14:paraId="1385D83B" w14:textId="77777777" w:rsidR="00B0197A" w:rsidRPr="00B0197A" w:rsidRDefault="00B0197A" w:rsidP="00CF2237">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B0197A">
              <w:rPr>
                <w:sz w:val="24"/>
                <w:szCs w:val="24"/>
              </w:rPr>
              <w:t>R$ 3.399,97</w:t>
            </w:r>
          </w:p>
        </w:tc>
        <w:tc>
          <w:tcPr>
            <w:tcW w:w="3021" w:type="dxa"/>
          </w:tcPr>
          <w:p w14:paraId="10C51259" w14:textId="77777777" w:rsidR="00B0197A" w:rsidRPr="00B0197A" w:rsidRDefault="00B0197A" w:rsidP="00CF2237">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B0197A">
              <w:rPr>
                <w:sz w:val="24"/>
                <w:szCs w:val="24"/>
              </w:rPr>
              <w:t>R$ 3.399,97</w:t>
            </w:r>
          </w:p>
        </w:tc>
      </w:tr>
      <w:tr w:rsidR="00B0197A" w:rsidRPr="00B0197A" w14:paraId="65D10354" w14:textId="77777777" w:rsidTr="00CF2237">
        <w:tc>
          <w:tcPr>
            <w:cnfStyle w:val="001000000000" w:firstRow="0" w:lastRow="0" w:firstColumn="1" w:lastColumn="0" w:oddVBand="0" w:evenVBand="0" w:oddHBand="0" w:evenHBand="0" w:firstRowFirstColumn="0" w:firstRowLastColumn="0" w:lastRowFirstColumn="0" w:lastRowLastColumn="0"/>
            <w:tcW w:w="3020" w:type="dxa"/>
          </w:tcPr>
          <w:p w14:paraId="692A104A" w14:textId="77777777" w:rsidR="00B0197A" w:rsidRPr="00B0197A" w:rsidRDefault="00B0197A" w:rsidP="00CF2237">
            <w:pPr>
              <w:spacing w:line="360" w:lineRule="auto"/>
              <w:jc w:val="center"/>
              <w:rPr>
                <w:sz w:val="24"/>
                <w:szCs w:val="24"/>
              </w:rPr>
            </w:pPr>
            <w:r w:rsidRPr="00B0197A">
              <w:rPr>
                <w:sz w:val="24"/>
                <w:szCs w:val="24"/>
              </w:rPr>
              <w:t>Radier/Fundação</w:t>
            </w:r>
          </w:p>
        </w:tc>
        <w:tc>
          <w:tcPr>
            <w:tcW w:w="3020" w:type="dxa"/>
          </w:tcPr>
          <w:p w14:paraId="0DBFDC00" w14:textId="77777777" w:rsidR="00B0197A" w:rsidRPr="00B0197A" w:rsidRDefault="00B0197A" w:rsidP="00CF2237">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0197A">
              <w:rPr>
                <w:sz w:val="24"/>
                <w:szCs w:val="24"/>
              </w:rPr>
              <w:t>R$ 7.969,00</w:t>
            </w:r>
          </w:p>
        </w:tc>
        <w:tc>
          <w:tcPr>
            <w:tcW w:w="3021" w:type="dxa"/>
          </w:tcPr>
          <w:p w14:paraId="14679BCF" w14:textId="77777777" w:rsidR="00B0197A" w:rsidRPr="00B0197A" w:rsidRDefault="00B0197A" w:rsidP="00CF2237">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0197A">
              <w:rPr>
                <w:sz w:val="24"/>
                <w:szCs w:val="24"/>
              </w:rPr>
              <w:t>R$ 7.969,00</w:t>
            </w:r>
          </w:p>
        </w:tc>
      </w:tr>
      <w:tr w:rsidR="00B0197A" w:rsidRPr="00B0197A" w14:paraId="5DC16288" w14:textId="77777777" w:rsidTr="00CF2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E799106" w14:textId="77777777" w:rsidR="00B0197A" w:rsidRPr="00B0197A" w:rsidRDefault="00B0197A" w:rsidP="00CF2237">
            <w:pPr>
              <w:spacing w:line="360" w:lineRule="auto"/>
              <w:jc w:val="center"/>
              <w:rPr>
                <w:sz w:val="24"/>
                <w:szCs w:val="24"/>
              </w:rPr>
            </w:pPr>
            <w:r w:rsidRPr="00B0197A">
              <w:rPr>
                <w:sz w:val="24"/>
                <w:szCs w:val="24"/>
              </w:rPr>
              <w:t>Paredes e Painéis</w:t>
            </w:r>
          </w:p>
        </w:tc>
        <w:tc>
          <w:tcPr>
            <w:tcW w:w="3020" w:type="dxa"/>
          </w:tcPr>
          <w:p w14:paraId="38BD4F0C" w14:textId="77777777" w:rsidR="00B0197A" w:rsidRPr="00B0197A" w:rsidRDefault="00B0197A" w:rsidP="00CF2237">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B0197A">
              <w:rPr>
                <w:sz w:val="24"/>
                <w:szCs w:val="24"/>
              </w:rPr>
              <w:t>R$ 8.282,22</w:t>
            </w:r>
          </w:p>
        </w:tc>
        <w:tc>
          <w:tcPr>
            <w:tcW w:w="3021" w:type="dxa"/>
          </w:tcPr>
          <w:p w14:paraId="518E5E38" w14:textId="77777777" w:rsidR="00B0197A" w:rsidRPr="00B0197A" w:rsidRDefault="00B0197A" w:rsidP="00CF2237">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B0197A">
              <w:rPr>
                <w:sz w:val="24"/>
                <w:szCs w:val="24"/>
              </w:rPr>
              <w:t>R$ 15.385,42</w:t>
            </w:r>
          </w:p>
        </w:tc>
      </w:tr>
      <w:tr w:rsidR="00B0197A" w:rsidRPr="00B0197A" w14:paraId="6E137FF3" w14:textId="77777777" w:rsidTr="00CF2237">
        <w:tc>
          <w:tcPr>
            <w:cnfStyle w:val="001000000000" w:firstRow="0" w:lastRow="0" w:firstColumn="1" w:lastColumn="0" w:oddVBand="0" w:evenVBand="0" w:oddHBand="0" w:evenHBand="0" w:firstRowFirstColumn="0" w:firstRowLastColumn="0" w:lastRowFirstColumn="0" w:lastRowLastColumn="0"/>
            <w:tcW w:w="3020" w:type="dxa"/>
          </w:tcPr>
          <w:p w14:paraId="5EEDF397" w14:textId="77777777" w:rsidR="00B0197A" w:rsidRPr="00B0197A" w:rsidRDefault="00B0197A" w:rsidP="00CF2237">
            <w:pPr>
              <w:spacing w:line="360" w:lineRule="auto"/>
              <w:jc w:val="center"/>
              <w:rPr>
                <w:sz w:val="24"/>
                <w:szCs w:val="24"/>
              </w:rPr>
            </w:pPr>
            <w:r w:rsidRPr="00B0197A">
              <w:rPr>
                <w:sz w:val="24"/>
                <w:szCs w:val="24"/>
              </w:rPr>
              <w:t>Revestimento</w:t>
            </w:r>
          </w:p>
        </w:tc>
        <w:tc>
          <w:tcPr>
            <w:tcW w:w="3020" w:type="dxa"/>
          </w:tcPr>
          <w:p w14:paraId="69A6CF2E" w14:textId="77777777" w:rsidR="00B0197A" w:rsidRPr="00B0197A" w:rsidRDefault="00B0197A" w:rsidP="00CF2237">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0197A">
              <w:rPr>
                <w:sz w:val="24"/>
                <w:szCs w:val="24"/>
              </w:rPr>
              <w:t>R$ 1.805,47</w:t>
            </w:r>
          </w:p>
        </w:tc>
        <w:tc>
          <w:tcPr>
            <w:tcW w:w="3021" w:type="dxa"/>
          </w:tcPr>
          <w:p w14:paraId="3F67040F" w14:textId="77777777" w:rsidR="00B0197A" w:rsidRPr="00B0197A" w:rsidRDefault="00B0197A" w:rsidP="00CF2237">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0197A">
              <w:rPr>
                <w:sz w:val="24"/>
                <w:szCs w:val="24"/>
              </w:rPr>
              <w:t>R$ 2.054,44</w:t>
            </w:r>
          </w:p>
        </w:tc>
      </w:tr>
      <w:tr w:rsidR="00B0197A" w:rsidRPr="00B0197A" w14:paraId="7E908E4C" w14:textId="77777777" w:rsidTr="00CF2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D207892" w14:textId="77777777" w:rsidR="00B0197A" w:rsidRPr="00B0197A" w:rsidRDefault="00B0197A" w:rsidP="00CF2237">
            <w:pPr>
              <w:spacing w:line="360" w:lineRule="auto"/>
              <w:jc w:val="center"/>
              <w:rPr>
                <w:sz w:val="24"/>
                <w:szCs w:val="24"/>
              </w:rPr>
            </w:pPr>
            <w:r w:rsidRPr="00B0197A">
              <w:rPr>
                <w:sz w:val="24"/>
                <w:szCs w:val="24"/>
              </w:rPr>
              <w:t>Cobertura</w:t>
            </w:r>
          </w:p>
        </w:tc>
        <w:tc>
          <w:tcPr>
            <w:tcW w:w="3020" w:type="dxa"/>
          </w:tcPr>
          <w:p w14:paraId="61BE7D70" w14:textId="77777777" w:rsidR="00B0197A" w:rsidRPr="00B0197A" w:rsidRDefault="00B0197A" w:rsidP="00CF2237">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B0197A">
              <w:rPr>
                <w:sz w:val="24"/>
                <w:szCs w:val="24"/>
              </w:rPr>
              <w:t>R$ 3.952,58</w:t>
            </w:r>
          </w:p>
        </w:tc>
        <w:tc>
          <w:tcPr>
            <w:tcW w:w="3021" w:type="dxa"/>
          </w:tcPr>
          <w:p w14:paraId="63DF0A07" w14:textId="77777777" w:rsidR="00B0197A" w:rsidRPr="00B0197A" w:rsidRDefault="00B0197A" w:rsidP="00CF2237">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B0197A">
              <w:rPr>
                <w:sz w:val="24"/>
                <w:szCs w:val="24"/>
              </w:rPr>
              <w:t>R$ 3.952,58</w:t>
            </w:r>
          </w:p>
        </w:tc>
      </w:tr>
      <w:tr w:rsidR="00B0197A" w:rsidRPr="00B0197A" w14:paraId="025BF4C0" w14:textId="77777777" w:rsidTr="00CF2237">
        <w:tc>
          <w:tcPr>
            <w:cnfStyle w:val="001000000000" w:firstRow="0" w:lastRow="0" w:firstColumn="1" w:lastColumn="0" w:oddVBand="0" w:evenVBand="0" w:oddHBand="0" w:evenHBand="0" w:firstRowFirstColumn="0" w:firstRowLastColumn="0" w:lastRowFirstColumn="0" w:lastRowLastColumn="0"/>
            <w:tcW w:w="3020" w:type="dxa"/>
          </w:tcPr>
          <w:p w14:paraId="0AAFFF0F" w14:textId="77777777" w:rsidR="00B0197A" w:rsidRPr="00B0197A" w:rsidRDefault="00B0197A" w:rsidP="00CF2237">
            <w:pPr>
              <w:spacing w:line="360" w:lineRule="auto"/>
              <w:jc w:val="center"/>
              <w:rPr>
                <w:sz w:val="24"/>
                <w:szCs w:val="24"/>
              </w:rPr>
            </w:pPr>
            <w:r w:rsidRPr="00B0197A">
              <w:rPr>
                <w:sz w:val="24"/>
                <w:szCs w:val="24"/>
              </w:rPr>
              <w:t>Esquadrias</w:t>
            </w:r>
          </w:p>
        </w:tc>
        <w:tc>
          <w:tcPr>
            <w:tcW w:w="3020" w:type="dxa"/>
          </w:tcPr>
          <w:p w14:paraId="1CD8A942" w14:textId="77777777" w:rsidR="00B0197A" w:rsidRPr="00B0197A" w:rsidRDefault="00B0197A" w:rsidP="00CF2237">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0197A">
              <w:rPr>
                <w:sz w:val="24"/>
                <w:szCs w:val="24"/>
              </w:rPr>
              <w:t>R$ 2.031,07</w:t>
            </w:r>
          </w:p>
        </w:tc>
        <w:tc>
          <w:tcPr>
            <w:tcW w:w="3021" w:type="dxa"/>
          </w:tcPr>
          <w:p w14:paraId="3EE21567" w14:textId="77777777" w:rsidR="00B0197A" w:rsidRPr="00B0197A" w:rsidRDefault="00B0197A" w:rsidP="00CF2237">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0197A">
              <w:rPr>
                <w:sz w:val="24"/>
                <w:szCs w:val="24"/>
              </w:rPr>
              <w:t>R$ 2.031,07</w:t>
            </w:r>
          </w:p>
        </w:tc>
      </w:tr>
      <w:tr w:rsidR="00B0197A" w:rsidRPr="00B0197A" w14:paraId="45475C9D" w14:textId="77777777" w:rsidTr="00CF2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CC9258C" w14:textId="77777777" w:rsidR="00B0197A" w:rsidRPr="00B0197A" w:rsidRDefault="00B0197A" w:rsidP="00CF2237">
            <w:pPr>
              <w:spacing w:line="360" w:lineRule="auto"/>
              <w:jc w:val="center"/>
              <w:rPr>
                <w:sz w:val="24"/>
                <w:szCs w:val="24"/>
              </w:rPr>
            </w:pPr>
            <w:r w:rsidRPr="00B0197A">
              <w:rPr>
                <w:sz w:val="24"/>
                <w:szCs w:val="24"/>
              </w:rPr>
              <w:t>Pintura</w:t>
            </w:r>
          </w:p>
        </w:tc>
        <w:tc>
          <w:tcPr>
            <w:tcW w:w="3020" w:type="dxa"/>
          </w:tcPr>
          <w:p w14:paraId="6BB21D63" w14:textId="77777777" w:rsidR="00B0197A" w:rsidRPr="00B0197A" w:rsidRDefault="00B0197A" w:rsidP="00CF2237">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B0197A">
              <w:rPr>
                <w:sz w:val="24"/>
                <w:szCs w:val="24"/>
              </w:rPr>
              <w:t>R$ 4.766,16</w:t>
            </w:r>
          </w:p>
        </w:tc>
        <w:tc>
          <w:tcPr>
            <w:tcW w:w="3021" w:type="dxa"/>
          </w:tcPr>
          <w:p w14:paraId="2B1E5248" w14:textId="77777777" w:rsidR="00B0197A" w:rsidRPr="00B0197A" w:rsidRDefault="00B0197A" w:rsidP="00CF2237">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B0197A">
              <w:rPr>
                <w:sz w:val="24"/>
                <w:szCs w:val="24"/>
              </w:rPr>
              <w:t>R$ 4.766,16</w:t>
            </w:r>
          </w:p>
        </w:tc>
      </w:tr>
      <w:tr w:rsidR="00B0197A" w:rsidRPr="00B0197A" w14:paraId="12838747" w14:textId="77777777" w:rsidTr="00CF2237">
        <w:tc>
          <w:tcPr>
            <w:cnfStyle w:val="001000000000" w:firstRow="0" w:lastRow="0" w:firstColumn="1" w:lastColumn="0" w:oddVBand="0" w:evenVBand="0" w:oddHBand="0" w:evenHBand="0" w:firstRowFirstColumn="0" w:firstRowLastColumn="0" w:lastRowFirstColumn="0" w:lastRowLastColumn="0"/>
            <w:tcW w:w="3020" w:type="dxa"/>
          </w:tcPr>
          <w:p w14:paraId="5DB8BF50" w14:textId="77777777" w:rsidR="00B0197A" w:rsidRPr="00B0197A" w:rsidRDefault="00B0197A" w:rsidP="00CF2237">
            <w:pPr>
              <w:spacing w:line="360" w:lineRule="auto"/>
              <w:jc w:val="center"/>
              <w:rPr>
                <w:sz w:val="24"/>
                <w:szCs w:val="24"/>
              </w:rPr>
            </w:pPr>
            <w:r w:rsidRPr="00B0197A">
              <w:rPr>
                <w:sz w:val="24"/>
                <w:szCs w:val="24"/>
              </w:rPr>
              <w:t>Total:</w:t>
            </w:r>
          </w:p>
        </w:tc>
        <w:tc>
          <w:tcPr>
            <w:tcW w:w="3020" w:type="dxa"/>
          </w:tcPr>
          <w:p w14:paraId="13903675" w14:textId="77777777" w:rsidR="00B0197A" w:rsidRPr="00B0197A" w:rsidRDefault="00B0197A" w:rsidP="00CF2237">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0197A">
              <w:rPr>
                <w:b/>
                <w:bCs/>
                <w:sz w:val="24"/>
                <w:szCs w:val="24"/>
              </w:rPr>
              <w:t>R$ 32.206,47</w:t>
            </w:r>
          </w:p>
        </w:tc>
        <w:tc>
          <w:tcPr>
            <w:tcW w:w="3021" w:type="dxa"/>
          </w:tcPr>
          <w:p w14:paraId="1E85EA8B" w14:textId="77777777" w:rsidR="00B0197A" w:rsidRPr="00B0197A" w:rsidRDefault="00B0197A" w:rsidP="00CF2237">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0197A">
              <w:rPr>
                <w:b/>
                <w:bCs/>
                <w:sz w:val="24"/>
                <w:szCs w:val="24"/>
              </w:rPr>
              <w:t>R$ 39.558,64</w:t>
            </w:r>
          </w:p>
        </w:tc>
      </w:tr>
    </w:tbl>
    <w:p w14:paraId="5AE96BC9" w14:textId="77777777" w:rsidR="00B0197A" w:rsidRPr="00B0197A" w:rsidRDefault="00B0197A" w:rsidP="00B0197A">
      <w:r w:rsidRPr="00B0197A">
        <w:t>Fonte: Autoria própria (2023).</w:t>
      </w:r>
    </w:p>
    <w:p w14:paraId="3F2F58E7" w14:textId="77777777" w:rsidR="00B6406D" w:rsidRDefault="00B6406D" w:rsidP="00B0197A">
      <w:pPr>
        <w:spacing w:line="360" w:lineRule="auto"/>
        <w:ind w:firstLine="709"/>
        <w:jc w:val="both"/>
        <w:rPr>
          <w:sz w:val="24"/>
          <w:szCs w:val="24"/>
        </w:rPr>
      </w:pPr>
    </w:p>
    <w:p w14:paraId="3BD7DDF2" w14:textId="77777777" w:rsidR="00B6406D" w:rsidRDefault="00B6406D" w:rsidP="00B0197A">
      <w:pPr>
        <w:spacing w:line="360" w:lineRule="auto"/>
        <w:ind w:firstLine="709"/>
        <w:jc w:val="both"/>
        <w:rPr>
          <w:sz w:val="24"/>
          <w:szCs w:val="24"/>
        </w:rPr>
      </w:pPr>
    </w:p>
    <w:p w14:paraId="0530FD90" w14:textId="77777777" w:rsidR="00B6406D" w:rsidRDefault="00B6406D" w:rsidP="00B0197A">
      <w:pPr>
        <w:spacing w:line="360" w:lineRule="auto"/>
        <w:ind w:firstLine="709"/>
        <w:jc w:val="both"/>
        <w:rPr>
          <w:sz w:val="24"/>
          <w:szCs w:val="24"/>
        </w:rPr>
      </w:pPr>
    </w:p>
    <w:p w14:paraId="47D8D250" w14:textId="636A6EFE" w:rsidR="00B0197A" w:rsidRPr="00B0197A" w:rsidRDefault="00B0197A" w:rsidP="00B0197A">
      <w:pPr>
        <w:spacing w:line="360" w:lineRule="auto"/>
        <w:ind w:firstLine="709"/>
        <w:jc w:val="both"/>
        <w:rPr>
          <w:sz w:val="24"/>
          <w:szCs w:val="24"/>
        </w:rPr>
      </w:pPr>
      <w:r w:rsidRPr="00B0197A">
        <w:rPr>
          <w:sz w:val="24"/>
          <w:szCs w:val="24"/>
        </w:rPr>
        <w:t>Ao comparar os custos dos dois métodos construtivos para a construção de casas de habitação de interesse popular, observou-se uma diferença significativa, sendo a alvenaria estrutural mais vantajosa. Com isso, a alvenaria convencional teve maiores custos com materiais para a construção, comparado com o estrutural.</w:t>
      </w:r>
    </w:p>
    <w:p w14:paraId="64092E29" w14:textId="77777777" w:rsidR="00B0197A" w:rsidRPr="00B0197A" w:rsidRDefault="00B0197A" w:rsidP="00B0197A">
      <w:pPr>
        <w:spacing w:line="360" w:lineRule="auto"/>
        <w:ind w:firstLine="709"/>
        <w:jc w:val="both"/>
        <w:rPr>
          <w:sz w:val="24"/>
          <w:szCs w:val="24"/>
        </w:rPr>
      </w:pPr>
      <w:r w:rsidRPr="00B0197A">
        <w:rPr>
          <w:sz w:val="24"/>
          <w:szCs w:val="24"/>
        </w:rPr>
        <w:t>O gráfico 01 mostra com mais detalhe a comparação dos custos já apresentados na tabela 01.</w:t>
      </w:r>
    </w:p>
    <w:p w14:paraId="4F3CD8B3" w14:textId="77777777" w:rsidR="00B0197A" w:rsidRPr="00B0197A" w:rsidRDefault="00B0197A" w:rsidP="00B0197A">
      <w:pPr>
        <w:jc w:val="both"/>
        <w:rPr>
          <w:sz w:val="24"/>
          <w:szCs w:val="24"/>
        </w:rPr>
      </w:pPr>
      <w:r w:rsidRPr="00B0197A">
        <w:rPr>
          <w:sz w:val="24"/>
          <w:szCs w:val="24"/>
        </w:rPr>
        <w:t>Gráfico 01 – Custos dos Sistemas Construtivos</w:t>
      </w:r>
    </w:p>
    <w:p w14:paraId="6C5223E4" w14:textId="77777777" w:rsidR="00B0197A" w:rsidRPr="00B0197A" w:rsidRDefault="00B0197A" w:rsidP="00B0197A">
      <w:pPr>
        <w:jc w:val="both"/>
        <w:rPr>
          <w:color w:val="FF0000"/>
          <w:sz w:val="24"/>
          <w:szCs w:val="24"/>
        </w:rPr>
      </w:pPr>
      <w:r w:rsidRPr="00B0197A">
        <w:rPr>
          <w:noProof/>
          <w:color w:val="FF0000"/>
          <w:sz w:val="24"/>
          <w:szCs w:val="24"/>
        </w:rPr>
        <w:drawing>
          <wp:inline distT="0" distB="0" distL="0" distR="0" wp14:anchorId="4E5A58D3" wp14:editId="7B0E6FD0">
            <wp:extent cx="5715000" cy="2819400"/>
            <wp:effectExtent l="0" t="0" r="0" b="0"/>
            <wp:docPr id="7186513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B0197A">
        <w:t>Fonte: Autoria própria (2023).</w:t>
      </w:r>
    </w:p>
    <w:p w14:paraId="2637CC01" w14:textId="77777777" w:rsidR="00B0197A" w:rsidRPr="00B0197A" w:rsidRDefault="00B0197A" w:rsidP="00B0197A">
      <w:pPr>
        <w:spacing w:line="360" w:lineRule="auto"/>
        <w:ind w:firstLine="709"/>
        <w:jc w:val="both"/>
        <w:rPr>
          <w:sz w:val="24"/>
          <w:szCs w:val="24"/>
        </w:rPr>
      </w:pPr>
      <w:r w:rsidRPr="00B0197A">
        <w:rPr>
          <w:sz w:val="24"/>
          <w:szCs w:val="24"/>
        </w:rPr>
        <w:t>Feito a comparação entre os custos de uma obra utilizando os dois métodos construtivos, observou-se uma diferença de 18,58% no custo entre esses dois métodos. Sendo assim, favorecendo a alvenaria estrutural em relação a alvenaria convencional.</w:t>
      </w:r>
    </w:p>
    <w:p w14:paraId="459A04AD" w14:textId="35711734" w:rsidR="00B0197A" w:rsidRPr="00B0197A" w:rsidRDefault="00B0197A" w:rsidP="00B0197A">
      <w:pPr>
        <w:spacing w:line="360" w:lineRule="auto"/>
        <w:ind w:firstLine="709"/>
        <w:jc w:val="both"/>
        <w:rPr>
          <w:sz w:val="24"/>
          <w:szCs w:val="24"/>
        </w:rPr>
      </w:pPr>
      <w:r w:rsidRPr="00B0197A">
        <w:rPr>
          <w:sz w:val="24"/>
          <w:szCs w:val="24"/>
        </w:rPr>
        <w:t>Em relação as paredes e painéis alcança 46,16% mais econômico. Esta porcentagem é devido ao uso das vigas e pilares na alvenaria convencional, com gastos diretamente relacionado com matérias, como aço, madeira, para a construção das estruturas (Gráfico 02).</w:t>
      </w:r>
    </w:p>
    <w:p w14:paraId="40B2312C" w14:textId="77777777" w:rsidR="00B0197A" w:rsidRPr="00B0197A" w:rsidRDefault="00B0197A" w:rsidP="00B0197A">
      <w:pPr>
        <w:jc w:val="both"/>
        <w:rPr>
          <w:sz w:val="24"/>
          <w:szCs w:val="24"/>
        </w:rPr>
      </w:pPr>
      <w:r w:rsidRPr="00B0197A">
        <w:rPr>
          <w:sz w:val="24"/>
          <w:szCs w:val="24"/>
        </w:rPr>
        <w:t>Gráfico 02 – Comparação entre os sistemas referente as etapas analisadas</w:t>
      </w:r>
    </w:p>
    <w:p w14:paraId="0F153409" w14:textId="77777777" w:rsidR="00B0197A" w:rsidRPr="00B0197A" w:rsidRDefault="00B0197A" w:rsidP="00B0197A">
      <w:pPr>
        <w:spacing w:line="360" w:lineRule="auto"/>
        <w:jc w:val="both"/>
        <w:rPr>
          <w:sz w:val="24"/>
          <w:szCs w:val="24"/>
        </w:rPr>
      </w:pPr>
      <w:r w:rsidRPr="00B0197A">
        <w:rPr>
          <w:noProof/>
          <w:sz w:val="24"/>
          <w:szCs w:val="24"/>
        </w:rPr>
        <w:drawing>
          <wp:inline distT="0" distB="0" distL="0" distR="0" wp14:anchorId="73E4849B" wp14:editId="20C02CDD">
            <wp:extent cx="5707380" cy="1524000"/>
            <wp:effectExtent l="0" t="0" r="7620" b="0"/>
            <wp:docPr id="85753632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B7A08F3" w14:textId="77777777" w:rsidR="00B0197A" w:rsidRPr="00B0197A" w:rsidRDefault="00B0197A" w:rsidP="00B0197A">
      <w:pPr>
        <w:jc w:val="both"/>
        <w:rPr>
          <w:sz w:val="24"/>
          <w:szCs w:val="24"/>
        </w:rPr>
      </w:pPr>
      <w:r w:rsidRPr="00B0197A">
        <w:t>Fonte: Autoria própria (2023).</w:t>
      </w:r>
    </w:p>
    <w:p w14:paraId="0F657BAD" w14:textId="77777777" w:rsidR="00B6406D" w:rsidRDefault="00B6406D" w:rsidP="00B0197A">
      <w:pPr>
        <w:spacing w:line="360" w:lineRule="auto"/>
        <w:ind w:firstLine="709"/>
        <w:jc w:val="both"/>
        <w:rPr>
          <w:sz w:val="24"/>
          <w:szCs w:val="24"/>
        </w:rPr>
      </w:pPr>
    </w:p>
    <w:p w14:paraId="7E719163" w14:textId="77777777" w:rsidR="00B6406D" w:rsidRDefault="00B6406D" w:rsidP="00B0197A">
      <w:pPr>
        <w:spacing w:line="360" w:lineRule="auto"/>
        <w:ind w:firstLine="709"/>
        <w:jc w:val="both"/>
        <w:rPr>
          <w:sz w:val="24"/>
          <w:szCs w:val="24"/>
        </w:rPr>
      </w:pPr>
    </w:p>
    <w:p w14:paraId="53B61749" w14:textId="434663DB" w:rsidR="00B0197A" w:rsidRPr="00B0197A" w:rsidRDefault="00B0197A" w:rsidP="00B0197A">
      <w:pPr>
        <w:spacing w:line="360" w:lineRule="auto"/>
        <w:ind w:firstLine="709"/>
        <w:jc w:val="both"/>
        <w:rPr>
          <w:sz w:val="24"/>
          <w:szCs w:val="24"/>
        </w:rPr>
      </w:pPr>
      <w:r w:rsidRPr="00B0197A">
        <w:rPr>
          <w:sz w:val="24"/>
          <w:szCs w:val="24"/>
        </w:rPr>
        <w:t>Na etapa de revestimento, a variação é de 12,11%. Mais uma vez percebe-se o quão vantajoso se torna economicamente o uso da alvenaria estrutural (Gráfico 02), já que na alvenaria convencional usa-se chapisco, emboço e massa única. Na alvenaria estrutural não precisa do chapisco porque já tem aderência necessária para esse fim.</w:t>
      </w:r>
    </w:p>
    <w:p w14:paraId="24C74033" w14:textId="61005BC3" w:rsidR="004071DD" w:rsidRPr="00B0197A" w:rsidRDefault="00B0197A" w:rsidP="00B0197A">
      <w:pPr>
        <w:spacing w:line="360" w:lineRule="auto"/>
        <w:ind w:firstLine="709"/>
        <w:jc w:val="both"/>
        <w:rPr>
          <w:sz w:val="24"/>
          <w:szCs w:val="24"/>
        </w:rPr>
      </w:pPr>
      <w:r w:rsidRPr="00B0197A">
        <w:rPr>
          <w:sz w:val="24"/>
          <w:szCs w:val="24"/>
        </w:rPr>
        <w:t>Em relação aos serviços preliminares, radier/fundação, cobertura, esquadrias e pinturas, os valores do orçamento não diferem, ou seja, não houve diferença de valores no orçamento entre os sistemas.</w:t>
      </w:r>
    </w:p>
    <w:p w14:paraId="53EAE99D" w14:textId="25AFAF33" w:rsidR="004071DD" w:rsidRPr="004071DD" w:rsidRDefault="004071DD" w:rsidP="004071DD">
      <w:pPr>
        <w:spacing w:line="360" w:lineRule="auto"/>
        <w:rPr>
          <w:sz w:val="24"/>
          <w:szCs w:val="24"/>
        </w:rPr>
      </w:pPr>
      <w:r>
        <w:rPr>
          <w:rFonts w:eastAsia="Times New Roman"/>
          <w:b/>
          <w:bCs/>
          <w:sz w:val="24"/>
          <w:szCs w:val="24"/>
        </w:rPr>
        <w:t xml:space="preserve">5 </w:t>
      </w:r>
      <w:r w:rsidRPr="004071DD">
        <w:rPr>
          <w:rFonts w:eastAsia="Times New Roman"/>
          <w:b/>
          <w:bCs/>
          <w:sz w:val="24"/>
          <w:szCs w:val="24"/>
        </w:rPr>
        <w:t>CONCLUSÕES</w:t>
      </w:r>
    </w:p>
    <w:p w14:paraId="62AEF88C" w14:textId="77777777" w:rsidR="00B0197A" w:rsidRPr="00B0197A" w:rsidRDefault="00B0197A" w:rsidP="00B0197A">
      <w:pPr>
        <w:spacing w:line="360" w:lineRule="auto"/>
        <w:ind w:firstLine="851"/>
        <w:jc w:val="both"/>
        <w:rPr>
          <w:rFonts w:eastAsia="Times New Roman"/>
          <w:sz w:val="24"/>
          <w:szCs w:val="24"/>
        </w:rPr>
      </w:pPr>
      <w:r w:rsidRPr="00B0197A">
        <w:rPr>
          <w:rFonts w:eastAsia="Times New Roman"/>
          <w:sz w:val="24"/>
          <w:szCs w:val="24"/>
        </w:rPr>
        <w:t>A construção civil busca sempre novas tecnologias construtivas, com objetivo de atender melhor o mercado imobiliário com sustentáveis construções e com redução dos custos do empreendimento.</w:t>
      </w:r>
    </w:p>
    <w:p w14:paraId="6D820E90" w14:textId="682156FE" w:rsidR="00B0197A" w:rsidRPr="00B0197A" w:rsidRDefault="00B0197A" w:rsidP="00B0197A">
      <w:pPr>
        <w:spacing w:line="360" w:lineRule="auto"/>
        <w:ind w:firstLine="851"/>
        <w:jc w:val="both"/>
        <w:rPr>
          <w:rFonts w:eastAsia="Times New Roman"/>
          <w:sz w:val="24"/>
          <w:szCs w:val="24"/>
        </w:rPr>
      </w:pPr>
      <w:r w:rsidRPr="00B0197A">
        <w:rPr>
          <w:rFonts w:eastAsia="Times New Roman"/>
          <w:sz w:val="24"/>
          <w:szCs w:val="24"/>
        </w:rPr>
        <w:t>Por meio do estudo realizado, comparando os dois métodos construtivos utilizados na construção civil, e com as análises de dados obtidos, conclui-se que o custo da construção em alvenaria estrutural é mais econômico em relação a alvenaria convencional.</w:t>
      </w:r>
    </w:p>
    <w:p w14:paraId="3175A63F" w14:textId="77777777" w:rsidR="00B0197A" w:rsidRPr="00B0197A" w:rsidRDefault="00B0197A" w:rsidP="00B0197A">
      <w:pPr>
        <w:spacing w:line="360" w:lineRule="auto"/>
        <w:ind w:firstLine="851"/>
        <w:jc w:val="both"/>
        <w:rPr>
          <w:rFonts w:eastAsia="Times New Roman"/>
          <w:sz w:val="24"/>
          <w:szCs w:val="24"/>
        </w:rPr>
      </w:pPr>
      <w:r w:rsidRPr="00B0197A">
        <w:rPr>
          <w:rFonts w:eastAsia="Times New Roman"/>
          <w:sz w:val="24"/>
          <w:szCs w:val="24"/>
        </w:rPr>
        <w:t>Não bastante a isso, o sistema construtivo em alvenaria estrutural tem possibilidades concretas de despontar em um novo cenário da construção civil brasileira, quer seja com a retomada dos programas de habitação popular ou aplicação das modernas normas do sistema em vigor.</w:t>
      </w:r>
    </w:p>
    <w:p w14:paraId="66E9FA03" w14:textId="3DB3C0AD" w:rsidR="0014789D" w:rsidRPr="009140D1" w:rsidRDefault="004071DD" w:rsidP="009140D1">
      <w:pPr>
        <w:spacing w:line="360" w:lineRule="auto"/>
        <w:jc w:val="center"/>
        <w:rPr>
          <w:rFonts w:eastAsia="Times New Roman"/>
          <w:b/>
          <w:bCs/>
          <w:sz w:val="24"/>
          <w:szCs w:val="24"/>
        </w:rPr>
      </w:pPr>
      <w:r w:rsidRPr="004071DD">
        <w:rPr>
          <w:rFonts w:eastAsia="Times New Roman"/>
          <w:b/>
          <w:bCs/>
          <w:sz w:val="24"/>
          <w:szCs w:val="24"/>
        </w:rPr>
        <w:t>REFERÊNCIAS</w:t>
      </w:r>
    </w:p>
    <w:p w14:paraId="545A5EF1" w14:textId="29F9390A" w:rsidR="009944CE" w:rsidRDefault="009944CE" w:rsidP="0014789D">
      <w:pPr>
        <w:pStyle w:val="Rodap"/>
      </w:pPr>
    </w:p>
    <w:p w14:paraId="728155DB" w14:textId="77777777" w:rsidR="00B0197A" w:rsidRDefault="00B0197A" w:rsidP="00300D2F">
      <w:pPr>
        <w:pStyle w:val="Rodap"/>
        <w:jc w:val="both"/>
        <w:rPr>
          <w:sz w:val="24"/>
          <w:szCs w:val="24"/>
        </w:rPr>
      </w:pPr>
      <w:r w:rsidRPr="00B0197A">
        <w:rPr>
          <w:sz w:val="24"/>
          <w:szCs w:val="24"/>
        </w:rPr>
        <w:t xml:space="preserve">ABNT – ASSOCIAÇÃO BRASILEIRA DE NORMAS. </w:t>
      </w:r>
      <w:r w:rsidRPr="00B0197A">
        <w:rPr>
          <w:b/>
          <w:bCs/>
          <w:sz w:val="24"/>
          <w:szCs w:val="24"/>
        </w:rPr>
        <w:t>NBR 16868-1</w:t>
      </w:r>
      <w:r w:rsidRPr="00B0197A">
        <w:rPr>
          <w:sz w:val="24"/>
          <w:szCs w:val="24"/>
        </w:rPr>
        <w:t>: Alvenaria Estrutural – Parte 1: Projeto. Rio de Janeiro, 2020.</w:t>
      </w:r>
    </w:p>
    <w:p w14:paraId="5B426735" w14:textId="77777777" w:rsidR="00300D2F" w:rsidRPr="00B0197A" w:rsidRDefault="00300D2F" w:rsidP="00300D2F">
      <w:pPr>
        <w:pStyle w:val="Rodap"/>
        <w:jc w:val="both"/>
        <w:rPr>
          <w:sz w:val="24"/>
          <w:szCs w:val="24"/>
        </w:rPr>
      </w:pPr>
    </w:p>
    <w:p w14:paraId="66C79E14" w14:textId="77777777" w:rsidR="00B0197A" w:rsidRDefault="00B0197A" w:rsidP="00300D2F">
      <w:pPr>
        <w:pStyle w:val="Rodap"/>
        <w:jc w:val="both"/>
        <w:rPr>
          <w:sz w:val="24"/>
          <w:szCs w:val="24"/>
        </w:rPr>
      </w:pPr>
      <w:r w:rsidRPr="00B0197A">
        <w:rPr>
          <w:sz w:val="24"/>
          <w:szCs w:val="24"/>
        </w:rPr>
        <w:t xml:space="preserve">ABNT – ASSOCIAÇÃO BRASILEIRA DE NORMAS. </w:t>
      </w:r>
      <w:r w:rsidRPr="00B0197A">
        <w:rPr>
          <w:b/>
          <w:bCs/>
          <w:sz w:val="24"/>
          <w:szCs w:val="24"/>
        </w:rPr>
        <w:t>NBR 16868-2</w:t>
      </w:r>
      <w:r w:rsidRPr="00B0197A">
        <w:rPr>
          <w:sz w:val="24"/>
          <w:szCs w:val="24"/>
        </w:rPr>
        <w:t>: Alvenaria Estrutural – Parte 2: Execução e Controle de Obras. Rio de Janeiro, 2020.</w:t>
      </w:r>
    </w:p>
    <w:p w14:paraId="0DABEB5E" w14:textId="77777777" w:rsidR="00300D2F" w:rsidRPr="00B0197A" w:rsidRDefault="00300D2F" w:rsidP="00300D2F">
      <w:pPr>
        <w:pStyle w:val="Rodap"/>
        <w:jc w:val="both"/>
        <w:rPr>
          <w:sz w:val="24"/>
          <w:szCs w:val="24"/>
        </w:rPr>
      </w:pPr>
    </w:p>
    <w:p w14:paraId="13085849" w14:textId="77777777" w:rsidR="00B0197A" w:rsidRDefault="00B0197A" w:rsidP="00300D2F">
      <w:pPr>
        <w:pStyle w:val="Rodap"/>
        <w:jc w:val="both"/>
        <w:rPr>
          <w:sz w:val="24"/>
          <w:szCs w:val="24"/>
        </w:rPr>
      </w:pPr>
      <w:r w:rsidRPr="00B0197A">
        <w:rPr>
          <w:sz w:val="24"/>
          <w:szCs w:val="24"/>
        </w:rPr>
        <w:t xml:space="preserve">ABNT – ASSOCIAÇÃO BRASILEIRA DE NORMAS. </w:t>
      </w:r>
      <w:r w:rsidRPr="00B0197A">
        <w:rPr>
          <w:b/>
          <w:bCs/>
          <w:sz w:val="24"/>
          <w:szCs w:val="24"/>
        </w:rPr>
        <w:t>NBR 16868-3</w:t>
      </w:r>
      <w:r w:rsidRPr="00B0197A">
        <w:rPr>
          <w:sz w:val="24"/>
          <w:szCs w:val="24"/>
        </w:rPr>
        <w:t>: Alvenaria Estrutural – Parte 3: Métodos de Ensaios. Rio de Janeiro, 2020.</w:t>
      </w:r>
    </w:p>
    <w:p w14:paraId="6DD3D567" w14:textId="77777777" w:rsidR="00300D2F" w:rsidRPr="00B0197A" w:rsidRDefault="00300D2F" w:rsidP="00300D2F">
      <w:pPr>
        <w:pStyle w:val="Rodap"/>
        <w:jc w:val="both"/>
        <w:rPr>
          <w:sz w:val="24"/>
          <w:szCs w:val="24"/>
        </w:rPr>
      </w:pPr>
    </w:p>
    <w:p w14:paraId="422F9507" w14:textId="77777777" w:rsidR="00B0197A" w:rsidRDefault="00B0197A" w:rsidP="00300D2F">
      <w:pPr>
        <w:pStyle w:val="Rodap"/>
        <w:jc w:val="both"/>
        <w:rPr>
          <w:sz w:val="24"/>
          <w:szCs w:val="24"/>
        </w:rPr>
      </w:pPr>
      <w:r w:rsidRPr="00B0197A">
        <w:rPr>
          <w:sz w:val="24"/>
          <w:szCs w:val="24"/>
        </w:rPr>
        <w:t xml:space="preserve">AQUIPROJETOS. </w:t>
      </w:r>
      <w:r w:rsidRPr="00B0197A">
        <w:rPr>
          <w:b/>
          <w:bCs/>
          <w:sz w:val="24"/>
          <w:szCs w:val="24"/>
        </w:rPr>
        <w:t xml:space="preserve">Alvenaria estrutural. </w:t>
      </w:r>
      <w:r w:rsidRPr="00B0197A">
        <w:rPr>
          <w:sz w:val="24"/>
          <w:szCs w:val="24"/>
        </w:rPr>
        <w:t>Disponível em: https://aquiprojetos.com/blog/vale-a-pena-alvenaria-estrutural-01. Acesso em: 23 abr. 2023.</w:t>
      </w:r>
    </w:p>
    <w:p w14:paraId="360DA660" w14:textId="77777777" w:rsidR="00300D2F" w:rsidRPr="00B0197A" w:rsidRDefault="00300D2F" w:rsidP="00300D2F">
      <w:pPr>
        <w:pStyle w:val="Rodap"/>
        <w:jc w:val="both"/>
        <w:rPr>
          <w:sz w:val="24"/>
          <w:szCs w:val="24"/>
        </w:rPr>
      </w:pPr>
    </w:p>
    <w:p w14:paraId="36750356" w14:textId="77777777" w:rsidR="00B0197A" w:rsidRDefault="00B0197A" w:rsidP="00300D2F">
      <w:pPr>
        <w:pStyle w:val="Rodap"/>
        <w:jc w:val="both"/>
        <w:rPr>
          <w:sz w:val="24"/>
          <w:szCs w:val="24"/>
        </w:rPr>
      </w:pPr>
      <w:r w:rsidRPr="00B0197A">
        <w:rPr>
          <w:sz w:val="24"/>
          <w:szCs w:val="24"/>
        </w:rPr>
        <w:t xml:space="preserve">BASTOS, Prof. Dr. P. S. B, </w:t>
      </w:r>
      <w:r w:rsidRPr="00B0197A">
        <w:rPr>
          <w:b/>
          <w:bCs/>
          <w:sz w:val="24"/>
          <w:szCs w:val="24"/>
        </w:rPr>
        <w:t>Alvenaria estrutural</w:t>
      </w:r>
      <w:r w:rsidRPr="00B0197A">
        <w:rPr>
          <w:sz w:val="24"/>
          <w:szCs w:val="24"/>
        </w:rPr>
        <w:t>, UNESP, Departamento de Engenharia Civil. Bauru/SP, 2021.</w:t>
      </w:r>
    </w:p>
    <w:p w14:paraId="5D965C03" w14:textId="77777777" w:rsidR="00300D2F" w:rsidRPr="00B0197A" w:rsidRDefault="00300D2F" w:rsidP="00300D2F">
      <w:pPr>
        <w:pStyle w:val="Rodap"/>
        <w:jc w:val="both"/>
        <w:rPr>
          <w:sz w:val="24"/>
          <w:szCs w:val="24"/>
        </w:rPr>
      </w:pPr>
    </w:p>
    <w:p w14:paraId="420DD342" w14:textId="77777777" w:rsidR="00B0197A" w:rsidRDefault="00B0197A" w:rsidP="00300D2F">
      <w:pPr>
        <w:pStyle w:val="Rodap"/>
        <w:jc w:val="both"/>
        <w:rPr>
          <w:sz w:val="24"/>
          <w:szCs w:val="24"/>
        </w:rPr>
      </w:pPr>
      <w:r w:rsidRPr="00B0197A">
        <w:rPr>
          <w:sz w:val="24"/>
          <w:szCs w:val="24"/>
        </w:rPr>
        <w:t xml:space="preserve">BERTI, L. H. ; RAFAEL. V. E. Comparação de custos de material de uma obra de pequeno porte em alvenaria estrutural em relação a alvenaria convencional. </w:t>
      </w:r>
      <w:r w:rsidRPr="00B0197A">
        <w:rPr>
          <w:b/>
          <w:bCs/>
          <w:sz w:val="24"/>
          <w:szCs w:val="24"/>
        </w:rPr>
        <w:t>Repositório Anima Educação 4315</w:t>
      </w:r>
      <w:r w:rsidRPr="00B0197A">
        <w:rPr>
          <w:sz w:val="24"/>
          <w:szCs w:val="24"/>
        </w:rPr>
        <w:t>, Tubarão, 2019.</w:t>
      </w:r>
    </w:p>
    <w:p w14:paraId="0C71EFAB" w14:textId="77777777" w:rsidR="00300D2F" w:rsidRPr="00B0197A" w:rsidRDefault="00300D2F" w:rsidP="00300D2F">
      <w:pPr>
        <w:pStyle w:val="Rodap"/>
        <w:jc w:val="both"/>
        <w:rPr>
          <w:sz w:val="24"/>
          <w:szCs w:val="24"/>
        </w:rPr>
      </w:pPr>
    </w:p>
    <w:p w14:paraId="619C77DA" w14:textId="77777777" w:rsidR="00B6406D" w:rsidRDefault="00B6406D" w:rsidP="00300D2F">
      <w:pPr>
        <w:pStyle w:val="Rodap"/>
        <w:jc w:val="both"/>
        <w:rPr>
          <w:sz w:val="24"/>
          <w:szCs w:val="24"/>
        </w:rPr>
      </w:pPr>
    </w:p>
    <w:p w14:paraId="30D85F1A" w14:textId="77777777" w:rsidR="00B6406D" w:rsidRDefault="00B6406D" w:rsidP="00300D2F">
      <w:pPr>
        <w:pStyle w:val="Rodap"/>
        <w:jc w:val="both"/>
        <w:rPr>
          <w:sz w:val="24"/>
          <w:szCs w:val="24"/>
        </w:rPr>
      </w:pPr>
    </w:p>
    <w:p w14:paraId="63173883" w14:textId="77777777" w:rsidR="00B6406D" w:rsidRDefault="00B6406D" w:rsidP="00300D2F">
      <w:pPr>
        <w:pStyle w:val="Rodap"/>
        <w:jc w:val="both"/>
        <w:rPr>
          <w:sz w:val="24"/>
          <w:szCs w:val="24"/>
        </w:rPr>
      </w:pPr>
    </w:p>
    <w:p w14:paraId="276E5CBA" w14:textId="77C531DF" w:rsidR="00B0197A" w:rsidRDefault="00B0197A" w:rsidP="00300D2F">
      <w:pPr>
        <w:pStyle w:val="Rodap"/>
        <w:jc w:val="both"/>
        <w:rPr>
          <w:sz w:val="24"/>
          <w:szCs w:val="24"/>
        </w:rPr>
      </w:pPr>
      <w:r w:rsidRPr="00B0197A">
        <w:rPr>
          <w:sz w:val="24"/>
          <w:szCs w:val="24"/>
        </w:rPr>
        <w:t xml:space="preserve">BRASIL. </w:t>
      </w:r>
      <w:r w:rsidRPr="00B0197A">
        <w:rPr>
          <w:b/>
          <w:bCs/>
          <w:sz w:val="24"/>
          <w:szCs w:val="24"/>
        </w:rPr>
        <w:t xml:space="preserve">Minha casa minha vida. </w:t>
      </w:r>
      <w:r w:rsidRPr="00B0197A">
        <w:rPr>
          <w:sz w:val="24"/>
          <w:szCs w:val="24"/>
        </w:rPr>
        <w:t>Disponível em: https://www.gov.br/cidades/pt-br/assuntos/noticias-1/minha-casa-minha-vida-portaria-estabelece-as-operacoes-contratadas-com-recursos-do-far-e-fds. Acesso em: 20 abr. 2023.</w:t>
      </w:r>
    </w:p>
    <w:p w14:paraId="5A89216D" w14:textId="77777777" w:rsidR="00300D2F" w:rsidRPr="00B0197A" w:rsidRDefault="00300D2F" w:rsidP="00300D2F">
      <w:pPr>
        <w:pStyle w:val="Rodap"/>
        <w:jc w:val="both"/>
        <w:rPr>
          <w:sz w:val="24"/>
          <w:szCs w:val="24"/>
        </w:rPr>
      </w:pPr>
    </w:p>
    <w:p w14:paraId="4FE80590" w14:textId="77777777" w:rsidR="00B0197A" w:rsidRDefault="00B0197A" w:rsidP="00300D2F">
      <w:pPr>
        <w:pStyle w:val="Rodap"/>
        <w:jc w:val="both"/>
        <w:rPr>
          <w:sz w:val="24"/>
          <w:szCs w:val="24"/>
        </w:rPr>
      </w:pPr>
      <w:r w:rsidRPr="00B0197A">
        <w:rPr>
          <w:sz w:val="24"/>
          <w:szCs w:val="24"/>
        </w:rPr>
        <w:t xml:space="preserve">CAIXA ECONÔMICA FEDERAL. </w:t>
      </w:r>
      <w:r w:rsidRPr="00B0197A">
        <w:rPr>
          <w:b/>
          <w:bCs/>
          <w:sz w:val="24"/>
          <w:szCs w:val="24"/>
        </w:rPr>
        <w:t>Programa minha casa minha vida</w:t>
      </w:r>
      <w:r w:rsidRPr="00B0197A">
        <w:rPr>
          <w:sz w:val="24"/>
          <w:szCs w:val="24"/>
        </w:rPr>
        <w:t>. Disponível em: https://www.caixa.gov.br/downloads/habitacao-minha-casa-minha-vida/MANUAL_MCMV_ENTIDADES.pdf. Acesso em: 08 nov. 2022.</w:t>
      </w:r>
    </w:p>
    <w:p w14:paraId="4003A4F5" w14:textId="77777777" w:rsidR="00300D2F" w:rsidRPr="00B0197A" w:rsidRDefault="00300D2F" w:rsidP="00300D2F">
      <w:pPr>
        <w:pStyle w:val="Rodap"/>
        <w:jc w:val="both"/>
        <w:rPr>
          <w:sz w:val="24"/>
          <w:szCs w:val="24"/>
        </w:rPr>
      </w:pPr>
    </w:p>
    <w:p w14:paraId="132A55C8" w14:textId="77777777" w:rsidR="00B0197A" w:rsidRDefault="00B0197A" w:rsidP="00300D2F">
      <w:pPr>
        <w:pStyle w:val="Rodap"/>
        <w:jc w:val="both"/>
        <w:rPr>
          <w:sz w:val="24"/>
          <w:szCs w:val="24"/>
        </w:rPr>
      </w:pPr>
      <w:r w:rsidRPr="00B0197A">
        <w:rPr>
          <w:sz w:val="24"/>
          <w:szCs w:val="24"/>
        </w:rPr>
        <w:t xml:space="preserve">CONSTRUINDODECOR. </w:t>
      </w:r>
      <w:r w:rsidRPr="00B0197A">
        <w:rPr>
          <w:b/>
          <w:bCs/>
          <w:sz w:val="24"/>
          <w:szCs w:val="24"/>
        </w:rPr>
        <w:t xml:space="preserve">Argamassa de assentamento: traço, cálculo, preço, alvenaria. </w:t>
      </w:r>
      <w:r w:rsidRPr="00B0197A">
        <w:rPr>
          <w:sz w:val="24"/>
          <w:szCs w:val="24"/>
        </w:rPr>
        <w:t>Disponível em: https://construindodecor.com.br/argamassa-de-assentamento/. Acesso em: 11 nov. 2022.</w:t>
      </w:r>
    </w:p>
    <w:p w14:paraId="2639473F" w14:textId="77777777" w:rsidR="00300D2F" w:rsidRPr="00B0197A" w:rsidRDefault="00300D2F" w:rsidP="00300D2F">
      <w:pPr>
        <w:pStyle w:val="Rodap"/>
        <w:jc w:val="both"/>
        <w:rPr>
          <w:sz w:val="24"/>
          <w:szCs w:val="24"/>
        </w:rPr>
      </w:pPr>
    </w:p>
    <w:p w14:paraId="5A29A5C8" w14:textId="77777777" w:rsidR="00B0197A" w:rsidRDefault="00B0197A" w:rsidP="00300D2F">
      <w:pPr>
        <w:pStyle w:val="Rodap"/>
        <w:jc w:val="both"/>
        <w:rPr>
          <w:sz w:val="24"/>
          <w:szCs w:val="24"/>
        </w:rPr>
      </w:pPr>
      <w:r w:rsidRPr="00B0197A">
        <w:rPr>
          <w:sz w:val="24"/>
          <w:szCs w:val="24"/>
        </w:rPr>
        <w:t xml:space="preserve">CORREIA, W. C.; OLIVEIRA, G. F. de. Reflexões sobre a prática da interdisciplinaridade através da metodologia </w:t>
      </w:r>
      <w:r w:rsidRPr="00B0197A">
        <w:rPr>
          <w:i/>
          <w:iCs/>
          <w:sz w:val="24"/>
          <w:szCs w:val="24"/>
        </w:rPr>
        <w:t>Project Based Learning</w:t>
      </w:r>
      <w:r w:rsidRPr="00B0197A">
        <w:rPr>
          <w:sz w:val="24"/>
          <w:szCs w:val="24"/>
        </w:rPr>
        <w:t xml:space="preserve">: um estudo de caso no ensino de Engenharia. </w:t>
      </w:r>
      <w:r w:rsidRPr="00B0197A">
        <w:rPr>
          <w:b/>
          <w:bCs/>
          <w:sz w:val="24"/>
          <w:szCs w:val="24"/>
        </w:rPr>
        <w:t>Revista Docência do Ensino Superior</w:t>
      </w:r>
      <w:r w:rsidRPr="00B0197A">
        <w:rPr>
          <w:sz w:val="24"/>
          <w:szCs w:val="24"/>
        </w:rPr>
        <w:t>, Belo Horizonte, v. 10, e013597, p. 1-17, 2020.</w:t>
      </w:r>
    </w:p>
    <w:p w14:paraId="04232EF5" w14:textId="77777777" w:rsidR="00300D2F" w:rsidRPr="00B0197A" w:rsidRDefault="00300D2F" w:rsidP="00300D2F">
      <w:pPr>
        <w:pStyle w:val="Rodap"/>
        <w:jc w:val="both"/>
        <w:rPr>
          <w:sz w:val="24"/>
          <w:szCs w:val="24"/>
        </w:rPr>
      </w:pPr>
    </w:p>
    <w:p w14:paraId="0AC9D87B" w14:textId="77777777" w:rsidR="00B0197A" w:rsidRDefault="00B0197A" w:rsidP="00300D2F">
      <w:pPr>
        <w:pStyle w:val="Rodap"/>
        <w:jc w:val="both"/>
        <w:rPr>
          <w:sz w:val="24"/>
          <w:szCs w:val="24"/>
        </w:rPr>
      </w:pPr>
      <w:r w:rsidRPr="00B0197A">
        <w:rPr>
          <w:sz w:val="24"/>
          <w:szCs w:val="24"/>
        </w:rPr>
        <w:t xml:space="preserve">GARCIA, B. R. G., RODRIGUES, E. A., SANTOS, J. M. A., QUEIJA, R. C., Alvenaria estrutural, sistemas construtivos e suas diferenças para a alvenaria convencional. </w:t>
      </w:r>
      <w:r w:rsidRPr="00B0197A">
        <w:rPr>
          <w:b/>
          <w:bCs/>
          <w:sz w:val="24"/>
          <w:szCs w:val="24"/>
        </w:rPr>
        <w:t>Revista Engenharia em Ação UniToleto</w:t>
      </w:r>
      <w:r w:rsidRPr="00B0197A">
        <w:rPr>
          <w:sz w:val="24"/>
          <w:szCs w:val="24"/>
        </w:rPr>
        <w:t>, Araçatuba/SP, v. 04, n. 01, p.32-46, jan./jun. 2019.</w:t>
      </w:r>
    </w:p>
    <w:p w14:paraId="5B726B38" w14:textId="77777777" w:rsidR="00300D2F" w:rsidRPr="00B0197A" w:rsidRDefault="00300D2F" w:rsidP="00300D2F">
      <w:pPr>
        <w:pStyle w:val="Rodap"/>
        <w:jc w:val="both"/>
        <w:rPr>
          <w:sz w:val="24"/>
          <w:szCs w:val="24"/>
        </w:rPr>
      </w:pPr>
    </w:p>
    <w:p w14:paraId="7C828C98" w14:textId="77777777" w:rsidR="00B0197A" w:rsidRDefault="00B0197A" w:rsidP="00300D2F">
      <w:pPr>
        <w:pStyle w:val="Rodap"/>
        <w:jc w:val="both"/>
        <w:rPr>
          <w:sz w:val="24"/>
          <w:szCs w:val="24"/>
        </w:rPr>
      </w:pPr>
      <w:r w:rsidRPr="00B0197A">
        <w:rPr>
          <w:sz w:val="24"/>
          <w:szCs w:val="24"/>
        </w:rPr>
        <w:t xml:space="preserve">G. R. Soluções BIM. </w:t>
      </w:r>
      <w:r w:rsidRPr="00B0197A">
        <w:rPr>
          <w:b/>
          <w:bCs/>
          <w:sz w:val="24"/>
          <w:szCs w:val="24"/>
        </w:rPr>
        <w:t xml:space="preserve">Alvenaria convencional. </w:t>
      </w:r>
      <w:r w:rsidRPr="00B0197A">
        <w:rPr>
          <w:sz w:val="24"/>
          <w:szCs w:val="24"/>
        </w:rPr>
        <w:t>Disponível em: https://www.granderiosolucoes.com/alvenaria-convencional. Acesso em: 10 nov. 2022.</w:t>
      </w:r>
    </w:p>
    <w:p w14:paraId="33E5A4F9" w14:textId="77777777" w:rsidR="00300D2F" w:rsidRPr="00B0197A" w:rsidRDefault="00300D2F" w:rsidP="00300D2F">
      <w:pPr>
        <w:pStyle w:val="Rodap"/>
        <w:jc w:val="both"/>
        <w:rPr>
          <w:sz w:val="24"/>
          <w:szCs w:val="24"/>
        </w:rPr>
      </w:pPr>
    </w:p>
    <w:p w14:paraId="37589FFA" w14:textId="0A93465B" w:rsidR="00B0197A" w:rsidRDefault="00B0197A" w:rsidP="00300D2F">
      <w:pPr>
        <w:pStyle w:val="Rodap"/>
        <w:jc w:val="both"/>
        <w:rPr>
          <w:sz w:val="24"/>
          <w:szCs w:val="24"/>
        </w:rPr>
      </w:pPr>
      <w:r w:rsidRPr="00B0197A">
        <w:rPr>
          <w:sz w:val="24"/>
          <w:szCs w:val="24"/>
        </w:rPr>
        <w:t>GOMES, L. R., &amp; HIPPERT, M. A. S. Análise dos critérios de moradia adequada para habitação acessível a população de baixa renda. </w:t>
      </w:r>
      <w:r w:rsidRPr="00B0197A">
        <w:rPr>
          <w:b/>
          <w:bCs/>
          <w:i/>
          <w:iCs/>
          <w:sz w:val="24"/>
          <w:szCs w:val="24"/>
        </w:rPr>
        <w:t>Labor E Engenho</w:t>
      </w:r>
      <w:r w:rsidRPr="00B0197A">
        <w:rPr>
          <w:sz w:val="24"/>
          <w:szCs w:val="24"/>
        </w:rPr>
        <w:t>, v. 16, n.</w:t>
      </w:r>
      <w:r w:rsidRPr="00B0197A">
        <w:rPr>
          <w:i/>
          <w:iCs/>
          <w:sz w:val="24"/>
          <w:szCs w:val="24"/>
        </w:rPr>
        <w:t xml:space="preserve"> </w:t>
      </w:r>
      <w:r w:rsidRPr="00B0197A">
        <w:rPr>
          <w:sz w:val="24"/>
          <w:szCs w:val="24"/>
        </w:rPr>
        <w:t>00, e022014, 2022. https://doi.org/10.20396/labore.v16i00.8668709</w:t>
      </w:r>
      <w:r w:rsidR="00300D2F">
        <w:rPr>
          <w:sz w:val="24"/>
          <w:szCs w:val="24"/>
        </w:rPr>
        <w:t>.</w:t>
      </w:r>
    </w:p>
    <w:p w14:paraId="219AECDA" w14:textId="77777777" w:rsidR="00300D2F" w:rsidRPr="00B0197A" w:rsidRDefault="00300D2F" w:rsidP="00300D2F">
      <w:pPr>
        <w:pStyle w:val="Rodap"/>
        <w:jc w:val="both"/>
        <w:rPr>
          <w:sz w:val="24"/>
          <w:szCs w:val="24"/>
        </w:rPr>
      </w:pPr>
    </w:p>
    <w:p w14:paraId="5DFDFDEE" w14:textId="77777777" w:rsidR="00B0197A" w:rsidRDefault="00B0197A" w:rsidP="00300D2F">
      <w:pPr>
        <w:pStyle w:val="Rodap"/>
        <w:jc w:val="both"/>
        <w:rPr>
          <w:sz w:val="24"/>
          <w:szCs w:val="24"/>
        </w:rPr>
      </w:pPr>
      <w:r w:rsidRPr="00B0197A">
        <w:rPr>
          <w:sz w:val="24"/>
          <w:szCs w:val="24"/>
        </w:rPr>
        <w:t xml:space="preserve">GUIMARÃES, V. de S. </w:t>
      </w:r>
      <w:r w:rsidRPr="00B0197A">
        <w:rPr>
          <w:b/>
          <w:bCs/>
          <w:sz w:val="24"/>
          <w:szCs w:val="24"/>
        </w:rPr>
        <w:t>Análise do processo executivo de alvenaria estrutural: estudo de caso</w:t>
      </w:r>
      <w:r w:rsidRPr="00B0197A">
        <w:rPr>
          <w:sz w:val="24"/>
          <w:szCs w:val="24"/>
        </w:rPr>
        <w:t>. 2018. Trabalho de Conclusão de Curso (Bacharelado em Engenharia Civil) - Universidade Tecnológica Federal do Paraná, Toledo, 2018.</w:t>
      </w:r>
    </w:p>
    <w:p w14:paraId="3BDAFD59" w14:textId="77777777" w:rsidR="00300D2F" w:rsidRPr="00B0197A" w:rsidRDefault="00300D2F" w:rsidP="00300D2F">
      <w:pPr>
        <w:pStyle w:val="Rodap"/>
        <w:jc w:val="both"/>
        <w:rPr>
          <w:sz w:val="24"/>
          <w:szCs w:val="24"/>
        </w:rPr>
      </w:pPr>
    </w:p>
    <w:p w14:paraId="74037191" w14:textId="77777777" w:rsidR="00B0197A" w:rsidRDefault="00B0197A" w:rsidP="00300D2F">
      <w:pPr>
        <w:pStyle w:val="Rodap"/>
        <w:jc w:val="both"/>
        <w:rPr>
          <w:sz w:val="24"/>
          <w:szCs w:val="24"/>
        </w:rPr>
      </w:pPr>
      <w:r w:rsidRPr="00B0197A">
        <w:rPr>
          <w:sz w:val="24"/>
          <w:szCs w:val="24"/>
        </w:rPr>
        <w:t xml:space="preserve">INOVA CONCRETO. </w:t>
      </w:r>
      <w:r w:rsidRPr="00B0197A">
        <w:rPr>
          <w:b/>
          <w:bCs/>
          <w:sz w:val="24"/>
          <w:szCs w:val="24"/>
        </w:rPr>
        <w:t xml:space="preserve">Alvenaria estrutural e alvenaria convencional: qual a diferença. </w:t>
      </w:r>
      <w:r w:rsidRPr="00B0197A">
        <w:rPr>
          <w:sz w:val="24"/>
          <w:szCs w:val="24"/>
        </w:rPr>
        <w:t>Disponível em: https://inovaconcreto.com.br/blog/construcao-convencional-e-alvenaria-estrutural/. Acesso em: 21 abr. 2023.</w:t>
      </w:r>
    </w:p>
    <w:p w14:paraId="4705CC6C" w14:textId="77777777" w:rsidR="00300D2F" w:rsidRPr="00B0197A" w:rsidRDefault="00300D2F" w:rsidP="00300D2F">
      <w:pPr>
        <w:pStyle w:val="Rodap"/>
        <w:jc w:val="both"/>
        <w:rPr>
          <w:sz w:val="24"/>
          <w:szCs w:val="24"/>
        </w:rPr>
      </w:pPr>
    </w:p>
    <w:p w14:paraId="4328CD46" w14:textId="77777777" w:rsidR="00B0197A" w:rsidRDefault="00B0197A" w:rsidP="00300D2F">
      <w:pPr>
        <w:pStyle w:val="Rodap"/>
        <w:jc w:val="both"/>
        <w:rPr>
          <w:sz w:val="24"/>
          <w:szCs w:val="24"/>
        </w:rPr>
      </w:pPr>
      <w:r w:rsidRPr="00B0197A">
        <w:rPr>
          <w:sz w:val="24"/>
          <w:szCs w:val="24"/>
        </w:rPr>
        <w:t xml:space="preserve">IPORÃ BLOCOS. </w:t>
      </w:r>
      <w:r w:rsidRPr="00B0197A">
        <w:rPr>
          <w:b/>
          <w:bCs/>
          <w:sz w:val="24"/>
          <w:szCs w:val="24"/>
        </w:rPr>
        <w:t xml:space="preserve">Blocos de Concreto. </w:t>
      </w:r>
      <w:r w:rsidRPr="00B0197A">
        <w:rPr>
          <w:sz w:val="24"/>
          <w:szCs w:val="24"/>
        </w:rPr>
        <w:t>Disponível em: http://www.iporablocos.com.br/bloco-concreto-sp.html. Acesso em: 24 abr. 2023.</w:t>
      </w:r>
    </w:p>
    <w:p w14:paraId="0232460E" w14:textId="77777777" w:rsidR="00300D2F" w:rsidRPr="00B0197A" w:rsidRDefault="00300D2F" w:rsidP="00300D2F">
      <w:pPr>
        <w:pStyle w:val="Rodap"/>
        <w:jc w:val="both"/>
        <w:rPr>
          <w:sz w:val="24"/>
          <w:szCs w:val="24"/>
        </w:rPr>
      </w:pPr>
    </w:p>
    <w:p w14:paraId="0F57CB2D" w14:textId="77777777" w:rsidR="00B0197A" w:rsidRDefault="00B0197A" w:rsidP="00300D2F">
      <w:pPr>
        <w:pStyle w:val="Rodap"/>
        <w:jc w:val="both"/>
        <w:rPr>
          <w:sz w:val="24"/>
          <w:szCs w:val="24"/>
        </w:rPr>
      </w:pPr>
      <w:r w:rsidRPr="00B0197A">
        <w:rPr>
          <w:sz w:val="24"/>
          <w:szCs w:val="24"/>
        </w:rPr>
        <w:t xml:space="preserve">KERST, R. R. </w:t>
      </w:r>
      <w:r w:rsidRPr="00B0197A">
        <w:rPr>
          <w:b/>
          <w:bCs/>
          <w:sz w:val="24"/>
          <w:szCs w:val="24"/>
        </w:rPr>
        <w:t>Projetos e detalhes construtivos de alvenaria estrutural</w:t>
      </w:r>
      <w:r w:rsidRPr="00B0197A">
        <w:rPr>
          <w:sz w:val="24"/>
          <w:szCs w:val="24"/>
        </w:rPr>
        <w:t xml:space="preserve"> / Rafael Rambalducci Kerst. – Londrina: Editora e Distribuidora Educacional S. A., 2018.</w:t>
      </w:r>
    </w:p>
    <w:p w14:paraId="31286C8D" w14:textId="77777777" w:rsidR="00300D2F" w:rsidRPr="00B0197A" w:rsidRDefault="00300D2F" w:rsidP="00300D2F">
      <w:pPr>
        <w:pStyle w:val="Rodap"/>
        <w:jc w:val="both"/>
        <w:rPr>
          <w:sz w:val="24"/>
          <w:szCs w:val="24"/>
        </w:rPr>
      </w:pPr>
    </w:p>
    <w:p w14:paraId="361A4189" w14:textId="77777777" w:rsidR="00B0197A" w:rsidRDefault="00B0197A" w:rsidP="00300D2F">
      <w:pPr>
        <w:pStyle w:val="Rodap"/>
        <w:jc w:val="both"/>
        <w:rPr>
          <w:sz w:val="24"/>
          <w:szCs w:val="24"/>
        </w:rPr>
      </w:pPr>
      <w:r w:rsidRPr="00B0197A">
        <w:rPr>
          <w:sz w:val="24"/>
          <w:szCs w:val="24"/>
        </w:rPr>
        <w:t xml:space="preserve">KLIPPEL FILHO, S.; TUTIKIAN, B. F.; OLIVEIRA, M. F.; PACHECO, F.; LABRES, H. S. Influência da espessura de revestimentos de argamassa no desempenho acústico de alvenarias de blocos cerâmicos. </w:t>
      </w:r>
      <w:r w:rsidRPr="00B0197A">
        <w:rPr>
          <w:b/>
          <w:bCs/>
          <w:sz w:val="24"/>
          <w:szCs w:val="24"/>
        </w:rPr>
        <w:t>Ambiente Construído</w:t>
      </w:r>
      <w:r w:rsidRPr="00B0197A">
        <w:rPr>
          <w:sz w:val="24"/>
          <w:szCs w:val="24"/>
        </w:rPr>
        <w:t>, Porto Alegre, v. 19, n. 2, p. 145-156, abr./jun. 2019.</w:t>
      </w:r>
    </w:p>
    <w:p w14:paraId="04398879" w14:textId="77777777" w:rsidR="00300D2F" w:rsidRPr="00B0197A" w:rsidRDefault="00300D2F" w:rsidP="00300D2F">
      <w:pPr>
        <w:pStyle w:val="Rodap"/>
        <w:jc w:val="both"/>
        <w:rPr>
          <w:sz w:val="24"/>
          <w:szCs w:val="24"/>
        </w:rPr>
      </w:pPr>
    </w:p>
    <w:p w14:paraId="04B5D27F" w14:textId="77777777" w:rsidR="00B6406D" w:rsidRDefault="00B6406D" w:rsidP="00300D2F">
      <w:pPr>
        <w:pStyle w:val="Rodap"/>
        <w:jc w:val="both"/>
        <w:rPr>
          <w:sz w:val="24"/>
          <w:szCs w:val="24"/>
        </w:rPr>
      </w:pPr>
    </w:p>
    <w:p w14:paraId="46170247" w14:textId="77777777" w:rsidR="00B6406D" w:rsidRDefault="00B6406D" w:rsidP="00300D2F">
      <w:pPr>
        <w:pStyle w:val="Rodap"/>
        <w:jc w:val="both"/>
        <w:rPr>
          <w:sz w:val="24"/>
          <w:szCs w:val="24"/>
        </w:rPr>
      </w:pPr>
    </w:p>
    <w:p w14:paraId="74107923" w14:textId="77777777" w:rsidR="00B6406D" w:rsidRDefault="00B6406D" w:rsidP="00300D2F">
      <w:pPr>
        <w:pStyle w:val="Rodap"/>
        <w:jc w:val="both"/>
        <w:rPr>
          <w:sz w:val="24"/>
          <w:szCs w:val="24"/>
        </w:rPr>
      </w:pPr>
    </w:p>
    <w:p w14:paraId="37BB8AF2" w14:textId="77777777" w:rsidR="00B6406D" w:rsidRDefault="00B6406D" w:rsidP="00300D2F">
      <w:pPr>
        <w:pStyle w:val="Rodap"/>
        <w:jc w:val="both"/>
        <w:rPr>
          <w:sz w:val="24"/>
          <w:szCs w:val="24"/>
        </w:rPr>
      </w:pPr>
    </w:p>
    <w:p w14:paraId="2850E37C" w14:textId="370436EA" w:rsidR="00B0197A" w:rsidRPr="00B0197A" w:rsidRDefault="00B0197A" w:rsidP="00300D2F">
      <w:pPr>
        <w:pStyle w:val="Rodap"/>
        <w:jc w:val="both"/>
        <w:rPr>
          <w:sz w:val="24"/>
          <w:szCs w:val="24"/>
        </w:rPr>
      </w:pPr>
      <w:r w:rsidRPr="00B0197A">
        <w:rPr>
          <w:sz w:val="24"/>
          <w:szCs w:val="24"/>
        </w:rPr>
        <w:t xml:space="preserve">LUME. </w:t>
      </w:r>
      <w:r w:rsidRPr="00B0197A">
        <w:rPr>
          <w:b/>
          <w:bCs/>
          <w:sz w:val="24"/>
          <w:szCs w:val="24"/>
        </w:rPr>
        <w:t xml:space="preserve">Alvenaria estrutural. </w:t>
      </w:r>
      <w:r w:rsidRPr="00B0197A">
        <w:rPr>
          <w:sz w:val="24"/>
          <w:szCs w:val="24"/>
        </w:rPr>
        <w:t>Disponível em: https://lume-re-demonstracao.ufrgs.br/alvenaria-estrutural/condicoes_armadura.php. Acesso em: 24 abr. 2023.</w:t>
      </w:r>
    </w:p>
    <w:p w14:paraId="4233E729" w14:textId="77777777" w:rsidR="00B0197A" w:rsidRDefault="00B0197A" w:rsidP="00300D2F">
      <w:pPr>
        <w:pStyle w:val="Rodap"/>
        <w:jc w:val="both"/>
        <w:rPr>
          <w:sz w:val="24"/>
          <w:szCs w:val="24"/>
        </w:rPr>
      </w:pPr>
      <w:r w:rsidRPr="00B0197A">
        <w:rPr>
          <w:sz w:val="24"/>
          <w:szCs w:val="24"/>
        </w:rPr>
        <w:t xml:space="preserve">MOHAMAD. G. </w:t>
      </w:r>
      <w:r w:rsidRPr="00B0197A">
        <w:rPr>
          <w:b/>
          <w:bCs/>
          <w:sz w:val="24"/>
          <w:szCs w:val="24"/>
        </w:rPr>
        <w:t>Alvenaria estrutural: materiais, projeto e desempenho</w:t>
      </w:r>
      <w:r w:rsidRPr="00B0197A">
        <w:rPr>
          <w:sz w:val="24"/>
          <w:szCs w:val="24"/>
        </w:rPr>
        <w:t xml:space="preserve"> / organizado por Gihad Mohamad. – 2ª ed. – São Paulo: Blucher, 2020.</w:t>
      </w:r>
    </w:p>
    <w:p w14:paraId="4CF28C71" w14:textId="77777777" w:rsidR="00300D2F" w:rsidRPr="00B0197A" w:rsidRDefault="00300D2F" w:rsidP="00300D2F">
      <w:pPr>
        <w:pStyle w:val="Rodap"/>
        <w:jc w:val="both"/>
        <w:rPr>
          <w:sz w:val="24"/>
          <w:szCs w:val="24"/>
        </w:rPr>
      </w:pPr>
    </w:p>
    <w:p w14:paraId="5C37E4F0" w14:textId="77777777" w:rsidR="00B0197A" w:rsidRDefault="00B0197A" w:rsidP="00300D2F">
      <w:pPr>
        <w:pStyle w:val="Rodap"/>
        <w:jc w:val="both"/>
        <w:rPr>
          <w:sz w:val="24"/>
          <w:szCs w:val="24"/>
        </w:rPr>
      </w:pPr>
      <w:r w:rsidRPr="00B0197A">
        <w:rPr>
          <w:sz w:val="24"/>
          <w:szCs w:val="24"/>
        </w:rPr>
        <w:t xml:space="preserve">NIEHUES. S. H. de O, TOMIM. K. </w:t>
      </w:r>
      <w:proofErr w:type="spellStart"/>
      <w:r w:rsidRPr="00B0197A">
        <w:rPr>
          <w:sz w:val="24"/>
          <w:szCs w:val="24"/>
        </w:rPr>
        <w:t>da</w:t>
      </w:r>
      <w:proofErr w:type="spellEnd"/>
      <w:r w:rsidRPr="00B0197A">
        <w:rPr>
          <w:sz w:val="24"/>
          <w:szCs w:val="24"/>
        </w:rPr>
        <w:t xml:space="preserve"> C. </w:t>
      </w:r>
      <w:r w:rsidRPr="00B0197A">
        <w:rPr>
          <w:b/>
          <w:bCs/>
          <w:sz w:val="24"/>
          <w:szCs w:val="24"/>
        </w:rPr>
        <w:t>Alvenarias estruturais x alvenarias convencionais uma análise orçamentária</w:t>
      </w:r>
      <w:r w:rsidRPr="00B0197A">
        <w:rPr>
          <w:sz w:val="24"/>
          <w:szCs w:val="24"/>
        </w:rPr>
        <w:t>. Graduação em engenharia Civil. Universidade Paranaense, Campus de Toledo/PR, 2018.</w:t>
      </w:r>
    </w:p>
    <w:p w14:paraId="51DB40B9" w14:textId="77777777" w:rsidR="00300D2F" w:rsidRPr="00B0197A" w:rsidRDefault="00300D2F" w:rsidP="00300D2F">
      <w:pPr>
        <w:pStyle w:val="Rodap"/>
        <w:jc w:val="both"/>
        <w:rPr>
          <w:sz w:val="24"/>
          <w:szCs w:val="24"/>
        </w:rPr>
      </w:pPr>
    </w:p>
    <w:p w14:paraId="6756AB3E" w14:textId="77777777" w:rsidR="00B0197A" w:rsidRDefault="00B0197A" w:rsidP="00300D2F">
      <w:pPr>
        <w:pStyle w:val="Rodap"/>
        <w:jc w:val="both"/>
        <w:rPr>
          <w:sz w:val="24"/>
          <w:szCs w:val="24"/>
        </w:rPr>
      </w:pPr>
      <w:r w:rsidRPr="00B0197A">
        <w:rPr>
          <w:sz w:val="24"/>
          <w:szCs w:val="24"/>
        </w:rPr>
        <w:t xml:space="preserve">PAULUZZI. </w:t>
      </w:r>
      <w:r w:rsidRPr="00B0197A">
        <w:rPr>
          <w:b/>
          <w:bCs/>
          <w:sz w:val="24"/>
          <w:szCs w:val="24"/>
        </w:rPr>
        <w:t xml:space="preserve">Alvenaria estrutural. </w:t>
      </w:r>
      <w:r w:rsidRPr="00B0197A">
        <w:rPr>
          <w:sz w:val="24"/>
          <w:szCs w:val="24"/>
        </w:rPr>
        <w:t>Disponível em: https://pauluzzi.com.br/alvenaria-estrutural/. Acesso em: 11 nov. 2022.</w:t>
      </w:r>
    </w:p>
    <w:p w14:paraId="6156CCCA" w14:textId="77777777" w:rsidR="00300D2F" w:rsidRPr="00B0197A" w:rsidRDefault="00300D2F" w:rsidP="00300D2F">
      <w:pPr>
        <w:pStyle w:val="Rodap"/>
        <w:jc w:val="both"/>
        <w:rPr>
          <w:sz w:val="24"/>
          <w:szCs w:val="24"/>
        </w:rPr>
      </w:pPr>
    </w:p>
    <w:p w14:paraId="02F4647C" w14:textId="77777777" w:rsidR="00B0197A" w:rsidRDefault="00B0197A" w:rsidP="00300D2F">
      <w:pPr>
        <w:pStyle w:val="Rodap"/>
        <w:jc w:val="both"/>
        <w:rPr>
          <w:sz w:val="24"/>
          <w:szCs w:val="24"/>
        </w:rPr>
      </w:pPr>
      <w:r w:rsidRPr="00B0197A">
        <w:rPr>
          <w:sz w:val="24"/>
          <w:szCs w:val="24"/>
        </w:rPr>
        <w:t xml:space="preserve">PIAUÍ. </w:t>
      </w:r>
      <w:r w:rsidRPr="00B0197A">
        <w:rPr>
          <w:b/>
          <w:bCs/>
          <w:sz w:val="24"/>
          <w:szCs w:val="24"/>
        </w:rPr>
        <w:t xml:space="preserve">Programa Minha casa, Minha Vida será retomado no Piauí. </w:t>
      </w:r>
      <w:r w:rsidRPr="00B0197A">
        <w:rPr>
          <w:sz w:val="24"/>
          <w:szCs w:val="24"/>
        </w:rPr>
        <w:t>Disponível em: https://www.pi.gov.br/noticias/programa-minha-casa-minha-vida-sera-retomado-no-piaui/. Acesso em: 20 abr. 2023.</w:t>
      </w:r>
    </w:p>
    <w:p w14:paraId="1899EEAC" w14:textId="77777777" w:rsidR="00300D2F" w:rsidRPr="00B0197A" w:rsidRDefault="00300D2F" w:rsidP="00300D2F">
      <w:pPr>
        <w:pStyle w:val="Rodap"/>
        <w:jc w:val="both"/>
        <w:rPr>
          <w:sz w:val="24"/>
          <w:szCs w:val="24"/>
        </w:rPr>
      </w:pPr>
    </w:p>
    <w:p w14:paraId="74BF9F4B" w14:textId="77777777" w:rsidR="00B0197A" w:rsidRDefault="00B0197A" w:rsidP="00300D2F">
      <w:pPr>
        <w:pStyle w:val="Rodap"/>
        <w:jc w:val="both"/>
        <w:rPr>
          <w:sz w:val="24"/>
          <w:szCs w:val="24"/>
        </w:rPr>
      </w:pPr>
      <w:r w:rsidRPr="00B0197A">
        <w:rPr>
          <w:sz w:val="24"/>
          <w:szCs w:val="24"/>
        </w:rPr>
        <w:t xml:space="preserve">SILVA, T. ; FERNANDES. V. </w:t>
      </w:r>
      <w:r w:rsidRPr="00B0197A">
        <w:rPr>
          <w:b/>
          <w:bCs/>
          <w:sz w:val="24"/>
          <w:szCs w:val="24"/>
        </w:rPr>
        <w:t>Comparativo de custos de edificações de padrão econômico realizadas em alvenaria de vedação e alvenaria estrutural</w:t>
      </w:r>
      <w:r w:rsidRPr="00B0197A">
        <w:rPr>
          <w:sz w:val="24"/>
          <w:szCs w:val="24"/>
        </w:rPr>
        <w:t xml:space="preserve">. Disponível em: https://repositorio.animaeducacao.com.br/handle/ANIMA/29547. Acesso em: 26 de abril de 2023. </w:t>
      </w:r>
    </w:p>
    <w:p w14:paraId="368278BA" w14:textId="77777777" w:rsidR="00300D2F" w:rsidRPr="00B0197A" w:rsidRDefault="00300D2F" w:rsidP="00300D2F">
      <w:pPr>
        <w:pStyle w:val="Rodap"/>
        <w:jc w:val="both"/>
        <w:rPr>
          <w:sz w:val="24"/>
          <w:szCs w:val="24"/>
        </w:rPr>
      </w:pPr>
    </w:p>
    <w:p w14:paraId="764EED91" w14:textId="77777777" w:rsidR="00B0197A" w:rsidRPr="00B0197A" w:rsidRDefault="00B0197A" w:rsidP="00300D2F">
      <w:pPr>
        <w:pStyle w:val="Rodap"/>
        <w:jc w:val="both"/>
        <w:rPr>
          <w:sz w:val="24"/>
          <w:szCs w:val="24"/>
        </w:rPr>
      </w:pPr>
      <w:r w:rsidRPr="00B0197A">
        <w:rPr>
          <w:sz w:val="24"/>
          <w:szCs w:val="24"/>
        </w:rPr>
        <w:t xml:space="preserve">SOUSA, R. N. </w:t>
      </w:r>
      <w:r w:rsidRPr="00B0197A">
        <w:rPr>
          <w:b/>
          <w:bCs/>
          <w:sz w:val="24"/>
          <w:szCs w:val="24"/>
        </w:rPr>
        <w:t>Comparativo de custo e tempo de execução entre a alvenaria estrutural e a alvenaria convencional: estudo de caso de uma obra em Caruaru-PE. 2022</w:t>
      </w:r>
      <w:r w:rsidRPr="00B0197A">
        <w:rPr>
          <w:sz w:val="24"/>
          <w:szCs w:val="24"/>
        </w:rPr>
        <w:t>. Trabalho de Conclusão de Curso (Engenharia Civil) – Universidade Federal de Pernambuco, Caruaru, 2022.</w:t>
      </w:r>
    </w:p>
    <w:p w14:paraId="4CFCC50B" w14:textId="77777777" w:rsidR="00B0197A" w:rsidRPr="00B0197A" w:rsidRDefault="00B0197A" w:rsidP="00300D2F">
      <w:pPr>
        <w:pStyle w:val="Rodap"/>
        <w:jc w:val="both"/>
        <w:rPr>
          <w:sz w:val="24"/>
          <w:szCs w:val="24"/>
        </w:rPr>
      </w:pPr>
      <w:r w:rsidRPr="00B0197A">
        <w:rPr>
          <w:sz w:val="24"/>
          <w:szCs w:val="24"/>
        </w:rPr>
        <w:t xml:space="preserve">VALEMASSA. </w:t>
      </w:r>
      <w:r w:rsidRPr="00B0197A">
        <w:rPr>
          <w:b/>
          <w:bCs/>
          <w:sz w:val="24"/>
          <w:szCs w:val="24"/>
        </w:rPr>
        <w:t xml:space="preserve">Argamassa assentamento estrutural. </w:t>
      </w:r>
      <w:r w:rsidRPr="00B0197A">
        <w:rPr>
          <w:sz w:val="24"/>
          <w:szCs w:val="24"/>
        </w:rPr>
        <w:t>Disponível em: https://valemassa.com.br/argamassa-assentamento-estrutural/. Acesso em: 23 abr. 2023.</w:t>
      </w:r>
    </w:p>
    <w:p w14:paraId="0718AEBA" w14:textId="6213493B" w:rsidR="003933B9" w:rsidRDefault="003933B9" w:rsidP="00B0197A">
      <w:pPr>
        <w:pStyle w:val="Rodap"/>
      </w:pPr>
    </w:p>
    <w:p w14:paraId="4BF2125F" w14:textId="77777777" w:rsidR="00B6406D" w:rsidRDefault="00B6406D" w:rsidP="00B0197A">
      <w:pPr>
        <w:shd w:val="clear" w:color="auto" w:fill="FFFFFF"/>
        <w:spacing w:line="360" w:lineRule="auto"/>
        <w:jc w:val="center"/>
        <w:rPr>
          <w:rFonts w:eastAsia="Times New Roman"/>
          <w:b/>
          <w:bCs/>
          <w:sz w:val="24"/>
          <w:szCs w:val="24"/>
        </w:rPr>
      </w:pPr>
    </w:p>
    <w:p w14:paraId="3E6D1B6E" w14:textId="77777777" w:rsidR="00B6406D" w:rsidRDefault="00B6406D" w:rsidP="00B0197A">
      <w:pPr>
        <w:shd w:val="clear" w:color="auto" w:fill="FFFFFF"/>
        <w:spacing w:line="360" w:lineRule="auto"/>
        <w:jc w:val="center"/>
        <w:rPr>
          <w:rFonts w:eastAsia="Times New Roman"/>
          <w:b/>
          <w:bCs/>
          <w:sz w:val="24"/>
          <w:szCs w:val="24"/>
        </w:rPr>
      </w:pPr>
    </w:p>
    <w:p w14:paraId="041C08E2" w14:textId="77777777" w:rsidR="00B6406D" w:rsidRDefault="00B6406D" w:rsidP="00B0197A">
      <w:pPr>
        <w:shd w:val="clear" w:color="auto" w:fill="FFFFFF"/>
        <w:spacing w:line="360" w:lineRule="auto"/>
        <w:jc w:val="center"/>
        <w:rPr>
          <w:rFonts w:eastAsia="Times New Roman"/>
          <w:b/>
          <w:bCs/>
          <w:sz w:val="24"/>
          <w:szCs w:val="24"/>
        </w:rPr>
      </w:pPr>
    </w:p>
    <w:p w14:paraId="47F3FAA5" w14:textId="77777777" w:rsidR="00B6406D" w:rsidRDefault="00B6406D" w:rsidP="00B0197A">
      <w:pPr>
        <w:shd w:val="clear" w:color="auto" w:fill="FFFFFF"/>
        <w:spacing w:line="360" w:lineRule="auto"/>
        <w:jc w:val="center"/>
        <w:rPr>
          <w:rFonts w:eastAsia="Times New Roman"/>
          <w:b/>
          <w:bCs/>
          <w:sz w:val="24"/>
          <w:szCs w:val="24"/>
        </w:rPr>
      </w:pPr>
    </w:p>
    <w:p w14:paraId="309931C2" w14:textId="77777777" w:rsidR="00B6406D" w:rsidRDefault="00B6406D" w:rsidP="00B0197A">
      <w:pPr>
        <w:shd w:val="clear" w:color="auto" w:fill="FFFFFF"/>
        <w:spacing w:line="360" w:lineRule="auto"/>
        <w:jc w:val="center"/>
        <w:rPr>
          <w:rFonts w:eastAsia="Times New Roman"/>
          <w:b/>
          <w:bCs/>
          <w:sz w:val="24"/>
          <w:szCs w:val="24"/>
        </w:rPr>
      </w:pPr>
    </w:p>
    <w:p w14:paraId="0309A784" w14:textId="77777777" w:rsidR="00B6406D" w:rsidRDefault="00B6406D" w:rsidP="00B0197A">
      <w:pPr>
        <w:shd w:val="clear" w:color="auto" w:fill="FFFFFF"/>
        <w:spacing w:line="360" w:lineRule="auto"/>
        <w:jc w:val="center"/>
        <w:rPr>
          <w:rFonts w:eastAsia="Times New Roman"/>
          <w:b/>
          <w:bCs/>
          <w:sz w:val="24"/>
          <w:szCs w:val="24"/>
        </w:rPr>
      </w:pPr>
    </w:p>
    <w:p w14:paraId="631F73E4" w14:textId="77777777" w:rsidR="00B6406D" w:rsidRDefault="00B6406D" w:rsidP="00B0197A">
      <w:pPr>
        <w:shd w:val="clear" w:color="auto" w:fill="FFFFFF"/>
        <w:spacing w:line="360" w:lineRule="auto"/>
        <w:jc w:val="center"/>
        <w:rPr>
          <w:rFonts w:eastAsia="Times New Roman"/>
          <w:b/>
          <w:bCs/>
          <w:sz w:val="24"/>
          <w:szCs w:val="24"/>
        </w:rPr>
      </w:pPr>
    </w:p>
    <w:p w14:paraId="522865BA" w14:textId="77777777" w:rsidR="00B6406D" w:rsidRDefault="00B6406D" w:rsidP="00B0197A">
      <w:pPr>
        <w:shd w:val="clear" w:color="auto" w:fill="FFFFFF"/>
        <w:spacing w:line="360" w:lineRule="auto"/>
        <w:jc w:val="center"/>
        <w:rPr>
          <w:rFonts w:eastAsia="Times New Roman"/>
          <w:b/>
          <w:bCs/>
          <w:sz w:val="24"/>
          <w:szCs w:val="24"/>
        </w:rPr>
      </w:pPr>
    </w:p>
    <w:p w14:paraId="34E52176" w14:textId="77777777" w:rsidR="00B6406D" w:rsidRDefault="00B6406D" w:rsidP="00B0197A">
      <w:pPr>
        <w:shd w:val="clear" w:color="auto" w:fill="FFFFFF"/>
        <w:spacing w:line="360" w:lineRule="auto"/>
        <w:jc w:val="center"/>
        <w:rPr>
          <w:rFonts w:eastAsia="Times New Roman"/>
          <w:b/>
          <w:bCs/>
          <w:sz w:val="24"/>
          <w:szCs w:val="24"/>
        </w:rPr>
      </w:pPr>
    </w:p>
    <w:p w14:paraId="4E14FE07" w14:textId="77777777" w:rsidR="00B6406D" w:rsidRDefault="00B6406D" w:rsidP="00B0197A">
      <w:pPr>
        <w:shd w:val="clear" w:color="auto" w:fill="FFFFFF"/>
        <w:spacing w:line="360" w:lineRule="auto"/>
        <w:jc w:val="center"/>
        <w:rPr>
          <w:rFonts w:eastAsia="Times New Roman"/>
          <w:b/>
          <w:bCs/>
          <w:sz w:val="24"/>
          <w:szCs w:val="24"/>
        </w:rPr>
      </w:pPr>
    </w:p>
    <w:p w14:paraId="513BE707" w14:textId="77777777" w:rsidR="00B6406D" w:rsidRDefault="00B6406D" w:rsidP="00B0197A">
      <w:pPr>
        <w:shd w:val="clear" w:color="auto" w:fill="FFFFFF"/>
        <w:spacing w:line="360" w:lineRule="auto"/>
        <w:jc w:val="center"/>
        <w:rPr>
          <w:rFonts w:eastAsia="Times New Roman"/>
          <w:b/>
          <w:bCs/>
          <w:sz w:val="24"/>
          <w:szCs w:val="24"/>
        </w:rPr>
      </w:pPr>
    </w:p>
    <w:p w14:paraId="5CD08C63" w14:textId="77777777" w:rsidR="00B6406D" w:rsidRDefault="00B6406D" w:rsidP="00B0197A">
      <w:pPr>
        <w:shd w:val="clear" w:color="auto" w:fill="FFFFFF"/>
        <w:spacing w:line="360" w:lineRule="auto"/>
        <w:jc w:val="center"/>
        <w:rPr>
          <w:rFonts w:eastAsia="Times New Roman"/>
          <w:b/>
          <w:bCs/>
          <w:sz w:val="24"/>
          <w:szCs w:val="24"/>
        </w:rPr>
      </w:pPr>
    </w:p>
    <w:p w14:paraId="60280EA4" w14:textId="77777777" w:rsidR="00B6406D" w:rsidRDefault="00B6406D" w:rsidP="00B0197A">
      <w:pPr>
        <w:shd w:val="clear" w:color="auto" w:fill="FFFFFF"/>
        <w:spacing w:line="360" w:lineRule="auto"/>
        <w:jc w:val="center"/>
        <w:rPr>
          <w:rFonts w:eastAsia="Times New Roman"/>
          <w:b/>
          <w:bCs/>
          <w:sz w:val="24"/>
          <w:szCs w:val="24"/>
        </w:rPr>
      </w:pPr>
    </w:p>
    <w:p w14:paraId="5C0E1678" w14:textId="47A6AC2D" w:rsidR="00B0197A" w:rsidRPr="00B0197A" w:rsidRDefault="00B0197A" w:rsidP="00B0197A">
      <w:pPr>
        <w:shd w:val="clear" w:color="auto" w:fill="FFFFFF"/>
        <w:spacing w:line="360" w:lineRule="auto"/>
        <w:jc w:val="center"/>
        <w:rPr>
          <w:rFonts w:eastAsia="Times New Roman"/>
          <w:b/>
          <w:bCs/>
          <w:sz w:val="24"/>
          <w:szCs w:val="24"/>
        </w:rPr>
      </w:pPr>
      <w:r w:rsidRPr="00B0197A">
        <w:rPr>
          <w:rFonts w:eastAsia="Times New Roman"/>
          <w:b/>
          <w:bCs/>
          <w:sz w:val="24"/>
          <w:szCs w:val="24"/>
        </w:rPr>
        <w:lastRenderedPageBreak/>
        <w:t>APÊNDICES</w:t>
      </w:r>
    </w:p>
    <w:p w14:paraId="2380DCF3" w14:textId="77777777" w:rsidR="00B0197A" w:rsidRPr="00B0197A" w:rsidRDefault="00B0197A" w:rsidP="00B0197A">
      <w:pPr>
        <w:shd w:val="clear" w:color="auto" w:fill="FFFFFF"/>
        <w:spacing w:line="360" w:lineRule="auto"/>
        <w:jc w:val="both"/>
        <w:rPr>
          <w:rFonts w:eastAsia="Times New Roman"/>
          <w:b/>
          <w:bCs/>
          <w:sz w:val="24"/>
          <w:szCs w:val="24"/>
        </w:rPr>
      </w:pPr>
      <w:r w:rsidRPr="00B0197A">
        <w:rPr>
          <w:rFonts w:eastAsia="Times New Roman"/>
          <w:b/>
          <w:bCs/>
          <w:sz w:val="24"/>
          <w:szCs w:val="24"/>
        </w:rPr>
        <w:t>Apêndice 01 – Levantamento Completo Alvenaria Convencional</w:t>
      </w:r>
    </w:p>
    <w:p w14:paraId="21A92A93" w14:textId="77777777" w:rsidR="00B0197A" w:rsidRPr="00B0197A" w:rsidRDefault="00B0197A" w:rsidP="00B0197A">
      <w:pPr>
        <w:shd w:val="clear" w:color="auto" w:fill="FFFFFF"/>
        <w:spacing w:line="360" w:lineRule="auto"/>
        <w:jc w:val="center"/>
        <w:rPr>
          <w:rFonts w:eastAsia="Times New Roman"/>
          <w:sz w:val="24"/>
          <w:szCs w:val="24"/>
        </w:rPr>
      </w:pPr>
      <w:r w:rsidRPr="00B0197A">
        <w:rPr>
          <w:noProof/>
        </w:rPr>
        <w:drawing>
          <wp:inline distT="0" distB="0" distL="0" distR="0" wp14:anchorId="2DB5B265" wp14:editId="2E899560">
            <wp:extent cx="5782957" cy="3209925"/>
            <wp:effectExtent l="0" t="0" r="8255" b="0"/>
            <wp:docPr id="72334444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44443"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835303" cy="3238981"/>
                    </a:xfrm>
                    <a:prstGeom prst="rect">
                      <a:avLst/>
                    </a:prstGeom>
                    <a:ln>
                      <a:noFill/>
                    </a:ln>
                    <a:extLst>
                      <a:ext uri="{53640926-AAD7-44D8-BBD7-CCE9431645EC}">
                        <a14:shadowObscured xmlns:a14="http://schemas.microsoft.com/office/drawing/2010/main"/>
                      </a:ext>
                    </a:extLst>
                  </pic:spPr>
                </pic:pic>
              </a:graphicData>
            </a:graphic>
          </wp:inline>
        </w:drawing>
      </w:r>
    </w:p>
    <w:p w14:paraId="71D30A23" w14:textId="77777777" w:rsidR="00B0197A" w:rsidRPr="00B0197A" w:rsidRDefault="00B0197A" w:rsidP="00B0197A">
      <w:pPr>
        <w:shd w:val="clear" w:color="auto" w:fill="FFFFFF"/>
        <w:spacing w:line="360" w:lineRule="auto"/>
        <w:jc w:val="center"/>
        <w:rPr>
          <w:rFonts w:eastAsia="Times New Roman"/>
          <w:sz w:val="24"/>
          <w:szCs w:val="24"/>
        </w:rPr>
      </w:pPr>
      <w:r w:rsidRPr="00B0197A">
        <w:rPr>
          <w:noProof/>
        </w:rPr>
        <w:drawing>
          <wp:inline distT="0" distB="0" distL="0" distR="0" wp14:anchorId="6F3455B2" wp14:editId="45C874FD">
            <wp:extent cx="5613690" cy="3295650"/>
            <wp:effectExtent l="0" t="0" r="6350" b="0"/>
            <wp:docPr id="56815815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58152"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641040" cy="3311707"/>
                    </a:xfrm>
                    <a:prstGeom prst="rect">
                      <a:avLst/>
                    </a:prstGeom>
                    <a:ln>
                      <a:noFill/>
                    </a:ln>
                    <a:extLst>
                      <a:ext uri="{53640926-AAD7-44D8-BBD7-CCE9431645EC}">
                        <a14:shadowObscured xmlns:a14="http://schemas.microsoft.com/office/drawing/2010/main"/>
                      </a:ext>
                    </a:extLst>
                  </pic:spPr>
                </pic:pic>
              </a:graphicData>
            </a:graphic>
          </wp:inline>
        </w:drawing>
      </w:r>
    </w:p>
    <w:p w14:paraId="4838DE85" w14:textId="77777777" w:rsidR="00B0197A" w:rsidRPr="00B0197A" w:rsidRDefault="00B0197A" w:rsidP="00B0197A">
      <w:pPr>
        <w:jc w:val="both"/>
        <w:rPr>
          <w:sz w:val="24"/>
          <w:szCs w:val="24"/>
        </w:rPr>
      </w:pPr>
      <w:r w:rsidRPr="00B0197A">
        <w:t>Fonte: Autoria própria (2023).</w:t>
      </w:r>
    </w:p>
    <w:p w14:paraId="48BD6D42" w14:textId="77777777" w:rsidR="00B0197A" w:rsidRPr="00B0197A" w:rsidRDefault="00B0197A" w:rsidP="00B0197A">
      <w:pPr>
        <w:shd w:val="clear" w:color="auto" w:fill="FFFFFF"/>
        <w:tabs>
          <w:tab w:val="left" w:pos="1275"/>
        </w:tabs>
        <w:spacing w:line="360" w:lineRule="auto"/>
        <w:rPr>
          <w:rFonts w:eastAsia="Times New Roman"/>
          <w:sz w:val="24"/>
          <w:szCs w:val="24"/>
        </w:rPr>
      </w:pPr>
    </w:p>
    <w:p w14:paraId="74052D28" w14:textId="77777777" w:rsidR="00B0197A" w:rsidRPr="00B0197A" w:rsidRDefault="00B0197A" w:rsidP="00B0197A">
      <w:pPr>
        <w:shd w:val="clear" w:color="auto" w:fill="FFFFFF"/>
        <w:spacing w:line="360" w:lineRule="auto"/>
        <w:jc w:val="both"/>
        <w:rPr>
          <w:rFonts w:eastAsia="Times New Roman"/>
          <w:b/>
          <w:bCs/>
          <w:sz w:val="24"/>
          <w:szCs w:val="24"/>
        </w:rPr>
      </w:pPr>
      <w:r w:rsidRPr="00B0197A">
        <w:rPr>
          <w:rFonts w:eastAsia="Times New Roman"/>
          <w:b/>
          <w:bCs/>
          <w:sz w:val="24"/>
          <w:szCs w:val="24"/>
        </w:rPr>
        <w:t>Apêndice 02 – Levantamento Completo Alvenaria Estrutural</w:t>
      </w:r>
    </w:p>
    <w:p w14:paraId="05A2484D" w14:textId="77777777" w:rsidR="00B0197A" w:rsidRPr="00B0197A" w:rsidRDefault="00B0197A" w:rsidP="00B0197A">
      <w:pPr>
        <w:shd w:val="clear" w:color="auto" w:fill="FFFFFF"/>
        <w:spacing w:line="360" w:lineRule="auto"/>
        <w:jc w:val="center"/>
        <w:rPr>
          <w:rFonts w:eastAsia="Times New Roman"/>
          <w:sz w:val="24"/>
          <w:szCs w:val="24"/>
        </w:rPr>
      </w:pPr>
      <w:r w:rsidRPr="00B0197A">
        <w:rPr>
          <w:noProof/>
        </w:rPr>
        <w:lastRenderedPageBreak/>
        <w:drawing>
          <wp:inline distT="0" distB="0" distL="0" distR="0" wp14:anchorId="363CFA55" wp14:editId="5C5C6259">
            <wp:extent cx="5842781" cy="3390900"/>
            <wp:effectExtent l="0" t="0" r="5715" b="0"/>
            <wp:docPr id="83002203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22036" name=""/>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5856127" cy="3398646"/>
                    </a:xfrm>
                    <a:prstGeom prst="rect">
                      <a:avLst/>
                    </a:prstGeom>
                    <a:ln>
                      <a:noFill/>
                    </a:ln>
                    <a:extLst>
                      <a:ext uri="{53640926-AAD7-44D8-BBD7-CCE9431645EC}">
                        <a14:shadowObscured xmlns:a14="http://schemas.microsoft.com/office/drawing/2010/main"/>
                      </a:ext>
                    </a:extLst>
                  </pic:spPr>
                </pic:pic>
              </a:graphicData>
            </a:graphic>
          </wp:inline>
        </w:drawing>
      </w:r>
    </w:p>
    <w:p w14:paraId="3DBC73AF" w14:textId="77777777" w:rsidR="00B0197A" w:rsidRPr="00B0197A" w:rsidRDefault="00B0197A" w:rsidP="00B0197A">
      <w:pPr>
        <w:shd w:val="clear" w:color="auto" w:fill="FFFFFF"/>
        <w:spacing w:line="360" w:lineRule="auto"/>
        <w:jc w:val="center"/>
        <w:rPr>
          <w:rFonts w:eastAsia="Times New Roman"/>
          <w:sz w:val="24"/>
          <w:szCs w:val="24"/>
        </w:rPr>
      </w:pPr>
      <w:r w:rsidRPr="00B0197A">
        <w:rPr>
          <w:noProof/>
        </w:rPr>
        <w:drawing>
          <wp:inline distT="0" distB="0" distL="0" distR="0" wp14:anchorId="5F35D782" wp14:editId="2F9974A3">
            <wp:extent cx="5750615" cy="2495550"/>
            <wp:effectExtent l="0" t="0" r="2540" b="0"/>
            <wp:docPr id="73036927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69276" name=""/>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756712" cy="2498196"/>
                    </a:xfrm>
                    <a:prstGeom prst="rect">
                      <a:avLst/>
                    </a:prstGeom>
                    <a:ln>
                      <a:noFill/>
                    </a:ln>
                    <a:extLst>
                      <a:ext uri="{53640926-AAD7-44D8-BBD7-CCE9431645EC}">
                        <a14:shadowObscured xmlns:a14="http://schemas.microsoft.com/office/drawing/2010/main"/>
                      </a:ext>
                    </a:extLst>
                  </pic:spPr>
                </pic:pic>
              </a:graphicData>
            </a:graphic>
          </wp:inline>
        </w:drawing>
      </w:r>
    </w:p>
    <w:p w14:paraId="01AEE5E2" w14:textId="77777777" w:rsidR="00B0197A" w:rsidRPr="00B0197A" w:rsidRDefault="00B0197A" w:rsidP="00B0197A">
      <w:pPr>
        <w:jc w:val="both"/>
        <w:rPr>
          <w:sz w:val="24"/>
          <w:szCs w:val="24"/>
        </w:rPr>
      </w:pPr>
      <w:r w:rsidRPr="00B0197A">
        <w:t>Fonte: Autoria própria (2023).</w:t>
      </w:r>
    </w:p>
    <w:sectPr w:rsidR="00B0197A" w:rsidRPr="00B0197A" w:rsidSect="00300D2F">
      <w:type w:val="continuous"/>
      <w:pgSz w:w="11906" w:h="16840"/>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5739DE" w14:textId="77777777" w:rsidR="00745E6F" w:rsidRDefault="00745E6F" w:rsidP="004071DD">
      <w:r>
        <w:separator/>
      </w:r>
    </w:p>
  </w:endnote>
  <w:endnote w:type="continuationSeparator" w:id="0">
    <w:p w14:paraId="57492184" w14:textId="77777777" w:rsidR="00745E6F" w:rsidRDefault="00745E6F" w:rsidP="00407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D52DE" w14:textId="4B9717AC" w:rsidR="00CB1ECB" w:rsidRDefault="009140D1" w:rsidP="00CB1ECB">
    <w:pPr>
      <w:pStyle w:val="Rodap"/>
      <w:ind w:hanging="1418"/>
    </w:pPr>
    <w:r>
      <w:rPr>
        <w:noProof/>
      </w:rPr>
      <w:drawing>
        <wp:anchor distT="0" distB="0" distL="114300" distR="114300" simplePos="0" relativeHeight="251663360" behindDoc="1" locked="0" layoutInCell="1" allowOverlap="1" wp14:anchorId="7E73F09B" wp14:editId="35E8084E">
          <wp:simplePos x="0" y="0"/>
          <wp:positionH relativeFrom="page">
            <wp:align>right</wp:align>
          </wp:positionH>
          <wp:positionV relativeFrom="paragraph">
            <wp:posOffset>-218919</wp:posOffset>
          </wp:positionV>
          <wp:extent cx="7564565" cy="813914"/>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dape.png"/>
                  <pic:cNvPicPr/>
                </pic:nvPicPr>
                <pic:blipFill>
                  <a:blip r:embed="rId1">
                    <a:extLst>
                      <a:ext uri="{28A0092B-C50C-407E-A947-70E740481C1C}">
                        <a14:useLocalDpi xmlns:a14="http://schemas.microsoft.com/office/drawing/2010/main" val="0"/>
                      </a:ext>
                    </a:extLst>
                  </a:blip>
                  <a:stretch>
                    <a:fillRect/>
                  </a:stretch>
                </pic:blipFill>
                <pic:spPr>
                  <a:xfrm>
                    <a:off x="0" y="0"/>
                    <a:ext cx="7564565" cy="81391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C017CE" w14:textId="77777777" w:rsidR="00745E6F" w:rsidRDefault="00745E6F" w:rsidP="004071DD">
      <w:r>
        <w:separator/>
      </w:r>
    </w:p>
  </w:footnote>
  <w:footnote w:type="continuationSeparator" w:id="0">
    <w:p w14:paraId="7009C05C" w14:textId="77777777" w:rsidR="00745E6F" w:rsidRDefault="00745E6F" w:rsidP="004071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5C556" w14:textId="44E452FC" w:rsidR="00CB1ECB" w:rsidRDefault="00A72088">
    <w:pPr>
      <w:pStyle w:val="Cabealho"/>
    </w:pPr>
    <w:r>
      <w:rPr>
        <w:noProof/>
      </w:rPr>
      <w:drawing>
        <wp:anchor distT="0" distB="0" distL="114300" distR="114300" simplePos="0" relativeHeight="251662336" behindDoc="1" locked="0" layoutInCell="1" allowOverlap="1" wp14:anchorId="06505B2D" wp14:editId="1A79E7A9">
          <wp:simplePos x="0" y="0"/>
          <wp:positionH relativeFrom="page">
            <wp:align>right</wp:align>
          </wp:positionH>
          <wp:positionV relativeFrom="paragraph">
            <wp:posOffset>-447040</wp:posOffset>
          </wp:positionV>
          <wp:extent cx="7553004" cy="1745673"/>
          <wp:effectExtent l="0" t="0" r="0" b="6985"/>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beçalho.png"/>
                  <pic:cNvPicPr/>
                </pic:nvPicPr>
                <pic:blipFill>
                  <a:blip r:embed="rId1">
                    <a:extLst>
                      <a:ext uri="{28A0092B-C50C-407E-A947-70E740481C1C}">
                        <a14:useLocalDpi xmlns:a14="http://schemas.microsoft.com/office/drawing/2010/main" val="0"/>
                      </a:ext>
                    </a:extLst>
                  </a:blip>
                  <a:stretch>
                    <a:fillRect/>
                  </a:stretch>
                </pic:blipFill>
                <pic:spPr>
                  <a:xfrm>
                    <a:off x="0" y="0"/>
                    <a:ext cx="7553004" cy="174567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63E54"/>
    <w:multiLevelType w:val="hybridMultilevel"/>
    <w:tmpl w:val="01D6B5EC"/>
    <w:lvl w:ilvl="0" w:tplc="F8C2C736">
      <w:start w:val="2"/>
      <w:numFmt w:val="decimal"/>
      <w:lvlText w:val="%1"/>
      <w:lvlJc w:val="left"/>
      <w:pPr>
        <w:ind w:left="720" w:hanging="360"/>
      </w:pPr>
      <w:rPr>
        <w:rFonts w:eastAsia="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E240BF"/>
    <w:multiLevelType w:val="hybridMultilevel"/>
    <w:tmpl w:val="A05A2E16"/>
    <w:lvl w:ilvl="0" w:tplc="A022AFD8">
      <w:start w:val="4"/>
      <w:numFmt w:val="decimal"/>
      <w:lvlText w:val="%1"/>
      <w:lvlJc w:val="left"/>
      <w:pPr>
        <w:ind w:left="720" w:hanging="360"/>
      </w:pPr>
      <w:rPr>
        <w:rFonts w:eastAsia="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974673A"/>
    <w:multiLevelType w:val="hybridMultilevel"/>
    <w:tmpl w:val="7B144A60"/>
    <w:lvl w:ilvl="0" w:tplc="6AD01824">
      <w:start w:val="1"/>
      <w:numFmt w:val="decimal"/>
      <w:lvlText w:val="%1."/>
      <w:lvlJc w:val="left"/>
      <w:pPr>
        <w:ind w:left="720" w:hanging="360"/>
      </w:pPr>
      <w:rPr>
        <w:rFonts w:eastAsia="Times New Roman"/>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15:restartNumberingAfterBreak="0">
    <w:nsid w:val="429809D5"/>
    <w:multiLevelType w:val="hybridMultilevel"/>
    <w:tmpl w:val="FC166540"/>
    <w:lvl w:ilvl="0" w:tplc="369E98DE">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4" w15:restartNumberingAfterBreak="0">
    <w:nsid w:val="643C9869"/>
    <w:multiLevelType w:val="hybridMultilevel"/>
    <w:tmpl w:val="09AE99D8"/>
    <w:lvl w:ilvl="0" w:tplc="5CEAE41A">
      <w:start w:val="1"/>
      <w:numFmt w:val="bullet"/>
      <w:lvlText w:val="¹"/>
      <w:lvlJc w:val="left"/>
      <w:pPr>
        <w:ind w:left="0" w:firstLine="0"/>
      </w:pPr>
    </w:lvl>
    <w:lvl w:ilvl="1" w:tplc="6DB4F350">
      <w:numFmt w:val="decimal"/>
      <w:lvlText w:val=""/>
      <w:lvlJc w:val="left"/>
      <w:pPr>
        <w:ind w:left="0" w:firstLine="0"/>
      </w:pPr>
    </w:lvl>
    <w:lvl w:ilvl="2" w:tplc="E5C660A6">
      <w:numFmt w:val="decimal"/>
      <w:lvlText w:val=""/>
      <w:lvlJc w:val="left"/>
      <w:pPr>
        <w:ind w:left="0" w:firstLine="0"/>
      </w:pPr>
    </w:lvl>
    <w:lvl w:ilvl="3" w:tplc="26F6F536">
      <w:numFmt w:val="decimal"/>
      <w:lvlText w:val=""/>
      <w:lvlJc w:val="left"/>
      <w:pPr>
        <w:ind w:left="0" w:firstLine="0"/>
      </w:pPr>
    </w:lvl>
    <w:lvl w:ilvl="4" w:tplc="A3B49EF2">
      <w:numFmt w:val="decimal"/>
      <w:lvlText w:val=""/>
      <w:lvlJc w:val="left"/>
      <w:pPr>
        <w:ind w:left="0" w:firstLine="0"/>
      </w:pPr>
    </w:lvl>
    <w:lvl w:ilvl="5" w:tplc="16F4F19A">
      <w:numFmt w:val="decimal"/>
      <w:lvlText w:val=""/>
      <w:lvlJc w:val="left"/>
      <w:pPr>
        <w:ind w:left="0" w:firstLine="0"/>
      </w:pPr>
    </w:lvl>
    <w:lvl w:ilvl="6" w:tplc="39363B72">
      <w:numFmt w:val="decimal"/>
      <w:lvlText w:val=""/>
      <w:lvlJc w:val="left"/>
      <w:pPr>
        <w:ind w:left="0" w:firstLine="0"/>
      </w:pPr>
    </w:lvl>
    <w:lvl w:ilvl="7" w:tplc="FA46E39E">
      <w:numFmt w:val="decimal"/>
      <w:lvlText w:val=""/>
      <w:lvlJc w:val="left"/>
      <w:pPr>
        <w:ind w:left="0" w:firstLine="0"/>
      </w:pPr>
    </w:lvl>
    <w:lvl w:ilvl="8" w:tplc="E28CC8DA">
      <w:numFmt w:val="decimal"/>
      <w:lvlText w:val=""/>
      <w:lvlJc w:val="left"/>
      <w:pPr>
        <w:ind w:left="0" w:firstLine="0"/>
      </w:pPr>
    </w:lvl>
  </w:abstractNum>
  <w:abstractNum w:abstractNumId="5" w15:restartNumberingAfterBreak="0">
    <w:nsid w:val="66334873"/>
    <w:multiLevelType w:val="hybridMultilevel"/>
    <w:tmpl w:val="D9BEECD4"/>
    <w:lvl w:ilvl="0" w:tplc="251AC41E">
      <w:start w:val="1"/>
      <w:numFmt w:val="bullet"/>
      <w:lvlText w:val="5"/>
      <w:lvlJc w:val="left"/>
      <w:pPr>
        <w:ind w:left="0" w:firstLine="0"/>
      </w:pPr>
    </w:lvl>
    <w:lvl w:ilvl="1" w:tplc="4CCECCC8">
      <w:numFmt w:val="decimal"/>
      <w:lvlText w:val=""/>
      <w:lvlJc w:val="left"/>
      <w:pPr>
        <w:ind w:left="0" w:firstLine="0"/>
      </w:pPr>
    </w:lvl>
    <w:lvl w:ilvl="2" w:tplc="991A0902">
      <w:numFmt w:val="decimal"/>
      <w:lvlText w:val=""/>
      <w:lvlJc w:val="left"/>
      <w:pPr>
        <w:ind w:left="0" w:firstLine="0"/>
      </w:pPr>
    </w:lvl>
    <w:lvl w:ilvl="3" w:tplc="FED01570">
      <w:numFmt w:val="decimal"/>
      <w:lvlText w:val=""/>
      <w:lvlJc w:val="left"/>
      <w:pPr>
        <w:ind w:left="0" w:firstLine="0"/>
      </w:pPr>
    </w:lvl>
    <w:lvl w:ilvl="4" w:tplc="D682EF96">
      <w:numFmt w:val="decimal"/>
      <w:lvlText w:val=""/>
      <w:lvlJc w:val="left"/>
      <w:pPr>
        <w:ind w:left="0" w:firstLine="0"/>
      </w:pPr>
    </w:lvl>
    <w:lvl w:ilvl="5" w:tplc="FED26B58">
      <w:numFmt w:val="decimal"/>
      <w:lvlText w:val=""/>
      <w:lvlJc w:val="left"/>
      <w:pPr>
        <w:ind w:left="0" w:firstLine="0"/>
      </w:pPr>
    </w:lvl>
    <w:lvl w:ilvl="6" w:tplc="A9CC9432">
      <w:numFmt w:val="decimal"/>
      <w:lvlText w:val=""/>
      <w:lvlJc w:val="left"/>
      <w:pPr>
        <w:ind w:left="0" w:firstLine="0"/>
      </w:pPr>
    </w:lvl>
    <w:lvl w:ilvl="7" w:tplc="EE4A10AA">
      <w:numFmt w:val="decimal"/>
      <w:lvlText w:val=""/>
      <w:lvlJc w:val="left"/>
      <w:pPr>
        <w:ind w:left="0" w:firstLine="0"/>
      </w:pPr>
    </w:lvl>
    <w:lvl w:ilvl="8" w:tplc="A68835C8">
      <w:numFmt w:val="decimal"/>
      <w:lvlText w:val=""/>
      <w:lvlJc w:val="left"/>
      <w:pPr>
        <w:ind w:left="0" w:firstLine="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2"/>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1DD"/>
    <w:rsid w:val="00146632"/>
    <w:rsid w:val="0014789D"/>
    <w:rsid w:val="00300D2F"/>
    <w:rsid w:val="00321602"/>
    <w:rsid w:val="003933B9"/>
    <w:rsid w:val="004071DD"/>
    <w:rsid w:val="004220E9"/>
    <w:rsid w:val="004961DC"/>
    <w:rsid w:val="005C4F4F"/>
    <w:rsid w:val="005F6309"/>
    <w:rsid w:val="00715E15"/>
    <w:rsid w:val="007242CD"/>
    <w:rsid w:val="00745E6F"/>
    <w:rsid w:val="00770C83"/>
    <w:rsid w:val="00783E9A"/>
    <w:rsid w:val="00846ACF"/>
    <w:rsid w:val="008865CE"/>
    <w:rsid w:val="00904391"/>
    <w:rsid w:val="009140D1"/>
    <w:rsid w:val="009944CE"/>
    <w:rsid w:val="00996E0B"/>
    <w:rsid w:val="009E547C"/>
    <w:rsid w:val="00A04C65"/>
    <w:rsid w:val="00A1520F"/>
    <w:rsid w:val="00A72088"/>
    <w:rsid w:val="00B0197A"/>
    <w:rsid w:val="00B6406D"/>
    <w:rsid w:val="00B761A1"/>
    <w:rsid w:val="00C1086D"/>
    <w:rsid w:val="00C43042"/>
    <w:rsid w:val="00CB1ECB"/>
    <w:rsid w:val="00DB1935"/>
    <w:rsid w:val="00E1448D"/>
    <w:rsid w:val="00E943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4064A"/>
  <w15:chartTrackingRefBased/>
  <w15:docId w15:val="{272CBF5C-25C8-49B2-BE57-2AE72C362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1DD"/>
    <w:pPr>
      <w:spacing w:after="0" w:line="240" w:lineRule="auto"/>
    </w:pPr>
    <w:rPr>
      <w:rFonts w:ascii="Times New Roman" w:eastAsiaTheme="minorEastAsia"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071DD"/>
    <w:pPr>
      <w:ind w:left="720"/>
      <w:contextualSpacing/>
    </w:pPr>
  </w:style>
  <w:style w:type="paragraph" w:styleId="Cabealho">
    <w:name w:val="header"/>
    <w:basedOn w:val="Normal"/>
    <w:link w:val="CabealhoChar"/>
    <w:uiPriority w:val="99"/>
    <w:unhideWhenUsed/>
    <w:rsid w:val="004071DD"/>
    <w:pPr>
      <w:tabs>
        <w:tab w:val="center" w:pos="4252"/>
        <w:tab w:val="right" w:pos="8504"/>
      </w:tabs>
    </w:pPr>
  </w:style>
  <w:style w:type="character" w:customStyle="1" w:styleId="CabealhoChar">
    <w:name w:val="Cabeçalho Char"/>
    <w:basedOn w:val="Fontepargpadro"/>
    <w:link w:val="Cabealho"/>
    <w:uiPriority w:val="99"/>
    <w:rsid w:val="004071DD"/>
    <w:rPr>
      <w:rFonts w:ascii="Times New Roman" w:eastAsiaTheme="minorEastAsia" w:hAnsi="Times New Roman" w:cs="Times New Roman"/>
    </w:rPr>
  </w:style>
  <w:style w:type="paragraph" w:styleId="Rodap">
    <w:name w:val="footer"/>
    <w:basedOn w:val="Normal"/>
    <w:link w:val="RodapChar"/>
    <w:uiPriority w:val="99"/>
    <w:unhideWhenUsed/>
    <w:rsid w:val="004071DD"/>
    <w:pPr>
      <w:tabs>
        <w:tab w:val="center" w:pos="4252"/>
        <w:tab w:val="right" w:pos="8504"/>
      </w:tabs>
    </w:pPr>
  </w:style>
  <w:style w:type="character" w:customStyle="1" w:styleId="RodapChar">
    <w:name w:val="Rodapé Char"/>
    <w:basedOn w:val="Fontepargpadro"/>
    <w:link w:val="Rodap"/>
    <w:uiPriority w:val="99"/>
    <w:rsid w:val="004071DD"/>
    <w:rPr>
      <w:rFonts w:ascii="Times New Roman" w:eastAsiaTheme="minorEastAsia" w:hAnsi="Times New Roman" w:cs="Times New Roman"/>
    </w:rPr>
  </w:style>
  <w:style w:type="table" w:styleId="TabeladeGrade2">
    <w:name w:val="Grid Table 2"/>
    <w:basedOn w:val="Tabelanormal"/>
    <w:uiPriority w:val="47"/>
    <w:rsid w:val="00B0197A"/>
    <w:pPr>
      <w:spacing w:after="0" w:line="240" w:lineRule="auto"/>
    </w:pPr>
    <w:rPr>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Fontepargpadro"/>
    <w:uiPriority w:val="99"/>
    <w:unhideWhenUsed/>
    <w:rsid w:val="00300D2F"/>
    <w:rPr>
      <w:color w:val="0563C1" w:themeColor="hyperlink"/>
      <w:u w:val="single"/>
    </w:rPr>
  </w:style>
  <w:style w:type="character" w:styleId="MenoPendente">
    <w:name w:val="Unresolved Mention"/>
    <w:basedOn w:val="Fontepargpadro"/>
    <w:uiPriority w:val="99"/>
    <w:semiHidden/>
    <w:unhideWhenUsed/>
    <w:rsid w:val="00300D2F"/>
    <w:rPr>
      <w:color w:val="605E5C"/>
      <w:shd w:val="clear" w:color="auto" w:fill="E1DFDD"/>
    </w:rPr>
  </w:style>
  <w:style w:type="table" w:styleId="Tabelacomgrade">
    <w:name w:val="Table Grid"/>
    <w:basedOn w:val="Tabelanormal"/>
    <w:uiPriority w:val="39"/>
    <w:rsid w:val="00B640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3905593">
      <w:bodyDiv w:val="1"/>
      <w:marLeft w:val="0"/>
      <w:marRight w:val="0"/>
      <w:marTop w:val="0"/>
      <w:marBottom w:val="0"/>
      <w:divBdr>
        <w:top w:val="none" w:sz="0" w:space="0" w:color="auto"/>
        <w:left w:val="none" w:sz="0" w:space="0" w:color="auto"/>
        <w:bottom w:val="none" w:sz="0" w:space="0" w:color="auto"/>
        <w:right w:val="none" w:sz="0" w:space="0" w:color="auto"/>
      </w:divBdr>
    </w:div>
    <w:div w:id="2088265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pt-BR">
                <a:solidFill>
                  <a:schemeClr val="tx1"/>
                </a:solidFill>
              </a:rPr>
              <a:t>Comparação das Etapas Construtivas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pt-BR"/>
        </a:p>
      </c:txPr>
    </c:title>
    <c:autoTitleDeleted val="0"/>
    <c:plotArea>
      <c:layout/>
      <c:barChart>
        <c:barDir val="col"/>
        <c:grouping val="clustered"/>
        <c:varyColors val="0"/>
        <c:ser>
          <c:idx val="0"/>
          <c:order val="0"/>
          <c:tx>
            <c:strRef>
              <c:f>Planilha1!$B$1</c:f>
              <c:strCache>
                <c:ptCount val="1"/>
                <c:pt idx="0">
                  <c:v>ALVENARIA CONVENCIONAL</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Planilha1!$A$2:$A$8</c:f>
              <c:strCache>
                <c:ptCount val="7"/>
                <c:pt idx="0">
                  <c:v>SERVIÇOS PRELIMINARES</c:v>
                </c:pt>
                <c:pt idx="1">
                  <c:v>RADIER/FUNDAÇÃO</c:v>
                </c:pt>
                <c:pt idx="2">
                  <c:v>PAREDES E PAINÉIS</c:v>
                </c:pt>
                <c:pt idx="3">
                  <c:v>REVESTIMENTO</c:v>
                </c:pt>
                <c:pt idx="4">
                  <c:v>COBERTURA</c:v>
                </c:pt>
                <c:pt idx="5">
                  <c:v>ESQUADRIAS</c:v>
                </c:pt>
                <c:pt idx="6">
                  <c:v>PINTURAS</c:v>
                </c:pt>
              </c:strCache>
            </c:strRef>
          </c:cat>
          <c:val>
            <c:numRef>
              <c:f>Planilha1!$B$2:$B$8</c:f>
              <c:numCache>
                <c:formatCode>#,##0.00</c:formatCode>
                <c:ptCount val="7"/>
                <c:pt idx="0">
                  <c:v>3399.97</c:v>
                </c:pt>
                <c:pt idx="1">
                  <c:v>7969</c:v>
                </c:pt>
                <c:pt idx="2">
                  <c:v>15385.42</c:v>
                </c:pt>
                <c:pt idx="3">
                  <c:v>2054.44</c:v>
                </c:pt>
                <c:pt idx="4">
                  <c:v>3952.58</c:v>
                </c:pt>
                <c:pt idx="5">
                  <c:v>2031.07</c:v>
                </c:pt>
                <c:pt idx="6">
                  <c:v>4766.16</c:v>
                </c:pt>
              </c:numCache>
            </c:numRef>
          </c:val>
          <c:extLst>
            <c:ext xmlns:c16="http://schemas.microsoft.com/office/drawing/2014/chart" uri="{C3380CC4-5D6E-409C-BE32-E72D297353CC}">
              <c16:uniqueId val="{00000000-C42A-4CFD-9122-D112E3B1631B}"/>
            </c:ext>
          </c:extLst>
        </c:ser>
        <c:ser>
          <c:idx val="1"/>
          <c:order val="1"/>
          <c:tx>
            <c:strRef>
              <c:f>Planilha1!$C$1</c:f>
              <c:strCache>
                <c:ptCount val="1"/>
                <c:pt idx="0">
                  <c:v>ALVENARIA ESTRUTURAL</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solidFill>
                <a:schemeClr val="accent1"/>
              </a:solidFill>
            </a:ln>
            <a:effectLst>
              <a:outerShdw blurRad="57150" dist="19050" dir="5400000" algn="ctr" rotWithShape="0">
                <a:srgbClr val="000000">
                  <a:alpha val="63000"/>
                </a:srgbClr>
              </a:outerShdw>
            </a:effectLst>
          </c:spPr>
          <c:invertIfNegative val="0"/>
          <c:cat>
            <c:strRef>
              <c:f>Planilha1!$A$2:$A$8</c:f>
              <c:strCache>
                <c:ptCount val="7"/>
                <c:pt idx="0">
                  <c:v>SERVIÇOS PRELIMINARES</c:v>
                </c:pt>
                <c:pt idx="1">
                  <c:v>RADIER/FUNDAÇÃO</c:v>
                </c:pt>
                <c:pt idx="2">
                  <c:v>PAREDES E PAINÉIS</c:v>
                </c:pt>
                <c:pt idx="3">
                  <c:v>REVESTIMENTO</c:v>
                </c:pt>
                <c:pt idx="4">
                  <c:v>COBERTURA</c:v>
                </c:pt>
                <c:pt idx="5">
                  <c:v>ESQUADRIAS</c:v>
                </c:pt>
                <c:pt idx="6">
                  <c:v>PINTURAS</c:v>
                </c:pt>
              </c:strCache>
            </c:strRef>
          </c:cat>
          <c:val>
            <c:numRef>
              <c:f>Planilha1!$C$2:$C$8</c:f>
              <c:numCache>
                <c:formatCode>#,##0.00</c:formatCode>
                <c:ptCount val="7"/>
                <c:pt idx="0">
                  <c:v>3399.07</c:v>
                </c:pt>
                <c:pt idx="1">
                  <c:v>7969</c:v>
                </c:pt>
                <c:pt idx="2">
                  <c:v>8282.2199999999993</c:v>
                </c:pt>
                <c:pt idx="3">
                  <c:v>1805.47</c:v>
                </c:pt>
                <c:pt idx="4">
                  <c:v>3952.58</c:v>
                </c:pt>
                <c:pt idx="5">
                  <c:v>2031.07</c:v>
                </c:pt>
                <c:pt idx="6">
                  <c:v>4766.16</c:v>
                </c:pt>
              </c:numCache>
            </c:numRef>
          </c:val>
          <c:extLst>
            <c:ext xmlns:c16="http://schemas.microsoft.com/office/drawing/2014/chart" uri="{C3380CC4-5D6E-409C-BE32-E72D297353CC}">
              <c16:uniqueId val="{00000001-C42A-4CFD-9122-D112E3B1631B}"/>
            </c:ext>
          </c:extLst>
        </c:ser>
        <c:dLbls>
          <c:showLegendKey val="0"/>
          <c:showVal val="0"/>
          <c:showCatName val="0"/>
          <c:showSerName val="0"/>
          <c:showPercent val="0"/>
          <c:showBubbleSize val="0"/>
        </c:dLbls>
        <c:gapWidth val="53"/>
        <c:overlap val="-30"/>
        <c:axId val="457997488"/>
        <c:axId val="457994608"/>
      </c:barChart>
      <c:catAx>
        <c:axId val="4579974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12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57994608"/>
        <c:crosses val="autoZero"/>
        <c:auto val="1"/>
        <c:lblAlgn val="ctr"/>
        <c:lblOffset val="100"/>
        <c:noMultiLvlLbl val="0"/>
      </c:catAx>
      <c:valAx>
        <c:axId val="4579946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579974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71857489776395"/>
          <c:y val="0.25204700974878141"/>
          <c:w val="0.78580434455038917"/>
          <c:h val="0.73247703412073495"/>
        </c:manualLayout>
      </c:layout>
      <c:barChart>
        <c:barDir val="bar"/>
        <c:grouping val="clustered"/>
        <c:varyColors val="0"/>
        <c:ser>
          <c:idx val="0"/>
          <c:order val="0"/>
          <c:tx>
            <c:strRef>
              <c:f>Planilha1!$B$1</c:f>
              <c:strCache>
                <c:ptCount val="1"/>
                <c:pt idx="0">
                  <c:v>ALVENARIA CONVENCIONAL</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Planilha1!$A$2:$A$3</c:f>
              <c:strCache>
                <c:ptCount val="2"/>
                <c:pt idx="0">
                  <c:v>REVESTIMENTO</c:v>
                </c:pt>
                <c:pt idx="1">
                  <c:v>PAREDES E PAINÉIS</c:v>
                </c:pt>
              </c:strCache>
            </c:strRef>
          </c:cat>
          <c:val>
            <c:numRef>
              <c:f>Planilha1!$B$2:$B$3</c:f>
              <c:numCache>
                <c:formatCode>_("R$"* #,##0.00_);_("R$"* \(#,##0.00\);_("R$"* "-"??_);_(@_)</c:formatCode>
                <c:ptCount val="2"/>
                <c:pt idx="0">
                  <c:v>2054.44</c:v>
                </c:pt>
                <c:pt idx="1">
                  <c:v>15385.42</c:v>
                </c:pt>
              </c:numCache>
            </c:numRef>
          </c:val>
          <c:extLst>
            <c:ext xmlns:c16="http://schemas.microsoft.com/office/drawing/2014/chart" uri="{C3380CC4-5D6E-409C-BE32-E72D297353CC}">
              <c16:uniqueId val="{00000000-71E5-4C07-ADDD-60F7334C147F}"/>
            </c:ext>
          </c:extLst>
        </c:ser>
        <c:ser>
          <c:idx val="1"/>
          <c:order val="1"/>
          <c:tx>
            <c:strRef>
              <c:f>Planilha1!$C$1</c:f>
              <c:strCache>
                <c:ptCount val="1"/>
                <c:pt idx="0">
                  <c:v>ALVENARIA ESTRUTURAL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Planilha1!$A$2:$A$3</c:f>
              <c:strCache>
                <c:ptCount val="2"/>
                <c:pt idx="0">
                  <c:v>REVESTIMENTO</c:v>
                </c:pt>
                <c:pt idx="1">
                  <c:v>PAREDES E PAINÉIS</c:v>
                </c:pt>
              </c:strCache>
            </c:strRef>
          </c:cat>
          <c:val>
            <c:numRef>
              <c:f>Planilha1!$C$2:$C$3</c:f>
              <c:numCache>
                <c:formatCode>_("R$"* #,##0.00_);_("R$"* \(#,##0.00\);_("R$"* "-"??_);_(@_)</c:formatCode>
                <c:ptCount val="2"/>
                <c:pt idx="0">
                  <c:v>1805.47</c:v>
                </c:pt>
                <c:pt idx="1">
                  <c:v>8282.2199999999993</c:v>
                </c:pt>
              </c:numCache>
            </c:numRef>
          </c:val>
          <c:extLst>
            <c:ext xmlns:c16="http://schemas.microsoft.com/office/drawing/2014/chart" uri="{C3380CC4-5D6E-409C-BE32-E72D297353CC}">
              <c16:uniqueId val="{00000001-71E5-4C07-ADDD-60F7334C147F}"/>
            </c:ext>
          </c:extLst>
        </c:ser>
        <c:dLbls>
          <c:showLegendKey val="0"/>
          <c:showVal val="1"/>
          <c:showCatName val="0"/>
          <c:showSerName val="0"/>
          <c:showPercent val="0"/>
          <c:showBubbleSize val="0"/>
        </c:dLbls>
        <c:gapWidth val="150"/>
        <c:overlap val="-25"/>
        <c:axId val="520224240"/>
        <c:axId val="520221000"/>
      </c:barChart>
      <c:catAx>
        <c:axId val="520224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20221000"/>
        <c:crosses val="autoZero"/>
        <c:auto val="1"/>
        <c:lblAlgn val="ctr"/>
        <c:lblOffset val="100"/>
        <c:noMultiLvlLbl val="0"/>
      </c:catAx>
      <c:valAx>
        <c:axId val="520221000"/>
        <c:scaling>
          <c:orientation val="minMax"/>
        </c:scaling>
        <c:delete val="1"/>
        <c:axPos val="b"/>
        <c:numFmt formatCode="_(&quot;R$&quot;* #,##0.00_);_(&quot;R$&quot;* \(#,##0.00\);_(&quot;R$&quot;* &quot;-&quot;??_);_(@_)" sourceLinked="1"/>
        <c:majorTickMark val="none"/>
        <c:minorTickMark val="none"/>
        <c:tickLblPos val="nextTo"/>
        <c:crossAx val="5202242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EC9AE-B86F-464F-A94F-A08A1FA81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2452</Words>
  <Characters>13243</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Ágatha Aila;Bruno Brasil</dc:creator>
  <cp:keywords/>
  <dc:description/>
  <cp:lastModifiedBy>MARCILIO</cp:lastModifiedBy>
  <cp:revision>5</cp:revision>
  <cp:lastPrinted>2021-07-28T20:43:00Z</cp:lastPrinted>
  <dcterms:created xsi:type="dcterms:W3CDTF">2023-09-11T16:08:00Z</dcterms:created>
  <dcterms:modified xsi:type="dcterms:W3CDTF">2023-09-11T16:21:00Z</dcterms:modified>
</cp:coreProperties>
</file>