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9" w:rsidRDefault="00344814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THE NEW GENUS </w:t>
      </w:r>
      <w:proofErr w:type="spellStart"/>
      <w:r>
        <w:rPr>
          <w:rFonts w:ascii="Times" w:hAnsi="Times"/>
          <w:b/>
          <w:i/>
          <w:sz w:val="24"/>
          <w:szCs w:val="24"/>
          <w:lang w:val="en-US"/>
        </w:rPr>
        <w:t>Pulvinora</w:t>
      </w:r>
      <w:proofErr w:type="spellEnd"/>
      <w:r>
        <w:rPr>
          <w:rFonts w:ascii="Times" w:hAnsi="Times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" w:hAnsi="Times"/>
          <w:b/>
          <w:i/>
          <w:sz w:val="24"/>
          <w:szCs w:val="24"/>
          <w:lang w:val="en-US"/>
        </w:rPr>
        <w:t>Lecanoraceae</w:t>
      </w:r>
      <w:proofErr w:type="spellEnd"/>
      <w:r>
        <w:rPr>
          <w:rFonts w:ascii="Times" w:hAnsi="Times"/>
          <w:b/>
          <w:sz w:val="24"/>
          <w:szCs w:val="24"/>
          <w:lang w:val="en-US"/>
        </w:rPr>
        <w:t>) WITH RELICT DISJUNCTIVE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>ALTAIAN</w:t>
      </w:r>
      <w:r>
        <w:rPr>
          <w:rFonts w:ascii="Times" w:hAnsi="Times"/>
          <w:color w:val="000000"/>
          <w:sz w:val="24"/>
          <w:szCs w:val="24"/>
          <w:lang w:val="en-US"/>
        </w:rPr>
        <w:t>–</w:t>
      </w:r>
      <w:r>
        <w:rPr>
          <w:rFonts w:ascii="Times" w:hAnsi="Times"/>
          <w:b/>
          <w:sz w:val="24"/>
          <w:szCs w:val="24"/>
          <w:lang w:val="en-US"/>
        </w:rPr>
        <w:t>WESTERN NORTH AMERICAN DISTRIBUTION</w:t>
      </w:r>
    </w:p>
    <w:p w:rsidR="00DA0E29" w:rsidRDefault="0034481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" w:hAnsi="Times"/>
          <w:sz w:val="24"/>
          <w:szCs w:val="24"/>
          <w:lang w:val="en-US"/>
        </w:rPr>
        <w:t>Evgeny</w:t>
      </w:r>
      <w:proofErr w:type="spellEnd"/>
      <w:r>
        <w:rPr>
          <w:rFonts w:ascii="Times" w:hAnsi="Times"/>
          <w:sz w:val="24"/>
          <w:szCs w:val="24"/>
          <w:lang w:val="en-US"/>
        </w:rPr>
        <w:t xml:space="preserve"> A. Davydov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  <w:r>
        <w:rPr>
          <w:rFonts w:ascii="Times New Roman" w:hAnsi="Times New Roman" w:cs="Times New Roman"/>
          <w:sz w:val="24"/>
          <w:szCs w:val="24"/>
          <w:lang w:val="en-US"/>
        </w:rPr>
        <w:t>; Lidia S. Yakovchenko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; Jason Hollinger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; Frank Bungartz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; Christian Parrinello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</w:p>
    <w:p w:rsidR="00DA0E29" w:rsidRDefault="00344814">
      <w:pPr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Altai State University; </w:t>
      </w:r>
      <w:r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Federal Scientific Center of the East Asia Terrestrial</w:t>
      </w:r>
      <w:r>
        <w:rPr>
          <w:rFonts w:ascii="Times New Roman" w:hAnsi="Times New Roman"/>
          <w:sz w:val="24"/>
          <w:szCs w:val="24"/>
          <w:lang w:val="en-US"/>
        </w:rPr>
        <w:t xml:space="preserve"> Biodiversity FEB RAS; </w:t>
      </w:r>
      <w:r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Western Carolina University; </w:t>
      </w:r>
      <w:r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Arizona State University; </w:t>
      </w:r>
      <w:r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* </w:t>
      </w:r>
      <w:r>
        <w:rPr>
          <w:rFonts w:ascii="Times" w:hAnsi="Times"/>
          <w:color w:val="000000"/>
          <w:sz w:val="24"/>
          <w:szCs w:val="24"/>
        </w:rPr>
        <w:t xml:space="preserve">E-mail: </w:t>
      </w:r>
      <w:r>
        <w:rPr>
          <w:rFonts w:ascii="Times" w:hAnsi="Times"/>
          <w:color w:val="000000" w:themeColor="text1"/>
          <w:sz w:val="24"/>
          <w:szCs w:val="24"/>
        </w:rPr>
        <w:t>eadavydov@yandex.ru</w:t>
      </w:r>
    </w:p>
    <w:p w:rsidR="00DA0E29" w:rsidRDefault="00DA0E29">
      <w:pPr>
        <w:spacing w:line="276" w:lineRule="auto"/>
        <w:rPr>
          <w:rStyle w:val="a3"/>
          <w:rFonts w:ascii="Times" w:hAnsi="Times"/>
          <w:sz w:val="24"/>
          <w:szCs w:val="24"/>
        </w:rPr>
      </w:pPr>
    </w:p>
    <w:p w:rsidR="00DA0E29" w:rsidRPr="00EB20FC" w:rsidRDefault="00344814">
      <w:pPr>
        <w:spacing w:line="276" w:lineRule="auto"/>
        <w:jc w:val="both"/>
        <w:rPr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During field studies in the Altai Mountains,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Davydov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Yakovchenko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collected material of a species with a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ombination of morphological and anatomical characters conspicuously different from</w:t>
      </w:r>
      <w:r w:rsidR="00721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 lichen genera</w:t>
      </w:r>
      <w:r w:rsidR="00721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currently known. Applying molecular</w:t>
      </w:r>
      <w:r w:rsidR="00721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methods, we confirmed that it belongs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Lecanoraceae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is related to the western North American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Lecanora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pringlei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phylogenetic relationships of species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pringlei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their position within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Lecanoraceae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analyzed based on 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ITS and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nuLSU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rDNA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, as well as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mtSSU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DNA sequence data, resulting in the description of the new genus </w:t>
      </w:r>
      <w:proofErr w:type="spellStart"/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>Pulvinora</w:t>
      </w:r>
      <w:proofErr w:type="spellEnd"/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>,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combining two species – 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>P.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pringlei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and a new species, 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 xml:space="preserve">P. </w:t>
      </w:r>
      <w:proofErr w:type="spellStart"/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>stereothallina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The genus is distinguished by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Lecanora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-type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mycolecanorine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apothecia soon becoming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convex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with an algal layer pushed below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hypothecium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pulvinate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thallus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squamules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the tip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pseudopodetia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-like, branched, pale brownish structures.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Lecanora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subcavicola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pringlei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subsp.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brandegeei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do not belong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Pulvinora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; consequently, we propose the new combination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Lecanora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brandegeei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to accommodate the latter taxon.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These results suggest that the distribution of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i/>
          <w:sz w:val="24"/>
          <w:szCs w:val="24"/>
          <w:lang w:val="en-US"/>
        </w:rPr>
        <w:t>Pulvinora</w:t>
      </w:r>
      <w:proofErr w:type="spellEnd"/>
      <w:r w:rsidR="00721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represents a large disjunction between two mountain systems </w:t>
      </w:r>
      <w:r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Altai and Western North America. Similar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disjunct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distributions have previously been documented also for vascular plants, hepatics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lichens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Our studies thus</w:t>
      </w:r>
      <w:r w:rsidR="00721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support the hypothesis that Central Asian and North American alpine biota were connected at least during the Tertiary and might then have occupied a contiguous range from North America extending to Asia across the North Pole via Greenland.</w:t>
      </w:r>
      <w:bookmarkEnd w:id="0"/>
    </w:p>
    <w:sectPr w:rsidR="00DA0E29" w:rsidRPr="00EB20FC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467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29"/>
    <w:rsid w:val="00344814"/>
    <w:rsid w:val="006D5737"/>
    <w:rsid w:val="007212C6"/>
    <w:rsid w:val="007E2B06"/>
    <w:rsid w:val="00DA0E29"/>
    <w:rsid w:val="00E91D42"/>
    <w:rsid w:val="00E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ascii="Cambria" w:eastAsiaTheme="minorHAnsi" w:hAnsi="Cambria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D2764"/>
    <w:rPr>
      <w:color w:val="605E5C"/>
      <w:shd w:val="clear" w:color="auto" w:fill="E1DFDD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82D23"/>
    <w:rPr>
      <w:vertAlign w:val="superscript"/>
    </w:rPr>
  </w:style>
  <w:style w:type="character" w:customStyle="1" w:styleId="FootnoteAnchor">
    <w:name w:val="Footnote Anchor"/>
    <w:rsid w:val="00482D23"/>
    <w:rPr>
      <w:vertAlign w:val="superscript"/>
    </w:rPr>
  </w:style>
  <w:style w:type="character" w:customStyle="1" w:styleId="a4">
    <w:name w:val="Текст сноски Знак"/>
    <w:basedOn w:val="a0"/>
    <w:semiHidden/>
    <w:qFormat/>
    <w:rsid w:val="00482D23"/>
    <w:rPr>
      <w:rFonts w:ascii="Calibri" w:eastAsia="font467" w:hAnsi="Calibri" w:cs="font467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qFormat/>
    <w:rsid w:val="00CE6417"/>
    <w:rPr>
      <w:rFonts w:ascii="Calibri" w:eastAsia="font467" w:hAnsi="Calibri" w:cs="font467"/>
      <w:sz w:val="22"/>
      <w:szCs w:val="22"/>
      <w:lang w:val="ru-RU"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E6417"/>
    <w:pPr>
      <w:spacing w:after="120" w:line="276" w:lineRule="auto"/>
    </w:pPr>
    <w:rPr>
      <w:rFonts w:ascii="Calibri" w:eastAsia="font467" w:hAnsi="Calibri" w:cs="font467"/>
      <w:lang w:val="ru-RU"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9">
    <w:name w:val="footnote text"/>
    <w:basedOn w:val="a"/>
    <w:semiHidden/>
    <w:unhideWhenUsed/>
    <w:rsid w:val="00482D23"/>
    <w:pPr>
      <w:spacing w:after="0" w:line="240" w:lineRule="auto"/>
    </w:pPr>
    <w:rPr>
      <w:rFonts w:ascii="Calibri" w:eastAsia="font467" w:hAnsi="Calibri" w:cs="font467"/>
      <w:sz w:val="20"/>
      <w:szCs w:val="20"/>
      <w:lang w:val="ru-RU" w:eastAsia="ru-RU"/>
    </w:rPr>
  </w:style>
  <w:style w:type="paragraph" w:styleId="aa">
    <w:name w:val="No Spacing"/>
    <w:uiPriority w:val="1"/>
    <w:qFormat/>
    <w:rsid w:val="00482D23"/>
    <w:rPr>
      <w:rFonts w:ascii="Calibri" w:eastAsia="Calibri" w:hAnsi="Calibri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D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737"/>
    <w:rPr>
      <w:rFonts w:ascii="Tahoma" w:eastAsiaTheme="minorHAnsi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ascii="Cambria" w:eastAsiaTheme="minorHAnsi" w:hAnsi="Cambria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D2764"/>
    <w:rPr>
      <w:color w:val="605E5C"/>
      <w:shd w:val="clear" w:color="auto" w:fill="E1DFDD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82D23"/>
    <w:rPr>
      <w:vertAlign w:val="superscript"/>
    </w:rPr>
  </w:style>
  <w:style w:type="character" w:customStyle="1" w:styleId="FootnoteAnchor">
    <w:name w:val="Footnote Anchor"/>
    <w:rsid w:val="00482D23"/>
    <w:rPr>
      <w:vertAlign w:val="superscript"/>
    </w:rPr>
  </w:style>
  <w:style w:type="character" w:customStyle="1" w:styleId="a4">
    <w:name w:val="Текст сноски Знак"/>
    <w:basedOn w:val="a0"/>
    <w:semiHidden/>
    <w:qFormat/>
    <w:rsid w:val="00482D23"/>
    <w:rPr>
      <w:rFonts w:ascii="Calibri" w:eastAsia="font467" w:hAnsi="Calibri" w:cs="font467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qFormat/>
    <w:rsid w:val="00CE6417"/>
    <w:rPr>
      <w:rFonts w:ascii="Calibri" w:eastAsia="font467" w:hAnsi="Calibri" w:cs="font467"/>
      <w:sz w:val="22"/>
      <w:szCs w:val="22"/>
      <w:lang w:val="ru-RU"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E6417"/>
    <w:pPr>
      <w:spacing w:after="120" w:line="276" w:lineRule="auto"/>
    </w:pPr>
    <w:rPr>
      <w:rFonts w:ascii="Calibri" w:eastAsia="font467" w:hAnsi="Calibri" w:cs="font467"/>
      <w:lang w:val="ru-RU"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9">
    <w:name w:val="footnote text"/>
    <w:basedOn w:val="a"/>
    <w:semiHidden/>
    <w:unhideWhenUsed/>
    <w:rsid w:val="00482D23"/>
    <w:pPr>
      <w:spacing w:after="0" w:line="240" w:lineRule="auto"/>
    </w:pPr>
    <w:rPr>
      <w:rFonts w:ascii="Calibri" w:eastAsia="font467" w:hAnsi="Calibri" w:cs="font467"/>
      <w:sz w:val="20"/>
      <w:szCs w:val="20"/>
      <w:lang w:val="ru-RU" w:eastAsia="ru-RU"/>
    </w:rPr>
  </w:style>
  <w:style w:type="paragraph" w:styleId="aa">
    <w:name w:val="No Spacing"/>
    <w:uiPriority w:val="1"/>
    <w:qFormat/>
    <w:rsid w:val="00482D23"/>
    <w:rPr>
      <w:rFonts w:ascii="Calibri" w:eastAsia="Calibri" w:hAnsi="Calibri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D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737"/>
    <w:rPr>
      <w:rFonts w:ascii="Tahoma" w:eastAsiaTheme="minorHAnsi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Anonimous</cp:lastModifiedBy>
  <cp:revision>2</cp:revision>
  <dcterms:created xsi:type="dcterms:W3CDTF">2021-04-29T10:12:00Z</dcterms:created>
  <dcterms:modified xsi:type="dcterms:W3CDTF">2021-04-29T10:12:00Z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NMNH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