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43EC0" w14:textId="00D80233" w:rsidR="000B3107" w:rsidRDefault="008562B7" w:rsidP="00A9093D">
      <w:pPr>
        <w:pStyle w:val="PargrafodaLista"/>
        <w:tabs>
          <w:tab w:val="left" w:pos="5871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0C338CB5" w14:textId="1EBDA864" w:rsidR="00CF427F" w:rsidRDefault="00026BCD" w:rsidP="00DC0714">
      <w:pPr>
        <w:pStyle w:val="Ttulo"/>
      </w:pPr>
      <w:r w:rsidRPr="0491D5EE">
        <w:t>RESUMO EXPANDIDO</w:t>
      </w:r>
    </w:p>
    <w:p w14:paraId="40182AD9" w14:textId="77777777" w:rsidR="0491D5EE" w:rsidRDefault="0491D5EE" w:rsidP="297915AF">
      <w:pPr>
        <w:pStyle w:val="Texto"/>
      </w:pPr>
    </w:p>
    <w:p w14:paraId="5EB4D84D" w14:textId="7A632B20" w:rsidR="0491D5EE" w:rsidRPr="001F6136" w:rsidRDefault="2BF74FE8" w:rsidP="00D26B08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 xml:space="preserve">Grupo de Trabalho (GT): </w:t>
      </w:r>
      <w:r w:rsidR="00D26B08" w:rsidRPr="00D26B08">
        <w:rPr>
          <w:rFonts w:ascii="Arial" w:hAnsi="Arial" w:cs="Arial"/>
          <w:sz w:val="24"/>
          <w:szCs w:val="24"/>
        </w:rPr>
        <w:t>GT 3 – Mudanças Climáticas: educação ambiental, saúde e produção de</w:t>
      </w:r>
      <w:r w:rsidR="00D26B08">
        <w:rPr>
          <w:rFonts w:ascii="Arial" w:hAnsi="Arial" w:cs="Arial"/>
          <w:sz w:val="24"/>
          <w:szCs w:val="24"/>
        </w:rPr>
        <w:t xml:space="preserve"> </w:t>
      </w:r>
      <w:r w:rsidR="00D26B08" w:rsidRPr="00D26B08">
        <w:rPr>
          <w:rFonts w:ascii="Arial" w:hAnsi="Arial" w:cs="Arial"/>
          <w:sz w:val="24"/>
          <w:szCs w:val="24"/>
        </w:rPr>
        <w:t>alimentos</w:t>
      </w:r>
    </w:p>
    <w:p w14:paraId="6990960F" w14:textId="510B201E" w:rsidR="0491D5EE" w:rsidRPr="001F6136" w:rsidRDefault="0491D5EE" w:rsidP="001F6136">
      <w:pPr>
        <w:rPr>
          <w:rFonts w:ascii="Arial" w:hAnsi="Arial" w:cs="Arial"/>
          <w:sz w:val="24"/>
          <w:szCs w:val="24"/>
        </w:rPr>
      </w:pPr>
    </w:p>
    <w:p w14:paraId="7E19E27C" w14:textId="797176D7" w:rsidR="00251815" w:rsidRPr="001F6136" w:rsidRDefault="517E9F2A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Modalidade d</w:t>
      </w:r>
      <w:r w:rsidR="64F49340" w:rsidRPr="001F6136">
        <w:rPr>
          <w:rFonts w:ascii="Arial" w:hAnsi="Arial" w:cs="Arial"/>
          <w:sz w:val="24"/>
          <w:szCs w:val="24"/>
        </w:rPr>
        <w:t xml:space="preserve">o </w:t>
      </w:r>
      <w:r w:rsidR="52EB1B39" w:rsidRPr="001F6136">
        <w:rPr>
          <w:rFonts w:ascii="Arial" w:hAnsi="Arial" w:cs="Arial"/>
          <w:sz w:val="24"/>
          <w:szCs w:val="24"/>
        </w:rPr>
        <w:t>trabalho</w:t>
      </w:r>
      <w:r w:rsidR="5A2C2FA2" w:rsidRPr="001F6136">
        <w:rPr>
          <w:rFonts w:ascii="Arial" w:hAnsi="Arial" w:cs="Arial"/>
          <w:sz w:val="24"/>
          <w:szCs w:val="24"/>
        </w:rPr>
        <w:t>:</w:t>
      </w:r>
      <w:r w:rsidR="261990A4" w:rsidRPr="001F6136">
        <w:rPr>
          <w:rFonts w:ascii="Arial" w:hAnsi="Arial" w:cs="Arial"/>
          <w:sz w:val="24"/>
          <w:szCs w:val="24"/>
        </w:rPr>
        <w:t xml:space="preserve"> </w:t>
      </w:r>
      <w:r w:rsidR="00D26B08">
        <w:rPr>
          <w:rFonts w:ascii="Arial" w:hAnsi="Arial" w:cs="Arial"/>
          <w:sz w:val="24"/>
          <w:szCs w:val="24"/>
        </w:rPr>
        <w:t>Comunicação oral</w:t>
      </w:r>
    </w:p>
    <w:p w14:paraId="76D235B2" w14:textId="580693E4" w:rsidR="77D603DC" w:rsidRPr="001F6136" w:rsidRDefault="77D603DC" w:rsidP="001F6136">
      <w:pPr>
        <w:rPr>
          <w:rFonts w:ascii="Arial" w:hAnsi="Arial" w:cs="Arial"/>
          <w:sz w:val="24"/>
          <w:szCs w:val="24"/>
        </w:rPr>
      </w:pPr>
    </w:p>
    <w:p w14:paraId="1572CD5D" w14:textId="104921BD" w:rsidR="110062EF" w:rsidRPr="001F6136" w:rsidRDefault="046AE1D2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 xml:space="preserve">Formato de apresentação: </w:t>
      </w:r>
      <w:r w:rsidR="00D26B08">
        <w:rPr>
          <w:rFonts w:ascii="Arial" w:hAnsi="Arial" w:cs="Arial"/>
          <w:sz w:val="24"/>
          <w:szCs w:val="24"/>
        </w:rPr>
        <w:t>online</w:t>
      </w:r>
    </w:p>
    <w:p w14:paraId="13F13EC9" w14:textId="77777777" w:rsidR="00A44959" w:rsidRDefault="00A44959" w:rsidP="00E73320">
      <w:pPr>
        <w:pStyle w:val="Texto"/>
      </w:pPr>
    </w:p>
    <w:p w14:paraId="7AD964DA" w14:textId="77777777" w:rsidR="00A9093D" w:rsidRDefault="00A9093D" w:rsidP="00E73320">
      <w:pPr>
        <w:pStyle w:val="Texto"/>
      </w:pPr>
    </w:p>
    <w:p w14:paraId="78B3F5F1" w14:textId="37024C91" w:rsidR="00A44959" w:rsidRPr="00A44959" w:rsidRDefault="00A44959" w:rsidP="00A44959">
      <w:pPr>
        <w:jc w:val="center"/>
        <w:rPr>
          <w:rFonts w:ascii="Arial" w:hAnsi="Arial" w:cs="Arial"/>
          <w:caps/>
          <w:sz w:val="24"/>
          <w:szCs w:val="24"/>
        </w:rPr>
      </w:pPr>
      <w:r w:rsidRPr="00A44959">
        <w:rPr>
          <w:rFonts w:ascii="Arial" w:hAnsi="Arial" w:cs="Arial"/>
          <w:b/>
          <w:bCs/>
          <w:caps/>
          <w:sz w:val="24"/>
          <w:szCs w:val="24"/>
        </w:rPr>
        <w:t xml:space="preserve">A urgência da Educação Alimentar e Nutricional na formação de professores de Biologia em tempos de crise climática: uma análise </w:t>
      </w:r>
      <w:r>
        <w:rPr>
          <w:rFonts w:ascii="Arial" w:hAnsi="Arial" w:cs="Arial"/>
          <w:b/>
          <w:bCs/>
          <w:caps/>
          <w:sz w:val="24"/>
          <w:szCs w:val="24"/>
        </w:rPr>
        <w:t xml:space="preserve">a partir </w:t>
      </w:r>
      <w:r w:rsidRPr="00A44959">
        <w:rPr>
          <w:rFonts w:ascii="Arial" w:hAnsi="Arial" w:cs="Arial"/>
          <w:b/>
          <w:bCs/>
          <w:caps/>
          <w:sz w:val="24"/>
          <w:szCs w:val="24"/>
        </w:rPr>
        <w:t>dos cursos de Licenciatura em Ciências Biológicas das universidades estaduais baianas</w:t>
      </w:r>
      <w:r w:rsidR="00E94D11">
        <w:rPr>
          <w:rStyle w:val="Refdenotaderodap"/>
          <w:sz w:val="24"/>
        </w:rPr>
        <w:footnoteReference w:id="1"/>
      </w:r>
    </w:p>
    <w:p w14:paraId="4B235664" w14:textId="77777777" w:rsidR="00D26B08" w:rsidRPr="00DA1797" w:rsidRDefault="00D26B08" w:rsidP="00E73320">
      <w:pPr>
        <w:pStyle w:val="Texto"/>
      </w:pPr>
    </w:p>
    <w:p w14:paraId="7DC4BC66" w14:textId="3C577469" w:rsidR="00A161E5" w:rsidRPr="00DA1797" w:rsidRDefault="00D26B08" w:rsidP="004C446D">
      <w:pPr>
        <w:pStyle w:val="Autoria"/>
        <w:rPr>
          <w:sz w:val="24"/>
        </w:rPr>
      </w:pPr>
      <w:r>
        <w:rPr>
          <w:sz w:val="24"/>
        </w:rPr>
        <w:t xml:space="preserve">Adriane </w:t>
      </w:r>
      <w:proofErr w:type="spellStart"/>
      <w:r>
        <w:rPr>
          <w:sz w:val="24"/>
        </w:rPr>
        <w:t>Lizbehd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Halmann</w:t>
      </w:r>
      <w:proofErr w:type="spellEnd"/>
      <w:r w:rsidR="00250E5E">
        <w:rPr>
          <w:rStyle w:val="Refdenotaderodap"/>
          <w:sz w:val="24"/>
        </w:rPr>
        <w:footnoteReference w:id="2"/>
      </w:r>
    </w:p>
    <w:p w14:paraId="4F47D999" w14:textId="323E0AE3" w:rsidR="00DF040B" w:rsidRPr="00DA1797" w:rsidRDefault="00250E5E" w:rsidP="00250E5E">
      <w:pPr>
        <w:pStyle w:val="Texto"/>
        <w:tabs>
          <w:tab w:val="clear" w:pos="4819"/>
          <w:tab w:val="left" w:pos="5760"/>
        </w:tabs>
      </w:pPr>
      <w:r>
        <w:tab/>
      </w:r>
    </w:p>
    <w:p w14:paraId="7783C2E5" w14:textId="5E75DB77" w:rsidR="00BB3206" w:rsidRPr="00A44959" w:rsidRDefault="00BD0F6C" w:rsidP="00442C14">
      <w:pPr>
        <w:pStyle w:val="Resumo"/>
      </w:pPr>
      <w:r w:rsidRPr="001A1913">
        <w:rPr>
          <w:b/>
          <w:bCs/>
        </w:rPr>
        <w:t xml:space="preserve">PALAVRAS-CHAVE: </w:t>
      </w:r>
      <w:r w:rsidR="00A44959" w:rsidRPr="00A44959">
        <w:t>Educação Alimentar e Nutricional; Formação docente; Direito Humano à Alimentação Adequada</w:t>
      </w:r>
      <w:r w:rsidR="00356B6C">
        <w:t>; Sistemas Alimentares.</w:t>
      </w:r>
    </w:p>
    <w:p w14:paraId="7237142C" w14:textId="77777777" w:rsidR="00597F8A" w:rsidRDefault="00597F8A" w:rsidP="009A33DE">
      <w:pPr>
        <w:pStyle w:val="Texto"/>
      </w:pPr>
    </w:p>
    <w:p w14:paraId="3982CFE3" w14:textId="65C980E7" w:rsidR="00707214" w:rsidRDefault="0060173B" w:rsidP="004C446D">
      <w:pPr>
        <w:pStyle w:val="Ttulo1"/>
      </w:pPr>
      <w:r>
        <w:t xml:space="preserve">1 </w:t>
      </w:r>
      <w:r w:rsidR="00707214" w:rsidRPr="00707214">
        <w:t>INTRODUÇÃO</w:t>
      </w:r>
    </w:p>
    <w:p w14:paraId="0B4190E1" w14:textId="77777777" w:rsidR="00D26B08" w:rsidRPr="00D26B08" w:rsidRDefault="00D26B08" w:rsidP="00D26B08">
      <w:pPr>
        <w:pStyle w:val="NormalWeb"/>
        <w:spacing w:line="360" w:lineRule="auto"/>
        <w:jc w:val="both"/>
        <w:rPr>
          <w:rFonts w:ascii="Arial" w:hAnsi="Arial" w:cs="Arial"/>
        </w:rPr>
      </w:pPr>
      <w:r w:rsidRPr="00D26B08">
        <w:rPr>
          <w:rFonts w:ascii="Arial" w:hAnsi="Arial" w:cs="Arial"/>
        </w:rPr>
        <w:t>A Educação Alimentar e Nutricional (EAN) é reconhecida como uma prática educativa essencial para a promoção da saúde e da sustentabilidade, articulando dimensões biológicas, culturais, sociais e ambientais. A partir da Lei nº 13.666/2018, a EAN passou a ser considerada tema transversal obrigatório na educação básica, reafirmando seu papel na formação de cidadãos críticos e conscientes de suas escolhas alimentares. Entretanto, observa-se um descompasso entre essa exigência e a formação inicial dos professores, especialmente nas licenciaturas que mais se aproximam dessa temática, como a de Ciências Biológicas.</w:t>
      </w:r>
    </w:p>
    <w:p w14:paraId="6D5FB36B" w14:textId="77777777" w:rsidR="00D26B08" w:rsidRPr="00D26B08" w:rsidRDefault="00D26B08" w:rsidP="00D26B08">
      <w:pPr>
        <w:pStyle w:val="NormalWeb"/>
        <w:spacing w:line="360" w:lineRule="auto"/>
        <w:jc w:val="both"/>
        <w:rPr>
          <w:rFonts w:ascii="Arial" w:hAnsi="Arial" w:cs="Arial"/>
        </w:rPr>
      </w:pPr>
      <w:r w:rsidRPr="00D26B08">
        <w:rPr>
          <w:rFonts w:ascii="Arial" w:hAnsi="Arial" w:cs="Arial"/>
        </w:rPr>
        <w:lastRenderedPageBreak/>
        <w:t xml:space="preserve">No contexto da Bahia — estado marcado por desigualdades regionais, diversidade ambiental e cultural, e por atividades econômicas ligadas à produção de alimentos —, investigar a presença da EAN na formação docente assume relevância estratégica. A região reúne desde áreas do semiárido, fortemente impactadas pelas mudanças climáticas e pela insegurança alimentar, até zonas litorâneas e de floresta atlântica, com expressiva produção agrícola e industrial de alimentos. Essas realidades complexas exigem que a formação de professores de Biologia inclua uma compreensão integrada da alimentação como fenômeno </w:t>
      </w:r>
      <w:proofErr w:type="spellStart"/>
      <w:r w:rsidRPr="00D26B08">
        <w:rPr>
          <w:rFonts w:ascii="Arial" w:hAnsi="Arial" w:cs="Arial"/>
        </w:rPr>
        <w:t>biocultural</w:t>
      </w:r>
      <w:proofErr w:type="spellEnd"/>
      <w:r w:rsidRPr="00D26B08">
        <w:rPr>
          <w:rFonts w:ascii="Arial" w:hAnsi="Arial" w:cs="Arial"/>
        </w:rPr>
        <w:t>, socioeconômico e ecológico.</w:t>
      </w:r>
    </w:p>
    <w:p w14:paraId="0B730C1B" w14:textId="77777777" w:rsidR="00D26B08" w:rsidRPr="00D26B08" w:rsidRDefault="00D26B08" w:rsidP="00D26B08">
      <w:pPr>
        <w:pStyle w:val="NormalWeb"/>
        <w:spacing w:line="360" w:lineRule="auto"/>
        <w:jc w:val="both"/>
        <w:rPr>
          <w:rFonts w:ascii="Arial" w:hAnsi="Arial" w:cs="Arial"/>
        </w:rPr>
      </w:pPr>
      <w:r w:rsidRPr="00D26B08">
        <w:rPr>
          <w:rFonts w:ascii="Arial" w:hAnsi="Arial" w:cs="Arial"/>
        </w:rPr>
        <w:t>A formação docente, conforme defendem Freire (2020) e Franco (2015), deve transcender o ensino técnico e disciplinar, assumindo uma postura crítica e emancipadora. Nesse sentido, investigar se os currículos das licenciaturas em Ciências Biológicas das universidades estaduais baianas contemplam a EAN contribui para compreender como as políticas educacionais e de saúde se materializam na formação inicial, e quais caminhos podem ser traçados para uma educação comprometida com o direito humano à alimentação adequada e com a mitigação dos impactos ambientais da produção de alimentos.</w:t>
      </w:r>
    </w:p>
    <w:p w14:paraId="251506C0" w14:textId="77777777" w:rsidR="00435A4C" w:rsidRPr="009A33DE" w:rsidRDefault="00435A4C" w:rsidP="009A33DE">
      <w:pPr>
        <w:pStyle w:val="Texto"/>
      </w:pPr>
    </w:p>
    <w:p w14:paraId="41EEC0FF" w14:textId="3199E977" w:rsidR="00435A4C" w:rsidRPr="00707214" w:rsidRDefault="00FC4166" w:rsidP="004C446D">
      <w:pPr>
        <w:pStyle w:val="Ttulo1"/>
        <w:rPr>
          <w:b w:val="0"/>
        </w:rPr>
      </w:pPr>
      <w:r>
        <w:t>2</w:t>
      </w:r>
      <w:r w:rsidR="00D97213">
        <w:t xml:space="preserve"> </w:t>
      </w:r>
      <w:r w:rsidR="00055BA2">
        <w:t>REFERENCIAL TEÓRICO</w:t>
      </w:r>
    </w:p>
    <w:p w14:paraId="0B16E37F" w14:textId="77777777" w:rsidR="00D26B08" w:rsidRPr="00D26B08" w:rsidRDefault="00D26B08" w:rsidP="00D26B08">
      <w:pPr>
        <w:pStyle w:val="NormalWeb"/>
        <w:spacing w:line="360" w:lineRule="auto"/>
        <w:jc w:val="both"/>
        <w:rPr>
          <w:rFonts w:ascii="Arial" w:hAnsi="Arial" w:cs="Arial"/>
        </w:rPr>
      </w:pPr>
      <w:r w:rsidRPr="00D26B08">
        <w:rPr>
          <w:rFonts w:ascii="Arial" w:hAnsi="Arial" w:cs="Arial"/>
        </w:rPr>
        <w:t>A EAN é definida como um processo educativo permanente e intersetorial, que visa à promoção da alimentação adequada e saudável a partir da compreensão dos determinantes sociais, culturais e ambientais que a influenciam (BRASIL, 2012; SILVA; CERVATO-MANCUSO, 2021). Assim, ultrapassa a mera transmissão de conhecimentos sobre nutrição, propondo uma abordagem crítica, contextualizada e interdisciplinar.</w:t>
      </w:r>
    </w:p>
    <w:p w14:paraId="08222521" w14:textId="77777777" w:rsidR="00D26B08" w:rsidRPr="00D26B08" w:rsidRDefault="00D26B08" w:rsidP="00D26B08">
      <w:pPr>
        <w:pStyle w:val="NormalWeb"/>
        <w:spacing w:line="360" w:lineRule="auto"/>
        <w:jc w:val="both"/>
        <w:rPr>
          <w:rFonts w:ascii="Arial" w:hAnsi="Arial" w:cs="Arial"/>
        </w:rPr>
      </w:pPr>
      <w:r w:rsidRPr="00D26B08">
        <w:rPr>
          <w:rFonts w:ascii="Arial" w:hAnsi="Arial" w:cs="Arial"/>
        </w:rPr>
        <w:t xml:space="preserve">Autores como Bardin (2016) e Freire (2020) ressaltam que o processo educativo deve partir da realidade vivida pelos sujeitos, favorecendo o diálogo entre saberes e a problematização das condições de vida. Essa perspectiva é especialmente relevante diante das mudanças climáticas e de seus efeitos sobre a produção e o consumo de alimentos. A degradação ambiental, a perda de biodiversidade e a insegurança alimentar são questões que afetam diretamente o campo da educação em ciências, </w:t>
      </w:r>
      <w:r w:rsidRPr="00D26B08">
        <w:rPr>
          <w:rFonts w:ascii="Arial" w:hAnsi="Arial" w:cs="Arial"/>
        </w:rPr>
        <w:lastRenderedPageBreak/>
        <w:t>exigindo que o ensino de Biologia incorpore dimensões éticas e políticas do cuidado com a vida e com o planeta.</w:t>
      </w:r>
    </w:p>
    <w:p w14:paraId="20F719FD" w14:textId="77777777" w:rsidR="00D26B08" w:rsidRPr="00D26B08" w:rsidRDefault="00D26B08" w:rsidP="00D26B08">
      <w:pPr>
        <w:pStyle w:val="NormalWeb"/>
        <w:spacing w:line="360" w:lineRule="auto"/>
        <w:jc w:val="both"/>
        <w:rPr>
          <w:rFonts w:ascii="Arial" w:hAnsi="Arial" w:cs="Arial"/>
        </w:rPr>
      </w:pPr>
      <w:r w:rsidRPr="00D26B08">
        <w:rPr>
          <w:rFonts w:ascii="Arial" w:hAnsi="Arial" w:cs="Arial"/>
        </w:rPr>
        <w:t>Nesse contexto, a EAN pode ser compreendida como elo entre educação ambiental, saúde coletiva e sustentabilidade alimentar. Ao integrar essas dimensões, o professor de Biologia torna-se agente fundamental na construção de práticas pedagógicas que relacionem alimentação, meio ambiente e qualidade de vida, contribuindo para formar cidadãos conscientes e críticos frente às crises alimentares e climáticas contemporâneas.</w:t>
      </w:r>
    </w:p>
    <w:p w14:paraId="6EF99736" w14:textId="618871C7" w:rsidR="0C591BAA" w:rsidRDefault="0C591BAA" w:rsidP="00DF040B">
      <w:pPr>
        <w:pStyle w:val="Texto"/>
      </w:pPr>
    </w:p>
    <w:p w14:paraId="1DD2BBB3" w14:textId="0B784F74" w:rsidR="00707214" w:rsidRPr="00707214" w:rsidRDefault="00FC4166" w:rsidP="004C446D">
      <w:pPr>
        <w:pStyle w:val="Ttulo1"/>
      </w:pPr>
      <w:r>
        <w:t>3</w:t>
      </w:r>
      <w:r w:rsidR="0060173B">
        <w:t xml:space="preserve"> </w:t>
      </w:r>
      <w:r w:rsidR="00707214" w:rsidRPr="00707214">
        <w:t>METODOLOGIA</w:t>
      </w:r>
    </w:p>
    <w:p w14:paraId="5AD8A2C3" w14:textId="77777777" w:rsidR="00D26B08" w:rsidRPr="00D26B08" w:rsidRDefault="00D26B08" w:rsidP="00D26B08">
      <w:pPr>
        <w:pStyle w:val="NormalWeb"/>
        <w:spacing w:line="360" w:lineRule="auto"/>
        <w:jc w:val="both"/>
        <w:rPr>
          <w:rFonts w:ascii="Arial" w:hAnsi="Arial" w:cs="Arial"/>
        </w:rPr>
      </w:pPr>
      <w:r w:rsidRPr="00D26B08">
        <w:rPr>
          <w:rFonts w:ascii="Arial" w:hAnsi="Arial" w:cs="Arial"/>
        </w:rPr>
        <w:t>Trata-se de uma pesquisa qualitativa, de caráter documental, que analisou os currículos dos cursos de Licenciatura em Ciências Biológicas das quatro Universidades Estaduais da Bahia (</w:t>
      </w:r>
      <w:proofErr w:type="spellStart"/>
      <w:r w:rsidRPr="00D26B08">
        <w:rPr>
          <w:rFonts w:ascii="Arial" w:hAnsi="Arial" w:cs="Arial"/>
        </w:rPr>
        <w:t>UEBAs</w:t>
      </w:r>
      <w:proofErr w:type="spellEnd"/>
      <w:r w:rsidRPr="00D26B08">
        <w:rPr>
          <w:rFonts w:ascii="Arial" w:hAnsi="Arial" w:cs="Arial"/>
        </w:rPr>
        <w:t>): Universidade do Estado da Bahia (UNEB), Universidade Estadual de Feira de Santana (UEFS), Universidade Estadual de Santa Cruz (UESC) e Universidade Estadual do Sudoeste da Bahia (UESB).</w:t>
      </w:r>
    </w:p>
    <w:p w14:paraId="43E8F5BF" w14:textId="77777777" w:rsidR="00D26B08" w:rsidRPr="00D26B08" w:rsidRDefault="00D26B08" w:rsidP="00D26B08">
      <w:pPr>
        <w:pStyle w:val="NormalWeb"/>
        <w:spacing w:line="360" w:lineRule="auto"/>
        <w:jc w:val="both"/>
        <w:rPr>
          <w:rFonts w:ascii="Arial" w:hAnsi="Arial" w:cs="Arial"/>
        </w:rPr>
      </w:pPr>
      <w:r w:rsidRPr="00D26B08">
        <w:rPr>
          <w:rFonts w:ascii="Arial" w:hAnsi="Arial" w:cs="Arial"/>
        </w:rPr>
        <w:t>Foram incluídos dez cursos presenciais de licenciatura — cinco da UNEB (Barreiras, Caetité, Teixeira de Freitas, Senhor do Bonfim e Paulo Afonso), três da UESB (Itapetinga, Jequié e Vitória da Conquista), um da UEFS (Feira de Santana) e um da UESC (Ilhéus). A coleta de dados ocorreu entre julho e outubro de 2025, a partir dos documentos disponibilizados nos sites institucionais: Projetos Pedagógicos de Curso (PPCs), matrizes curriculares, ementários e fluxogramas.</w:t>
      </w:r>
    </w:p>
    <w:p w14:paraId="5B28713C" w14:textId="77777777" w:rsidR="00D26B08" w:rsidRPr="00D26B08" w:rsidRDefault="00D26B08" w:rsidP="00D26B08">
      <w:pPr>
        <w:pStyle w:val="NormalWeb"/>
        <w:spacing w:line="360" w:lineRule="auto"/>
        <w:jc w:val="both"/>
        <w:rPr>
          <w:rFonts w:ascii="Arial" w:hAnsi="Arial" w:cs="Arial"/>
        </w:rPr>
      </w:pPr>
      <w:r w:rsidRPr="00D26B08">
        <w:rPr>
          <w:rFonts w:ascii="Arial" w:hAnsi="Arial" w:cs="Arial"/>
        </w:rPr>
        <w:t xml:space="preserve">A análise documental seguiu </w:t>
      </w:r>
      <w:proofErr w:type="spellStart"/>
      <w:r w:rsidRPr="00D26B08">
        <w:rPr>
          <w:rFonts w:ascii="Arial" w:hAnsi="Arial" w:cs="Arial"/>
        </w:rPr>
        <w:t>Cellard</w:t>
      </w:r>
      <w:proofErr w:type="spellEnd"/>
      <w:r w:rsidRPr="00D26B08">
        <w:rPr>
          <w:rFonts w:ascii="Arial" w:hAnsi="Arial" w:cs="Arial"/>
        </w:rPr>
        <w:t xml:space="preserve"> (2008), combinando leitura integral dos textos, categorização temática e interpretação dos sentidos explícitos e implícitos nos documentos. As categorias de análise foram: (1) estrutura curricular e componentes formativos; (2) inserção da EAN na formação docente; e (3) concepções de formação de professores. A partir disso, elaboraram-se quadros-síntese que sistematizam a presença (ou ausência) da EAN nas licenciaturas e permitem comparar os contextos institucionais das quatro universidades.</w:t>
      </w:r>
    </w:p>
    <w:p w14:paraId="5905B946" w14:textId="5520B327" w:rsidR="6EB1BE39" w:rsidRDefault="6EB1BE39" w:rsidP="6EB1BE39">
      <w:pPr>
        <w:pStyle w:val="Texto"/>
      </w:pPr>
    </w:p>
    <w:p w14:paraId="7B15E0B7" w14:textId="77777777" w:rsidR="00D26B08" w:rsidRDefault="00D26B08" w:rsidP="6EB1BE39">
      <w:pPr>
        <w:pStyle w:val="Texto"/>
      </w:pPr>
    </w:p>
    <w:p w14:paraId="4B72C82E" w14:textId="19013F34" w:rsidR="00707214" w:rsidRPr="00707214" w:rsidRDefault="00FC4166" w:rsidP="004C446D">
      <w:pPr>
        <w:pStyle w:val="Ttulo1"/>
      </w:pPr>
      <w:r>
        <w:t>4</w:t>
      </w:r>
      <w:r w:rsidR="0060173B">
        <w:t xml:space="preserve"> </w:t>
      </w:r>
      <w:r w:rsidR="00B7745C">
        <w:t xml:space="preserve">RESULTADOS E </w:t>
      </w:r>
      <w:r w:rsidR="00707214" w:rsidRPr="00707214">
        <w:t>DISCUSSÃO</w:t>
      </w:r>
      <w:r w:rsidR="00250E5E">
        <w:t xml:space="preserve"> </w:t>
      </w:r>
    </w:p>
    <w:p w14:paraId="3B210755" w14:textId="77777777" w:rsidR="00D26B08" w:rsidRPr="00D26B08" w:rsidRDefault="00D26B08" w:rsidP="00D26B08">
      <w:pPr>
        <w:pStyle w:val="NormalWeb"/>
        <w:spacing w:line="360" w:lineRule="auto"/>
        <w:jc w:val="both"/>
        <w:rPr>
          <w:rFonts w:ascii="Arial" w:hAnsi="Arial" w:cs="Arial"/>
        </w:rPr>
      </w:pPr>
      <w:r w:rsidRPr="00D26B08">
        <w:rPr>
          <w:rFonts w:ascii="Arial" w:hAnsi="Arial" w:cs="Arial"/>
        </w:rPr>
        <w:t xml:space="preserve">Os resultados evidenciam a predominância de currículos tradicionais, fortemente disciplinados e centrados em conteúdos biológicos, com escassa articulação entre Biologia, saúde e alimentação. Nenhum dos dez cursos analisados possui disciplinas obrigatórias relacionadas à Educação Alimentar e Nutricional. Apenas a UESC (campus Ilhéus) apresenta uma disciplina optativa intitulada </w:t>
      </w:r>
      <w:r w:rsidRPr="00D26B08">
        <w:rPr>
          <w:rStyle w:val="nfase"/>
          <w:rFonts w:ascii="Arial" w:eastAsiaTheme="majorEastAsia" w:hAnsi="Arial" w:cs="Arial"/>
        </w:rPr>
        <w:t>Educação Alimentar e Nutricional na Escola</w:t>
      </w:r>
      <w:r w:rsidRPr="00D26B08">
        <w:rPr>
          <w:rFonts w:ascii="Arial" w:hAnsi="Arial" w:cs="Arial"/>
        </w:rPr>
        <w:t>, embora sem registro recente de oferta. Nos demais cursos, a EAN é mencionada, quando muito, de forma indireta em disciplinas sobre educação em saúde.</w:t>
      </w:r>
    </w:p>
    <w:p w14:paraId="7D231188" w14:textId="77777777" w:rsidR="00D26B08" w:rsidRPr="00D26B08" w:rsidRDefault="00D26B08" w:rsidP="00D26B08">
      <w:pPr>
        <w:pStyle w:val="NormalWeb"/>
        <w:spacing w:line="360" w:lineRule="auto"/>
        <w:jc w:val="both"/>
        <w:rPr>
          <w:rFonts w:ascii="Arial" w:hAnsi="Arial" w:cs="Arial"/>
        </w:rPr>
      </w:pPr>
      <w:r w:rsidRPr="00D26B08">
        <w:rPr>
          <w:rFonts w:ascii="Arial" w:hAnsi="Arial" w:cs="Arial"/>
        </w:rPr>
        <w:t xml:space="preserve">A UNEB, pela sua estrutura </w:t>
      </w:r>
      <w:proofErr w:type="spellStart"/>
      <w:r w:rsidRPr="00D26B08">
        <w:rPr>
          <w:rFonts w:ascii="Arial" w:hAnsi="Arial" w:cs="Arial"/>
        </w:rPr>
        <w:t>multicampi</w:t>
      </w:r>
      <w:proofErr w:type="spellEnd"/>
      <w:r w:rsidRPr="00D26B08">
        <w:rPr>
          <w:rFonts w:ascii="Arial" w:hAnsi="Arial" w:cs="Arial"/>
        </w:rPr>
        <w:t>, apresenta forte heterogeneidade documental e ausência de padronização curricular. Em seus cinco cursos, não há menções à EAN nem disciplinas específicas sobre o tema. A UEFS, apesar de ofertar amplo leque de optativas, também não contempla o assunto. Na UESB, as três unidades — Itapetinga, Jequié e Vitória da Conquista — não possuem componentes curriculares que abordem a alimentação ou a nutrição, mesmo localizadas em regiões economicamente ligadas à produção de alimentos.</w:t>
      </w:r>
    </w:p>
    <w:p w14:paraId="45647D73" w14:textId="77777777" w:rsidR="00D26B08" w:rsidRPr="00D26B08" w:rsidRDefault="00D26B08" w:rsidP="00D26B08">
      <w:pPr>
        <w:pStyle w:val="NormalWeb"/>
        <w:spacing w:line="360" w:lineRule="auto"/>
        <w:jc w:val="both"/>
        <w:rPr>
          <w:rFonts w:ascii="Arial" w:hAnsi="Arial" w:cs="Arial"/>
        </w:rPr>
      </w:pPr>
      <w:r w:rsidRPr="00D26B08">
        <w:rPr>
          <w:rFonts w:ascii="Arial" w:hAnsi="Arial" w:cs="Arial"/>
        </w:rPr>
        <w:t xml:space="preserve">Esse panorama revela uma </w:t>
      </w:r>
      <w:r w:rsidRPr="00A44959">
        <w:rPr>
          <w:rStyle w:val="Forte"/>
          <w:rFonts w:ascii="Arial" w:eastAsiaTheme="majorEastAsia" w:hAnsi="Arial" w:cs="Arial"/>
          <w:b w:val="0"/>
          <w:bCs w:val="0"/>
        </w:rPr>
        <w:t>lacuna formativa</w:t>
      </w:r>
      <w:r w:rsidRPr="00D26B08">
        <w:rPr>
          <w:rFonts w:ascii="Arial" w:hAnsi="Arial" w:cs="Arial"/>
        </w:rPr>
        <w:t xml:space="preserve"> que compromete a capacidade dos futuros professores de Biologia de articularem ciência, saúde e sustentabilidade. A ausência da EAN nos currículos contrasta com os desafios contemporâneos do ensino de ciências, que exigem abordagens interdisciplinares para compreender os impactos da alimentação sobre o ambiente e o clima. Como ressaltam </w:t>
      </w:r>
      <w:proofErr w:type="spellStart"/>
      <w:r w:rsidRPr="00D26B08">
        <w:rPr>
          <w:rFonts w:ascii="Arial" w:hAnsi="Arial" w:cs="Arial"/>
        </w:rPr>
        <w:t>Martho</w:t>
      </w:r>
      <w:proofErr w:type="spellEnd"/>
      <w:r w:rsidRPr="00D26B08">
        <w:rPr>
          <w:rFonts w:ascii="Arial" w:hAnsi="Arial" w:cs="Arial"/>
        </w:rPr>
        <w:t xml:space="preserve"> e </w:t>
      </w:r>
      <w:proofErr w:type="spellStart"/>
      <w:r w:rsidRPr="00D26B08">
        <w:rPr>
          <w:rFonts w:ascii="Arial" w:hAnsi="Arial" w:cs="Arial"/>
        </w:rPr>
        <w:t>Talamoni</w:t>
      </w:r>
      <w:proofErr w:type="spellEnd"/>
      <w:r w:rsidRPr="00D26B08">
        <w:rPr>
          <w:rFonts w:ascii="Arial" w:hAnsi="Arial" w:cs="Arial"/>
        </w:rPr>
        <w:t xml:space="preserve"> (2021), a formação docente deve integrar os saberes biológicos e sociais, preparando o professor para atuar criticamente frente às questões ambientais e alimentares.</w:t>
      </w:r>
    </w:p>
    <w:p w14:paraId="3B2D861C" w14:textId="77777777" w:rsidR="00D26B08" w:rsidRPr="00D26B08" w:rsidRDefault="00D26B08" w:rsidP="00D26B08">
      <w:pPr>
        <w:pStyle w:val="NormalWeb"/>
        <w:spacing w:line="360" w:lineRule="auto"/>
        <w:jc w:val="both"/>
        <w:rPr>
          <w:rFonts w:ascii="Arial" w:hAnsi="Arial" w:cs="Arial"/>
        </w:rPr>
      </w:pPr>
      <w:r w:rsidRPr="00D26B08">
        <w:rPr>
          <w:rFonts w:ascii="Arial" w:hAnsi="Arial" w:cs="Arial"/>
        </w:rPr>
        <w:t>Outro aspecto identificado é a fragilidade na gestão e transparência curricular, com PPCs desatualizados ou incompletos em vários campi, especialmente da UNEB. Essa limitação reduz a visibilidade de práticas inovadoras e dificulta a articulação entre políticas públicas de formação docente e de segurança alimentar.</w:t>
      </w:r>
    </w:p>
    <w:p w14:paraId="5C7EB823" w14:textId="77777777" w:rsidR="00D26B08" w:rsidRPr="00D26B08" w:rsidRDefault="00D26B08" w:rsidP="00D26B08">
      <w:pPr>
        <w:pStyle w:val="NormalWeb"/>
        <w:spacing w:line="360" w:lineRule="auto"/>
        <w:jc w:val="both"/>
        <w:rPr>
          <w:rFonts w:ascii="Arial" w:hAnsi="Arial" w:cs="Arial"/>
        </w:rPr>
      </w:pPr>
      <w:r w:rsidRPr="00D26B08">
        <w:rPr>
          <w:rFonts w:ascii="Arial" w:hAnsi="Arial" w:cs="Arial"/>
        </w:rPr>
        <w:t xml:space="preserve">Por outro lado, há potencialidades a serem exploradas. Alguns cursos, especialmente em Jequié (UESB) e Ilhéus (UESC), situam-se em territórios de intensa produção </w:t>
      </w:r>
      <w:r w:rsidRPr="00D26B08">
        <w:rPr>
          <w:rFonts w:ascii="Arial" w:hAnsi="Arial" w:cs="Arial"/>
        </w:rPr>
        <w:lastRenderedPageBreak/>
        <w:t>agrícola e de expressiva biodiversidade. Esses contextos poderiam favorecer a integração entre ensino, pesquisa e extensão, fortalecendo práticas formativas que relacionem educação ambiental, alimentação e sustentabilidade — eixo central para enfrentar os efeitos das mudanças climáticas sobre os sistemas alimentares.</w:t>
      </w:r>
    </w:p>
    <w:p w14:paraId="4669AC60" w14:textId="2C7EE996" w:rsidR="0C591BAA" w:rsidRDefault="0C591BAA" w:rsidP="00DF040B">
      <w:pPr>
        <w:pStyle w:val="Texto"/>
      </w:pPr>
    </w:p>
    <w:p w14:paraId="48D133EA" w14:textId="2C12929C" w:rsidR="00707214" w:rsidRDefault="00FC4166" w:rsidP="004C446D">
      <w:pPr>
        <w:pStyle w:val="Ttulo1"/>
      </w:pPr>
      <w:r>
        <w:t>5</w:t>
      </w:r>
      <w:r w:rsidR="0060173B">
        <w:t xml:space="preserve"> </w:t>
      </w:r>
      <w:r w:rsidR="00707214" w:rsidRPr="00707214">
        <w:t>CONSIDERAÇÕES FINAIS</w:t>
      </w:r>
    </w:p>
    <w:p w14:paraId="132EFCF6" w14:textId="77777777" w:rsidR="00D26B08" w:rsidRPr="00D26B08" w:rsidRDefault="00D26B08" w:rsidP="00D26B08">
      <w:pPr>
        <w:pStyle w:val="NormalWeb"/>
        <w:spacing w:line="360" w:lineRule="auto"/>
        <w:jc w:val="both"/>
        <w:rPr>
          <w:rFonts w:ascii="Arial" w:hAnsi="Arial" w:cs="Arial"/>
        </w:rPr>
      </w:pPr>
      <w:r w:rsidRPr="00D26B08">
        <w:rPr>
          <w:rFonts w:ascii="Arial" w:hAnsi="Arial" w:cs="Arial"/>
        </w:rPr>
        <w:t>O estudo demonstra que a Educação Alimentar e Nutricional ainda não ocupa espaço sistemático na formação inicial de professores de Biologia nas universidades estaduais baianas. A ausência de disciplinas obrigatórias e a baixa oferta de optativas relacionadas ao tema indicam a persistência de currículos centrados em conteúdos biológicos tradicionais, desconectados das demandas contemporâneas por sustentabilidade, saúde e justiça alimentar.</w:t>
      </w:r>
    </w:p>
    <w:p w14:paraId="0CAB120F" w14:textId="77777777" w:rsidR="00D26B08" w:rsidRPr="00D26B08" w:rsidRDefault="00D26B08" w:rsidP="00D26B08">
      <w:pPr>
        <w:pStyle w:val="NormalWeb"/>
        <w:spacing w:line="360" w:lineRule="auto"/>
        <w:jc w:val="both"/>
        <w:rPr>
          <w:rFonts w:ascii="Arial" w:hAnsi="Arial" w:cs="Arial"/>
        </w:rPr>
      </w:pPr>
      <w:r w:rsidRPr="00D26B08">
        <w:rPr>
          <w:rFonts w:ascii="Arial" w:hAnsi="Arial" w:cs="Arial"/>
        </w:rPr>
        <w:t>Essa lacuna limita a formação de educadores capazes de compreender a alimentação como prática social, ambiental e cultural, e de dialogar com problemáticas emergentes — como as mudanças climáticas, a insegurança alimentar e a degradação dos ecossistemas. A integração da EAN à formação docente, portanto, não se trata de um acréscimo de conteúdo, mas de uma reorientação epistemológica: educar para a vida, o ambiente e a coletividade.</w:t>
      </w:r>
    </w:p>
    <w:p w14:paraId="19E06EC4" w14:textId="77777777" w:rsidR="00D26B08" w:rsidRPr="00D26B08" w:rsidRDefault="00D26B08" w:rsidP="00D26B08">
      <w:pPr>
        <w:pStyle w:val="NormalWeb"/>
        <w:spacing w:line="360" w:lineRule="auto"/>
        <w:jc w:val="both"/>
        <w:rPr>
          <w:rFonts w:ascii="Arial" w:hAnsi="Arial" w:cs="Arial"/>
        </w:rPr>
      </w:pPr>
      <w:r w:rsidRPr="00D26B08">
        <w:rPr>
          <w:rFonts w:ascii="Arial" w:hAnsi="Arial" w:cs="Arial"/>
        </w:rPr>
        <w:t>É imprescindível que as universidades revejam seus Projetos Pedagógicos de Curso e incorporem a EAN de forma transversal, articulando ensino, pesquisa e extensão. Tal movimento pode fortalecer uma formação docente mais crítica, interdisciplinar e comprometida com a promoção da saúde, a soberania alimentar e a mitigação dos impactos ambientais decorrentes dos sistemas alimentares contemporâneos.</w:t>
      </w:r>
    </w:p>
    <w:p w14:paraId="52061A36" w14:textId="77777777" w:rsidR="00D26B08" w:rsidRPr="00D26B08" w:rsidRDefault="00D26B08" w:rsidP="00D26B08">
      <w:pPr>
        <w:pStyle w:val="NormalWeb"/>
        <w:spacing w:line="360" w:lineRule="auto"/>
        <w:jc w:val="both"/>
        <w:rPr>
          <w:rFonts w:ascii="Arial" w:hAnsi="Arial" w:cs="Arial"/>
        </w:rPr>
      </w:pPr>
      <w:r w:rsidRPr="00D26B08">
        <w:rPr>
          <w:rFonts w:ascii="Arial" w:hAnsi="Arial" w:cs="Arial"/>
        </w:rPr>
        <w:t>Finalmente, recomenda-se a ampliação dos estudos sobre a formação docente em EAN, contemplando investigações sobre práticas pedagógicas, políticas institucionais e o papel das universidades públicas na construção de uma educação científica voltada à sustentabilidade e ao direito humano à alimentação adequada.</w:t>
      </w:r>
    </w:p>
    <w:p w14:paraId="2EABA2E7" w14:textId="77777777" w:rsidR="00126DD2" w:rsidRDefault="00126DD2" w:rsidP="00DF040B">
      <w:pPr>
        <w:pStyle w:val="Texto"/>
      </w:pPr>
    </w:p>
    <w:p w14:paraId="7F32F155" w14:textId="540A6AAF" w:rsidR="006306D9" w:rsidRDefault="00707214" w:rsidP="004C446D">
      <w:pPr>
        <w:pStyle w:val="TtulosNoNumerados"/>
      </w:pPr>
      <w:r w:rsidRPr="00707214">
        <w:t>REFERÊNCIAS</w:t>
      </w:r>
      <w:r w:rsidR="00F97C22">
        <w:t xml:space="preserve"> </w:t>
      </w:r>
    </w:p>
    <w:p w14:paraId="1CEA4D6E" w14:textId="46E50EBF" w:rsidR="00597F8A" w:rsidRPr="004C446D" w:rsidRDefault="00D26B08" w:rsidP="00D26B08">
      <w:pPr>
        <w:pStyle w:val="Texto"/>
        <w:ind w:firstLine="0"/>
        <w:jc w:val="left"/>
      </w:pPr>
      <w:r>
        <w:lastRenderedPageBreak/>
        <w:t xml:space="preserve">BARDIN, L. </w:t>
      </w:r>
      <w:r>
        <w:rPr>
          <w:rStyle w:val="nfase"/>
        </w:rPr>
        <w:t>Análise de conteúdo.</w:t>
      </w:r>
      <w:r>
        <w:t xml:space="preserve"> Lisboa: Edições 70, 2016.</w:t>
      </w:r>
      <w:r>
        <w:br/>
        <w:t xml:space="preserve">BRASIL. </w:t>
      </w:r>
      <w:r>
        <w:rPr>
          <w:rStyle w:val="nfase"/>
        </w:rPr>
        <w:t>Lei nº 13.666, de 16 de maio de 2018.</w:t>
      </w:r>
      <w:r>
        <w:t xml:space="preserve"> Brasília, DF, 2018.</w:t>
      </w:r>
      <w:r>
        <w:br/>
        <w:t xml:space="preserve">BRASIL. </w:t>
      </w:r>
      <w:r>
        <w:rPr>
          <w:rStyle w:val="nfase"/>
        </w:rPr>
        <w:t>Marco de referência de educação alimentar e nutricional para as políticas públicas.</w:t>
      </w:r>
      <w:r>
        <w:t xml:space="preserve"> Brasília: MDS, 2012.</w:t>
      </w:r>
      <w:r>
        <w:br/>
        <w:t xml:space="preserve">CELLARD, A. A análise documental. In: POUPART, J. et al. </w:t>
      </w:r>
      <w:r>
        <w:rPr>
          <w:rStyle w:val="nfase"/>
        </w:rPr>
        <w:t>A pesquisa qualitativa: enfoques epistemológicos e metodológicos.</w:t>
      </w:r>
      <w:r>
        <w:t xml:space="preserve"> Petrópolis: Vozes, 2008.</w:t>
      </w:r>
      <w:r>
        <w:br/>
        <w:t xml:space="preserve">FRANCO, M. A. S. </w:t>
      </w:r>
      <w:r>
        <w:rPr>
          <w:rStyle w:val="nfase"/>
        </w:rPr>
        <w:t>Pedagogia e prática docente.</w:t>
      </w:r>
      <w:r>
        <w:t xml:space="preserve"> São Paulo: Cortez, 2015.</w:t>
      </w:r>
      <w:r>
        <w:br/>
        <w:t xml:space="preserve">FREIRE, P. </w:t>
      </w:r>
      <w:r>
        <w:rPr>
          <w:rStyle w:val="nfase"/>
        </w:rPr>
        <w:t>Pedagogia da autonomia: saberes necessários à prática educativa.</w:t>
      </w:r>
      <w:r>
        <w:t xml:space="preserve"> Rio de Janeiro: Paz e Terra, 2020.</w:t>
      </w:r>
      <w:r>
        <w:br/>
        <w:t xml:space="preserve">MARTHO, F. L.; TALAMONI, A. C. B. </w:t>
      </w:r>
      <w:r>
        <w:rPr>
          <w:rStyle w:val="nfase"/>
        </w:rPr>
        <w:t>Percepções de professores sobre práticas interdisciplinares em Educação Alimentar e Nutricional.</w:t>
      </w:r>
      <w:r>
        <w:t xml:space="preserve"> </w:t>
      </w:r>
      <w:proofErr w:type="spellStart"/>
      <w:r>
        <w:rPr>
          <w:rStyle w:val="nfase"/>
        </w:rPr>
        <w:t>Tecné</w:t>
      </w:r>
      <w:proofErr w:type="spellEnd"/>
      <w:r>
        <w:rPr>
          <w:rStyle w:val="nfase"/>
        </w:rPr>
        <w:t xml:space="preserve">, Episteme y </w:t>
      </w:r>
      <w:proofErr w:type="spellStart"/>
      <w:r>
        <w:rPr>
          <w:rStyle w:val="nfase"/>
        </w:rPr>
        <w:t>Didaxis</w:t>
      </w:r>
      <w:proofErr w:type="spellEnd"/>
      <w:r>
        <w:rPr>
          <w:rStyle w:val="nfase"/>
        </w:rPr>
        <w:t>: TED</w:t>
      </w:r>
      <w:r>
        <w:t>, 2021.</w:t>
      </w:r>
      <w:r>
        <w:br/>
        <w:t xml:space="preserve">MOURA, F. N. S. </w:t>
      </w:r>
      <w:r>
        <w:rPr>
          <w:rStyle w:val="nfase"/>
        </w:rPr>
        <w:t>A educação alimentar e nutricional no ensino fundamental à luz dos referenciais curriculares do Nordeste.</w:t>
      </w:r>
      <w:r>
        <w:t xml:space="preserve"> Tese (Doutorado em Educação) – UFC, 2025.</w:t>
      </w:r>
      <w:r>
        <w:br/>
        <w:t xml:space="preserve">SILVA, A. M.; CERVATO-MANCUSO, A. M. </w:t>
      </w:r>
      <w:r>
        <w:rPr>
          <w:rStyle w:val="nfase"/>
        </w:rPr>
        <w:t>Educação alimentar e nutricional: fundamentos, práticas e perspectivas.</w:t>
      </w:r>
      <w:r>
        <w:t xml:space="preserve"> Rio de Janeiro: Rubio, 2021.</w:t>
      </w:r>
    </w:p>
    <w:p w14:paraId="400A594F" w14:textId="77777777" w:rsidR="001E54C1" w:rsidRPr="00CD581C" w:rsidRDefault="001E54C1">
      <w:pPr>
        <w:pStyle w:val="TtulosNoNumerados"/>
      </w:pPr>
    </w:p>
    <w:sectPr w:rsidR="001E54C1" w:rsidRPr="00CD581C" w:rsidSect="004C446D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9A88B" w14:textId="77777777" w:rsidR="00C7699E" w:rsidRDefault="00C7699E" w:rsidP="00026BCD">
      <w:pPr>
        <w:spacing w:line="240" w:lineRule="auto"/>
      </w:pPr>
      <w:r>
        <w:separator/>
      </w:r>
    </w:p>
  </w:endnote>
  <w:endnote w:type="continuationSeparator" w:id="0">
    <w:p w14:paraId="15DBB4DB" w14:textId="77777777" w:rsidR="00C7699E" w:rsidRDefault="00C7699E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0D704" w14:textId="77777777" w:rsidR="00892CA9" w:rsidRDefault="00892CA9" w:rsidP="00DA1797">
    <w:pPr>
      <w:ind w:firstLine="0"/>
    </w:pPr>
  </w:p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41A44E" w14:textId="77777777" w:rsidR="00C7699E" w:rsidRDefault="00C7699E" w:rsidP="00026BCD">
      <w:pPr>
        <w:spacing w:line="240" w:lineRule="auto"/>
      </w:pPr>
      <w:r>
        <w:separator/>
      </w:r>
    </w:p>
  </w:footnote>
  <w:footnote w:type="continuationSeparator" w:id="0">
    <w:p w14:paraId="36AB147C" w14:textId="77777777" w:rsidR="00C7699E" w:rsidRDefault="00C7699E" w:rsidP="00026BCD">
      <w:pPr>
        <w:spacing w:line="240" w:lineRule="auto"/>
      </w:pPr>
      <w:r>
        <w:continuationSeparator/>
      </w:r>
    </w:p>
  </w:footnote>
  <w:footnote w:id="1">
    <w:p w14:paraId="6E4035D6" w14:textId="5F48A468" w:rsidR="00E94D11" w:rsidRPr="00250E5E" w:rsidRDefault="00E94D11" w:rsidP="00A9093D">
      <w:pPr>
        <w:pStyle w:val="TtulosNoNumerados"/>
        <w:spacing w:line="240" w:lineRule="auto"/>
        <w:rPr>
          <w:b w:val="0"/>
          <w:bCs w:val="0"/>
          <w:sz w:val="22"/>
          <w:szCs w:val="22"/>
        </w:rPr>
      </w:pPr>
      <w:r w:rsidRPr="00250E5E">
        <w:rPr>
          <w:rStyle w:val="Refdenotaderodap"/>
          <w:b w:val="0"/>
          <w:bCs w:val="0"/>
          <w:sz w:val="22"/>
          <w:szCs w:val="22"/>
        </w:rPr>
        <w:footnoteRef/>
      </w:r>
      <w:r w:rsidRPr="00250E5E">
        <w:rPr>
          <w:b w:val="0"/>
          <w:bCs w:val="0"/>
          <w:sz w:val="22"/>
          <w:szCs w:val="22"/>
        </w:rPr>
        <w:t xml:space="preserve"> </w:t>
      </w:r>
      <w:r w:rsidRPr="00A9093D">
        <w:rPr>
          <w:b w:val="0"/>
          <w:bCs w:val="0"/>
          <w:sz w:val="20"/>
          <w:szCs w:val="20"/>
        </w:rPr>
        <w:t>Produção derivada do projeto de pesquisa “</w:t>
      </w:r>
      <w:r w:rsidR="00A9093D" w:rsidRPr="00A9093D">
        <w:rPr>
          <w:b w:val="0"/>
          <w:bCs w:val="0"/>
          <w:sz w:val="20"/>
          <w:szCs w:val="20"/>
        </w:rPr>
        <w:t>A formação de professores para Educação Alimentar e Nutricional: uma análise de documentos curriculares no Estado da Bahia",</w:t>
      </w:r>
      <w:r w:rsidR="00A9093D" w:rsidRPr="00A9093D">
        <w:rPr>
          <w:b w:val="0"/>
          <w:bCs w:val="0"/>
          <w:sz w:val="20"/>
          <w:szCs w:val="20"/>
        </w:rPr>
        <w:t xml:space="preserve"> projeto </w:t>
      </w:r>
      <w:r w:rsidR="00A9093D">
        <w:rPr>
          <w:b w:val="0"/>
          <w:bCs w:val="0"/>
          <w:sz w:val="20"/>
          <w:szCs w:val="20"/>
        </w:rPr>
        <w:t xml:space="preserve">coordenado por Adriane </w:t>
      </w:r>
      <w:proofErr w:type="spellStart"/>
      <w:r w:rsidR="00A9093D">
        <w:rPr>
          <w:b w:val="0"/>
          <w:bCs w:val="0"/>
          <w:sz w:val="20"/>
          <w:szCs w:val="20"/>
        </w:rPr>
        <w:t>Halmann</w:t>
      </w:r>
      <w:proofErr w:type="spellEnd"/>
      <w:r w:rsidR="00A9093D">
        <w:rPr>
          <w:b w:val="0"/>
          <w:bCs w:val="0"/>
          <w:sz w:val="20"/>
          <w:szCs w:val="20"/>
        </w:rPr>
        <w:t xml:space="preserve">, </w:t>
      </w:r>
      <w:r w:rsidR="00A9093D" w:rsidRPr="00A9093D">
        <w:rPr>
          <w:b w:val="0"/>
          <w:bCs w:val="0"/>
          <w:sz w:val="20"/>
          <w:szCs w:val="20"/>
        </w:rPr>
        <w:t>registrado e em desenvolvimento na Universidade Estadual de Santa Cruz.</w:t>
      </w:r>
    </w:p>
    <w:p w14:paraId="305E3772" w14:textId="77777777" w:rsidR="00E94D11" w:rsidRDefault="00E94D11" w:rsidP="00E94D11">
      <w:pPr>
        <w:pStyle w:val="Textodenotaderodap"/>
      </w:pPr>
    </w:p>
  </w:footnote>
  <w:footnote w:id="2">
    <w:p w14:paraId="67BE4BA7" w14:textId="6657E2D9" w:rsidR="00250E5E" w:rsidRPr="00250E5E" w:rsidRDefault="00250E5E" w:rsidP="00A9093D">
      <w:pPr>
        <w:pStyle w:val="TtulosNoNumerados"/>
        <w:spacing w:line="240" w:lineRule="auto"/>
        <w:rPr>
          <w:b w:val="0"/>
          <w:bCs w:val="0"/>
          <w:sz w:val="22"/>
          <w:szCs w:val="22"/>
        </w:rPr>
      </w:pPr>
      <w:r w:rsidRPr="00250E5E">
        <w:rPr>
          <w:rStyle w:val="Refdenotaderodap"/>
          <w:b w:val="0"/>
          <w:bCs w:val="0"/>
          <w:sz w:val="22"/>
          <w:szCs w:val="22"/>
        </w:rPr>
        <w:footnoteRef/>
      </w:r>
      <w:r w:rsidRPr="00250E5E">
        <w:rPr>
          <w:b w:val="0"/>
          <w:bCs w:val="0"/>
          <w:sz w:val="22"/>
          <w:szCs w:val="22"/>
        </w:rPr>
        <w:t xml:space="preserve"> </w:t>
      </w:r>
      <w:r w:rsidR="00A44959" w:rsidRPr="00A9093D">
        <w:rPr>
          <w:b w:val="0"/>
          <w:bCs w:val="0"/>
          <w:sz w:val="20"/>
          <w:szCs w:val="20"/>
        </w:rPr>
        <w:t>Nutricionista (UFBA), Licenciada em Ciências Biológicas (UFSM), Mestre e Doutora em Educação (UFBA). Professora Titular, Departamento de Ciências Biológicas, Universidade Estadual de Santa Cruz, Ilhéus, Bahia. Email: alhalmann@uesc.br</w:t>
      </w:r>
    </w:p>
    <w:p w14:paraId="22FD869C" w14:textId="0A693264" w:rsidR="00250E5E" w:rsidRDefault="00250E5E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B65E4" w14:textId="604B6F8E" w:rsidR="008562B7" w:rsidRDefault="00000000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3C001" w14:textId="675325A4" w:rsidR="34CB68DF" w:rsidRDefault="00000000" w:rsidP="00E31A9B">
    <w:pPr>
      <w:pStyle w:val="Cabealho"/>
      <w:ind w:firstLine="0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-70.45pt;margin-top:-101.55pt;width:571.45pt;height:866.35pt;z-index:-251658238;mso-position-horizontal-relative:margin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8FA9C" w14:textId="4E46BFD7" w:rsidR="008562B7" w:rsidRDefault="00000000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left:0;text-align:left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950092652">
    <w:abstractNumId w:val="3"/>
  </w:num>
  <w:num w:numId="2" w16cid:durableId="1066029037">
    <w:abstractNumId w:val="6"/>
  </w:num>
  <w:num w:numId="3" w16cid:durableId="1085955489">
    <w:abstractNumId w:val="4"/>
  </w:num>
  <w:num w:numId="4" w16cid:durableId="425228222">
    <w:abstractNumId w:val="0"/>
  </w:num>
  <w:num w:numId="5" w16cid:durableId="1219895703">
    <w:abstractNumId w:val="5"/>
  </w:num>
  <w:num w:numId="6" w16cid:durableId="881675366">
    <w:abstractNumId w:val="1"/>
  </w:num>
  <w:num w:numId="7" w16cid:durableId="13100185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45B3"/>
    <w:rsid w:val="00017230"/>
    <w:rsid w:val="000251AB"/>
    <w:rsid w:val="00026BCD"/>
    <w:rsid w:val="0004284F"/>
    <w:rsid w:val="00042954"/>
    <w:rsid w:val="00055BA2"/>
    <w:rsid w:val="00057443"/>
    <w:rsid w:val="00083ECD"/>
    <w:rsid w:val="0008414C"/>
    <w:rsid w:val="00091F4C"/>
    <w:rsid w:val="000B3107"/>
    <w:rsid w:val="000B3767"/>
    <w:rsid w:val="000D4380"/>
    <w:rsid w:val="00116C61"/>
    <w:rsid w:val="00126DD2"/>
    <w:rsid w:val="00133DE8"/>
    <w:rsid w:val="00143DA4"/>
    <w:rsid w:val="0015196A"/>
    <w:rsid w:val="00154AF7"/>
    <w:rsid w:val="00163493"/>
    <w:rsid w:val="00172360"/>
    <w:rsid w:val="00194448"/>
    <w:rsid w:val="001A1913"/>
    <w:rsid w:val="001A3BDA"/>
    <w:rsid w:val="001B0B31"/>
    <w:rsid w:val="001D23A0"/>
    <w:rsid w:val="001E54C1"/>
    <w:rsid w:val="001E75F3"/>
    <w:rsid w:val="001F6136"/>
    <w:rsid w:val="00217CF3"/>
    <w:rsid w:val="002506BE"/>
    <w:rsid w:val="00250E5E"/>
    <w:rsid w:val="00251815"/>
    <w:rsid w:val="0029403C"/>
    <w:rsid w:val="00297730"/>
    <w:rsid w:val="002A6224"/>
    <w:rsid w:val="002D4387"/>
    <w:rsid w:val="002E5744"/>
    <w:rsid w:val="0030144E"/>
    <w:rsid w:val="0030158D"/>
    <w:rsid w:val="003063C9"/>
    <w:rsid w:val="00356B6C"/>
    <w:rsid w:val="00390C0D"/>
    <w:rsid w:val="00391E0A"/>
    <w:rsid w:val="00391F87"/>
    <w:rsid w:val="003A16B9"/>
    <w:rsid w:val="003A53FB"/>
    <w:rsid w:val="003B2FAA"/>
    <w:rsid w:val="003B5B9D"/>
    <w:rsid w:val="003B6045"/>
    <w:rsid w:val="003D08B6"/>
    <w:rsid w:val="003E279A"/>
    <w:rsid w:val="003F656B"/>
    <w:rsid w:val="00403677"/>
    <w:rsid w:val="00435A4C"/>
    <w:rsid w:val="004371A8"/>
    <w:rsid w:val="00442C14"/>
    <w:rsid w:val="00454912"/>
    <w:rsid w:val="00483A93"/>
    <w:rsid w:val="00485239"/>
    <w:rsid w:val="00485697"/>
    <w:rsid w:val="004B0EE5"/>
    <w:rsid w:val="004C0FF1"/>
    <w:rsid w:val="004C10A5"/>
    <w:rsid w:val="004C446D"/>
    <w:rsid w:val="004D022B"/>
    <w:rsid w:val="00501902"/>
    <w:rsid w:val="005139F9"/>
    <w:rsid w:val="00522804"/>
    <w:rsid w:val="00526D12"/>
    <w:rsid w:val="00531E8C"/>
    <w:rsid w:val="0057474E"/>
    <w:rsid w:val="00576DF9"/>
    <w:rsid w:val="00597F8A"/>
    <w:rsid w:val="005A2B0A"/>
    <w:rsid w:val="005C5724"/>
    <w:rsid w:val="005C58D8"/>
    <w:rsid w:val="005D3A9E"/>
    <w:rsid w:val="0060173B"/>
    <w:rsid w:val="006017C1"/>
    <w:rsid w:val="006032B4"/>
    <w:rsid w:val="006306D9"/>
    <w:rsid w:val="00646D7A"/>
    <w:rsid w:val="00654554"/>
    <w:rsid w:val="0068327B"/>
    <w:rsid w:val="00695D93"/>
    <w:rsid w:val="006C2E27"/>
    <w:rsid w:val="006D2F5D"/>
    <w:rsid w:val="006D3ABF"/>
    <w:rsid w:val="006E7866"/>
    <w:rsid w:val="007016EA"/>
    <w:rsid w:val="00704890"/>
    <w:rsid w:val="00707214"/>
    <w:rsid w:val="00717678"/>
    <w:rsid w:val="00760B15"/>
    <w:rsid w:val="0076389E"/>
    <w:rsid w:val="00777399"/>
    <w:rsid w:val="00777958"/>
    <w:rsid w:val="007A1F67"/>
    <w:rsid w:val="007B3083"/>
    <w:rsid w:val="007B7881"/>
    <w:rsid w:val="007C257B"/>
    <w:rsid w:val="007D0EAE"/>
    <w:rsid w:val="007E2E87"/>
    <w:rsid w:val="007E33B8"/>
    <w:rsid w:val="00812F49"/>
    <w:rsid w:val="00816D36"/>
    <w:rsid w:val="00823FCA"/>
    <w:rsid w:val="00836A3A"/>
    <w:rsid w:val="008562B7"/>
    <w:rsid w:val="00865FF8"/>
    <w:rsid w:val="0087040B"/>
    <w:rsid w:val="00892CA9"/>
    <w:rsid w:val="008967EE"/>
    <w:rsid w:val="008B711F"/>
    <w:rsid w:val="008C02E5"/>
    <w:rsid w:val="008C6DFB"/>
    <w:rsid w:val="008D66DE"/>
    <w:rsid w:val="008F32E8"/>
    <w:rsid w:val="008F3891"/>
    <w:rsid w:val="0090786F"/>
    <w:rsid w:val="00915550"/>
    <w:rsid w:val="009173EC"/>
    <w:rsid w:val="00965B62"/>
    <w:rsid w:val="009676AF"/>
    <w:rsid w:val="00971680"/>
    <w:rsid w:val="0098531D"/>
    <w:rsid w:val="009A0059"/>
    <w:rsid w:val="009A33DE"/>
    <w:rsid w:val="009B4393"/>
    <w:rsid w:val="009E3B90"/>
    <w:rsid w:val="009E6C0F"/>
    <w:rsid w:val="00A161E5"/>
    <w:rsid w:val="00A223FB"/>
    <w:rsid w:val="00A27006"/>
    <w:rsid w:val="00A35ED3"/>
    <w:rsid w:val="00A44959"/>
    <w:rsid w:val="00A47061"/>
    <w:rsid w:val="00A9093D"/>
    <w:rsid w:val="00AB2173"/>
    <w:rsid w:val="00AB47AE"/>
    <w:rsid w:val="00AD5392"/>
    <w:rsid w:val="00AD658C"/>
    <w:rsid w:val="00AF346D"/>
    <w:rsid w:val="00AF4418"/>
    <w:rsid w:val="00B2706C"/>
    <w:rsid w:val="00B31EAA"/>
    <w:rsid w:val="00B35ECD"/>
    <w:rsid w:val="00B47A4E"/>
    <w:rsid w:val="00B61B60"/>
    <w:rsid w:val="00B6500C"/>
    <w:rsid w:val="00B663F7"/>
    <w:rsid w:val="00B7745C"/>
    <w:rsid w:val="00B801C6"/>
    <w:rsid w:val="00BA460D"/>
    <w:rsid w:val="00BA68B0"/>
    <w:rsid w:val="00BB3206"/>
    <w:rsid w:val="00BB34FF"/>
    <w:rsid w:val="00BD004B"/>
    <w:rsid w:val="00BD042D"/>
    <w:rsid w:val="00BD0F6C"/>
    <w:rsid w:val="00BD278E"/>
    <w:rsid w:val="00BD722D"/>
    <w:rsid w:val="00BE76DE"/>
    <w:rsid w:val="00BF09E3"/>
    <w:rsid w:val="00C7699E"/>
    <w:rsid w:val="00C8769A"/>
    <w:rsid w:val="00CA612A"/>
    <w:rsid w:val="00CC3A42"/>
    <w:rsid w:val="00CD2AF8"/>
    <w:rsid w:val="00CD581C"/>
    <w:rsid w:val="00CD7E56"/>
    <w:rsid w:val="00CF427F"/>
    <w:rsid w:val="00D07AAE"/>
    <w:rsid w:val="00D16DAA"/>
    <w:rsid w:val="00D17DEF"/>
    <w:rsid w:val="00D26B08"/>
    <w:rsid w:val="00D4622B"/>
    <w:rsid w:val="00D77336"/>
    <w:rsid w:val="00D86381"/>
    <w:rsid w:val="00D97213"/>
    <w:rsid w:val="00DA1797"/>
    <w:rsid w:val="00DC0714"/>
    <w:rsid w:val="00DE30BE"/>
    <w:rsid w:val="00DF040B"/>
    <w:rsid w:val="00E044EA"/>
    <w:rsid w:val="00E05F28"/>
    <w:rsid w:val="00E31A9B"/>
    <w:rsid w:val="00E406F6"/>
    <w:rsid w:val="00E57BDA"/>
    <w:rsid w:val="00E65BC9"/>
    <w:rsid w:val="00E73320"/>
    <w:rsid w:val="00E91D9C"/>
    <w:rsid w:val="00E94D11"/>
    <w:rsid w:val="00EC1F91"/>
    <w:rsid w:val="00ED4385"/>
    <w:rsid w:val="00ED7BE5"/>
    <w:rsid w:val="00EE2639"/>
    <w:rsid w:val="00F27CE0"/>
    <w:rsid w:val="00F32F47"/>
    <w:rsid w:val="00F46CF2"/>
    <w:rsid w:val="00F647DC"/>
    <w:rsid w:val="00F72FD3"/>
    <w:rsid w:val="00F97363"/>
    <w:rsid w:val="00F97C22"/>
    <w:rsid w:val="00FB7715"/>
    <w:rsid w:val="00FC02FB"/>
    <w:rsid w:val="00FC4166"/>
    <w:rsid w:val="00FC6AF0"/>
    <w:rsid w:val="00FE005E"/>
    <w:rsid w:val="00FE40BB"/>
    <w:rsid w:val="00FE5684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D26B08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D26B08"/>
    <w:rPr>
      <w:b/>
      <w:bCs/>
    </w:rPr>
  </w:style>
  <w:style w:type="character" w:styleId="nfase">
    <w:name w:val="Emphasis"/>
    <w:basedOn w:val="Fontepargpadro"/>
    <w:uiPriority w:val="20"/>
    <w:qFormat/>
    <w:rsid w:val="00D26B0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8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1629</Words>
  <Characters>8800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Adriane</cp:lastModifiedBy>
  <cp:revision>6</cp:revision>
  <dcterms:created xsi:type="dcterms:W3CDTF">2025-10-14T02:44:00Z</dcterms:created>
  <dcterms:modified xsi:type="dcterms:W3CDTF">2025-10-15T21:39:00Z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