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02"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Transplante Cardíaco e seus Cuidados   </w:t>
        <w:br/>
        <w:br/>
        <w:br/>
        <w:br/>
      </w:r>
      <w:r>
        <w:rPr>
          <w:rFonts w:ascii="Arial" w:hAnsi="Arial" w:cs="Arial" w:eastAsia="Arial"/>
          <w:b/>
          <w:color w:val="auto"/>
          <w:spacing w:val="0"/>
          <w:position w:val="0"/>
          <w:sz w:val="20"/>
          <w:shd w:fill="auto" w:val="clear"/>
        </w:rPr>
        <w:t xml:space="preserve">Thiago Ruam Nascimento</w:t>
        <w:br/>
      </w:r>
      <w:r>
        <w:rPr>
          <w:rFonts w:ascii="Arial" w:hAnsi="Arial" w:cs="Arial" w:eastAsia="Arial"/>
          <w:color w:val="auto"/>
          <w:spacing w:val="0"/>
          <w:position w:val="0"/>
          <w:sz w:val="16"/>
          <w:shd w:fill="auto" w:val="clear"/>
        </w:rPr>
        <w:t xml:space="preserve">Uninassau - Recife/Enfermagem</w:t>
        <w:br/>
        <w:t xml:space="preserve">thiago.ruan19@gmail.com</w:t>
        <w:br/>
        <w:br/>
      </w:r>
      <w:r>
        <w:rPr>
          <w:rFonts w:ascii="Arial" w:hAnsi="Arial" w:cs="Arial" w:eastAsia="Arial"/>
          <w:b/>
          <w:color w:val="auto"/>
          <w:spacing w:val="0"/>
          <w:position w:val="0"/>
          <w:sz w:val="20"/>
          <w:shd w:fill="auto" w:val="clear"/>
        </w:rPr>
        <w:t xml:space="preserve">Fernanda Vieira Cardoso </w:t>
        <w:br/>
      </w:r>
      <w:r>
        <w:rPr>
          <w:rFonts w:ascii="Arial" w:hAnsi="Arial" w:cs="Arial" w:eastAsia="Arial"/>
          <w:color w:val="auto"/>
          <w:spacing w:val="0"/>
          <w:position w:val="0"/>
          <w:sz w:val="16"/>
          <w:shd w:fill="auto" w:val="clear"/>
        </w:rPr>
        <w:t xml:space="preserve">Faculdade Morgana Potrich (FAMP)</w:t>
        <w:br/>
        <w:t xml:space="preserve">fernandasfacaardoso@gmail.com</w:t>
        <w:br/>
        <w:br/>
      </w:r>
      <w:r>
        <w:rPr>
          <w:rFonts w:ascii="Arial" w:hAnsi="Arial" w:cs="Arial" w:eastAsia="Arial"/>
          <w:b/>
          <w:color w:val="auto"/>
          <w:spacing w:val="0"/>
          <w:position w:val="0"/>
          <w:sz w:val="20"/>
          <w:shd w:fill="auto" w:val="clear"/>
        </w:rPr>
        <w:t xml:space="preserve">Vitória Natally Silva Cavalcanti</w:t>
        <w:br/>
      </w:r>
      <w:r>
        <w:rPr>
          <w:rFonts w:ascii="Arial" w:hAnsi="Arial" w:cs="Arial" w:eastAsia="Arial"/>
          <w:color w:val="auto"/>
          <w:spacing w:val="0"/>
          <w:position w:val="0"/>
          <w:sz w:val="16"/>
          <w:shd w:fill="auto" w:val="clear"/>
        </w:rPr>
        <w:t xml:space="preserve">UNIVISA </w:t>
        <w:br/>
        <w:t xml:space="preserve">natallyv48@outlook.com</w:t>
        <w:br/>
        <w:br/>
      </w:r>
      <w:r>
        <w:rPr>
          <w:rFonts w:ascii="Arial" w:hAnsi="Arial" w:cs="Arial" w:eastAsia="Arial"/>
          <w:b/>
          <w:color w:val="auto"/>
          <w:spacing w:val="0"/>
          <w:position w:val="0"/>
          <w:sz w:val="20"/>
          <w:shd w:fill="auto" w:val="clear"/>
        </w:rPr>
        <w:t xml:space="preserve">Guilherme Moura Lima Verde</w:t>
        <w:br/>
      </w:r>
      <w:r>
        <w:rPr>
          <w:rFonts w:ascii="Arial" w:hAnsi="Arial" w:cs="Arial" w:eastAsia="Arial"/>
          <w:color w:val="auto"/>
          <w:spacing w:val="0"/>
          <w:position w:val="0"/>
          <w:sz w:val="16"/>
          <w:shd w:fill="auto" w:val="clear"/>
        </w:rPr>
        <w:t xml:space="preserve">Centro Universitário Uninovafapi</w:t>
        <w:br/>
        <w:t xml:space="preserve">guilhermemlv@hotmail.com</w:t>
        <w:br/>
        <w:br/>
      </w:r>
      <w:r>
        <w:rPr>
          <w:rFonts w:ascii="Arial" w:hAnsi="Arial" w:cs="Arial" w:eastAsia="Arial"/>
          <w:b/>
          <w:color w:val="auto"/>
          <w:spacing w:val="0"/>
          <w:position w:val="0"/>
          <w:sz w:val="20"/>
          <w:shd w:fill="auto" w:val="clear"/>
        </w:rPr>
        <w:t xml:space="preserve">Any kelry rodrigues ferreira </w:t>
        <w:br/>
      </w:r>
      <w:r>
        <w:rPr>
          <w:rFonts w:ascii="Arial" w:hAnsi="Arial" w:cs="Arial" w:eastAsia="Arial"/>
          <w:color w:val="auto"/>
          <w:spacing w:val="0"/>
          <w:position w:val="0"/>
          <w:sz w:val="16"/>
          <w:shd w:fill="auto" w:val="clear"/>
        </w:rPr>
        <w:t xml:space="preserve">faculdade Morgana Potrich</w:t>
        <w:br/>
        <w:t xml:space="preserve">any_kelry.rodrigues@hotmail.com</w:t>
        <w:br/>
        <w:br/>
      </w:r>
      <w:r>
        <w:rPr>
          <w:rFonts w:ascii="Arial" w:hAnsi="Arial" w:cs="Arial" w:eastAsia="Arial"/>
          <w:b/>
          <w:color w:val="auto"/>
          <w:spacing w:val="0"/>
          <w:position w:val="0"/>
          <w:sz w:val="20"/>
          <w:shd w:fill="auto" w:val="clear"/>
        </w:rPr>
        <w:t xml:space="preserve">Luyan Gustavo da Silva Pereira</w:t>
        <w:br/>
      </w:r>
      <w:r>
        <w:rPr>
          <w:rFonts w:ascii="Arial" w:hAnsi="Arial" w:cs="Arial" w:eastAsia="Arial"/>
          <w:color w:val="auto"/>
          <w:spacing w:val="0"/>
          <w:position w:val="0"/>
          <w:sz w:val="16"/>
          <w:shd w:fill="auto" w:val="clear"/>
        </w:rPr>
        <w:t xml:space="preserve">Universidade Nove de Julho (UNINOVE)</w:t>
        <w:br/>
        <w:t xml:space="preserve">luyan_sil@hotmail.com</w:t>
        <w:br/>
        <w:br/>
      </w:r>
      <w:r>
        <w:rPr>
          <w:rFonts w:ascii="Arial" w:hAnsi="Arial" w:cs="Arial" w:eastAsia="Arial"/>
          <w:b/>
          <w:color w:val="auto"/>
          <w:spacing w:val="0"/>
          <w:position w:val="0"/>
          <w:sz w:val="20"/>
          <w:shd w:fill="auto" w:val="clear"/>
        </w:rPr>
        <w:t xml:space="preserve">Gláucia Mateus Campos Rodrigues</w:t>
        <w:br/>
      </w:r>
      <w:r>
        <w:rPr>
          <w:rFonts w:ascii="Arial" w:hAnsi="Arial" w:cs="Arial" w:eastAsia="Arial"/>
          <w:color w:val="auto"/>
          <w:spacing w:val="0"/>
          <w:position w:val="0"/>
          <w:sz w:val="16"/>
          <w:shd w:fill="auto" w:val="clear"/>
        </w:rPr>
        <w:t xml:space="preserve">Univértix</w:t>
        <w:br/>
        <w:t xml:space="preserve">glauciamcpsimed@gmail.com</w:t>
        <w:br/>
        <w:br/>
      </w:r>
      <w:r>
        <w:rPr>
          <w:rFonts w:ascii="Arial" w:hAnsi="Arial" w:cs="Arial" w:eastAsia="Arial"/>
          <w:b/>
          <w:color w:val="auto"/>
          <w:spacing w:val="0"/>
          <w:position w:val="0"/>
          <w:sz w:val="20"/>
          <w:shd w:fill="auto" w:val="clear"/>
        </w:rPr>
        <w:t xml:space="preserve">Anna Beatriz Assis Lima</w:t>
        <w:br/>
      </w:r>
      <w:r>
        <w:rPr>
          <w:rFonts w:ascii="Arial" w:hAnsi="Arial" w:cs="Arial" w:eastAsia="Arial"/>
          <w:color w:val="auto"/>
          <w:spacing w:val="0"/>
          <w:position w:val="0"/>
          <w:sz w:val="16"/>
          <w:shd w:fill="auto" w:val="clear"/>
        </w:rPr>
        <w:t xml:space="preserve">Faculdade Morgana Potrich- FAMP</w:t>
        <w:br/>
        <w:t xml:space="preserve">annabia1908@gmail.com</w:t>
        <w:br/>
        <w:br/>
      </w:r>
      <w:r>
        <w:rPr>
          <w:rFonts w:ascii="Arial" w:hAnsi="Arial" w:cs="Arial" w:eastAsia="Arial"/>
          <w:b/>
          <w:color w:val="auto"/>
          <w:spacing w:val="0"/>
          <w:position w:val="0"/>
          <w:sz w:val="20"/>
          <w:shd w:fill="auto" w:val="clear"/>
        </w:rPr>
        <w:t xml:space="preserve">TAINAN GOMES FERREIRA</w:t>
        <w:br/>
      </w:r>
      <w:r>
        <w:rPr>
          <w:rFonts w:ascii="Arial" w:hAnsi="Arial" w:cs="Arial" w:eastAsia="Arial"/>
          <w:color w:val="auto"/>
          <w:spacing w:val="0"/>
          <w:position w:val="0"/>
          <w:sz w:val="16"/>
          <w:shd w:fill="auto" w:val="clear"/>
        </w:rPr>
        <w:t xml:space="preserve">UNINOVE</w:t>
        <w:br/>
        <w:t xml:space="preserve">tainanferreira@uni9.edu.br</w:t>
        <w:br/>
        <w:br/>
      </w:r>
      <w:r>
        <w:rPr>
          <w:rFonts w:ascii="Arial" w:hAnsi="Arial" w:cs="Arial" w:eastAsia="Arial"/>
          <w:b/>
          <w:color w:val="auto"/>
          <w:spacing w:val="0"/>
          <w:position w:val="0"/>
          <w:sz w:val="20"/>
          <w:shd w:fill="auto" w:val="clear"/>
        </w:rPr>
        <w:t xml:space="preserve">Kamilla Villa Brocca</w:t>
        <w:br/>
      </w:r>
      <w:r>
        <w:rPr>
          <w:rFonts w:ascii="Arial" w:hAnsi="Arial" w:cs="Arial" w:eastAsia="Arial"/>
          <w:color w:val="auto"/>
          <w:spacing w:val="0"/>
          <w:position w:val="0"/>
          <w:sz w:val="16"/>
          <w:shd w:fill="auto" w:val="clear"/>
        </w:rPr>
        <w:t xml:space="preserve">Universidade Nove de Julho (UNINOVE)</w:t>
        <w:br/>
        <w:t xml:space="preserve">broccakamilla@gmail.com</w:t>
        <w:br/>
        <w:br/>
      </w:r>
      <w:r>
        <w:rPr>
          <w:rFonts w:ascii="Arial" w:hAnsi="Arial" w:cs="Arial" w:eastAsia="Arial"/>
          <w:b/>
          <w:color w:val="auto"/>
          <w:spacing w:val="0"/>
          <w:position w:val="0"/>
          <w:sz w:val="20"/>
          <w:shd w:fill="auto" w:val="clear"/>
        </w:rPr>
        <w:t xml:space="preserve">Rita de Cassia de Azevedo do Nascimento</w:t>
        <w:br/>
      </w:r>
      <w:r>
        <w:rPr>
          <w:rFonts w:ascii="Arial" w:hAnsi="Arial" w:cs="Arial" w:eastAsia="Arial"/>
          <w:color w:val="auto"/>
          <w:spacing w:val="0"/>
          <w:position w:val="0"/>
          <w:sz w:val="16"/>
          <w:shd w:fill="auto" w:val="clear"/>
        </w:rPr>
        <w:t xml:space="preserve">Faculdade Santa Luzia</w:t>
        <w:br/>
        <w:t xml:space="preserve">cassiaazevedo3015@gmail.com</w:t>
        <w:br/>
        <w:br/>
      </w:r>
      <w:r>
        <w:rPr>
          <w:rFonts w:ascii="Arial" w:hAnsi="Arial" w:cs="Arial" w:eastAsia="Arial"/>
          <w:b/>
          <w:color w:val="auto"/>
          <w:spacing w:val="0"/>
          <w:position w:val="0"/>
          <w:sz w:val="20"/>
          <w:shd w:fill="auto" w:val="clear"/>
        </w:rPr>
        <w:t xml:space="preserve">Joel Leonardo procopio duarte</w:t>
        <w:br/>
      </w:r>
      <w:r>
        <w:rPr>
          <w:rFonts w:ascii="Arial" w:hAnsi="Arial" w:cs="Arial" w:eastAsia="Arial"/>
          <w:color w:val="auto"/>
          <w:spacing w:val="0"/>
          <w:position w:val="0"/>
          <w:sz w:val="16"/>
          <w:shd w:fill="auto" w:val="clear"/>
        </w:rPr>
        <w:t xml:space="preserve">FAMP</w:t>
        <w:br/>
        <w:t xml:space="preserve"> leonardojds55@gmail.com</w:t>
        <w:br/>
        <w:br/>
      </w:r>
      <w:r>
        <w:rPr>
          <w:rFonts w:ascii="Arial" w:hAnsi="Arial" w:cs="Arial" w:eastAsia="Arial"/>
          <w:b/>
          <w:color w:val="auto"/>
          <w:spacing w:val="0"/>
          <w:position w:val="0"/>
          <w:sz w:val="20"/>
          <w:shd w:fill="auto" w:val="clear"/>
        </w:rPr>
        <w:t xml:space="preserve">Valdiana Gomes Rolim Albuquerque </w:t>
        <w:br/>
      </w:r>
      <w:r>
        <w:rPr>
          <w:rFonts w:ascii="Arial" w:hAnsi="Arial" w:cs="Arial" w:eastAsia="Arial"/>
          <w:color w:val="auto"/>
          <w:spacing w:val="0"/>
          <w:position w:val="0"/>
          <w:sz w:val="16"/>
          <w:shd w:fill="auto" w:val="clear"/>
        </w:rPr>
        <w:t xml:space="preserve">Faculdade Santa Luzia</w:t>
        <w:br/>
        <w:t xml:space="preserve">vgrrolim@gmail.com </w:t>
        <w:br/>
        <w:br/>
      </w:r>
      <w:r>
        <w:rPr>
          <w:rFonts w:ascii="Arial" w:hAnsi="Arial" w:cs="Arial" w:eastAsia="Arial"/>
          <w:b/>
          <w:color w:val="auto"/>
          <w:spacing w:val="0"/>
          <w:position w:val="0"/>
          <w:sz w:val="20"/>
          <w:shd w:fill="auto" w:val="clear"/>
        </w:rPr>
        <w:t xml:space="preserve">Alerrandro Guimarães Silva</w:t>
        <w:br/>
      </w:r>
      <w:r>
        <w:rPr>
          <w:rFonts w:ascii="Arial" w:hAnsi="Arial" w:cs="Arial" w:eastAsia="Arial"/>
          <w:color w:val="auto"/>
          <w:spacing w:val="0"/>
          <w:position w:val="0"/>
          <w:sz w:val="16"/>
          <w:shd w:fill="auto" w:val="clear"/>
        </w:rPr>
        <w:t xml:space="preserve">Faculdade Santa Luzia</w:t>
        <w:br/>
        <w:t xml:space="preserve">alerrandrogsilva@hotmail.com</w:t>
        <w:br/>
        <w:br/>
      </w:r>
      <w:r>
        <w:rPr>
          <w:rFonts w:ascii="Arial" w:hAnsi="Arial" w:cs="Arial" w:eastAsia="Arial"/>
          <w:b/>
          <w:color w:val="auto"/>
          <w:spacing w:val="0"/>
          <w:position w:val="0"/>
          <w:sz w:val="20"/>
          <w:shd w:fill="auto" w:val="clear"/>
        </w:rPr>
        <w:t xml:space="preserve">Mateus Provete de Andrade</w:t>
        <w:br/>
      </w:r>
      <w:r>
        <w:rPr>
          <w:rFonts w:ascii="Arial" w:hAnsi="Arial" w:cs="Arial" w:eastAsia="Arial"/>
          <w:color w:val="auto"/>
          <w:spacing w:val="0"/>
          <w:position w:val="0"/>
          <w:sz w:val="16"/>
          <w:shd w:fill="auto" w:val="clear"/>
        </w:rPr>
        <w:t xml:space="preserve">Faculdade Morgana Potrich-FAMP</w:t>
        <w:br/>
        <w:t xml:space="preserve">mateusprovete@outlook.com.br</w:t>
        <w:br/>
        <w:br/>
      </w:r>
    </w:p>
    <w:p>
      <w:pPr>
        <w:spacing w:before="0" w:after="0" w:line="240"/>
        <w:ind w:right="0" w:left="102"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2"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RESUMO</w:t>
      </w:r>
    </w:p>
    <w:p>
      <w:pPr>
        <w:spacing w:before="0" w:after="0" w:line="240"/>
        <w:ind w:right="116"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Transplante cardíaco é o ato de substituir um coração por outro advindo de um doador apto, sendo considerado o padrão ouro para tratar Insuficiência cardíaca (IC) terminal refratária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terapia.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possível,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alguns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critérios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consideração: confirmação de morte encefálica, esclarecimento da causa da morte e possíveis comorbidades do doador, compatibilidade ABO e tamanho compatível. Além disso,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complexidade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complicações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 e no pós-operatório. Ademais, atualmente tem havido um desequilíbrio entre o número de doadores e receptores do órgão, pelo aumento da incidência de IC e conseguinte aumento da demanda de transplantes. Desta forma, é importante o melhor entendimento da IC, síndrome clínica normalmente desencadeada por patologia crônica, como hipertensão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arterial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sistêmica,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aguda,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infarto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agudo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miocárdio.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IC possui curso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imprevisível, algumas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 abruptos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outras evoluem sutilmente. Dentre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manifestações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IC</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vale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mencionar: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fadiga,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intolerância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exercício, dispneia,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peso não intencional, congestão pulmonar,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edema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periférico,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piora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 função renal, hipotensão, dentre outros. Como tem curso imprevisível, para o correto diagnóstico deve-se fazer, inicialmente, avaliação clínica minuciosa; em seguida, faz-se 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peptídeo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natriuréticos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ecocardiograma.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importantes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diagnóstico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fração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ejeção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ventrículo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esquerdo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(FEVE),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ressonância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magnética cardiovascular, tomografia computadorizada e teste genético para detectar cardiomiopatias hereditárias. Por fim, e não menos importante, pesquisas têm comprovado que a prática de atividade física promove benefícios à recuperação pós- operatória, enquanto que condições clínicas não tratadas repercutem em transtornos mentais, os quais influenciam negativamente na recuperação pós-operatória. Perante o exposto, entende-se o porquê de estar havendo o aumento de estudos a respeito do transplante cardíaco e da atenção dada a ele em âmbito mundial.</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0"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Palavras-chave:</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transplante,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manifestações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clínicas,</w:t>
      </w:r>
      <w:r>
        <w:rPr>
          <w:rFonts w:ascii="Times New Roman" w:hAnsi="Times New Roman" w:cs="Times New Roman" w:eastAsia="Times New Roman"/>
          <w:color w:val="auto"/>
          <w:spacing w:val="-3"/>
          <w:position w:val="0"/>
          <w:sz w:val="24"/>
          <w:shd w:fill="auto" w:val="clear"/>
        </w:rPr>
        <w:t xml:space="preserve">cirurgia, cardiaco</w:t>
      </w:r>
      <w:r>
        <w:rPr>
          <w:rFonts w:ascii="Times New Roman" w:hAnsi="Times New Roman" w:cs="Times New Roman" w:eastAsia="Times New Roman"/>
          <w:color w:val="auto"/>
          <w:spacing w:val="-2"/>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8"/>
        </w:numPr>
        <w:tabs>
          <w:tab w:val="left" w:pos="282" w:leader="none"/>
        </w:tabs>
        <w:spacing w:before="0" w:after="0" w:line="240"/>
        <w:ind w:right="0" w:left="282" w:hanging="18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INTRODUÇÃO</w:t>
      </w:r>
    </w:p>
    <w:p>
      <w:pPr>
        <w:spacing w:before="139" w:after="0" w:line="360"/>
        <w:ind w:right="120"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transplante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 trata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substituição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 doador apto. Vale lembrar que o transplante é realizado quando o órgão pretendido já obedeceu a alguns critérios, como: confirmação de morte encefálica, esclarecimento da causa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possíveis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comorbidadades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doador,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verificação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consentimento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doação, compatibilidade ABO, mínimas restrições geográficas, tamanho compatível e outros (TATUM et al., 2022).</w:t>
      </w:r>
    </w:p>
    <w:p>
      <w:pPr>
        <w:spacing w:before="0" w:after="0" w:line="360"/>
        <w:ind w:right="114"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Outrossim, a indicação da cirurgia é considerada em pacientes com IC (insuficiência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avançada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já</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há</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resposta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medicamentosa,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acordo com diretrizes nacionais e internacionais, sempre contemplando a análise do risco- benefício individual do paciente (BACAL et al., 2018). Atualmente, o transplante cardíaco é padrão-ouro como tratamento para pacientes que sofrem de IC terminal refratária à terapia médica máxima. Esse fato corrobora com estudos randomizados que demonstram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sobrevida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transplantados,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comparados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aqueles com uso apenas de medicação (GUIDETTI et al., 2021).</w:t>
      </w:r>
    </w:p>
    <w:p>
      <w:pPr>
        <w:spacing w:before="0" w:after="0" w:line="360"/>
        <w:ind w:right="118"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Hodiernamente,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há</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número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incidência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anual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pessoas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IC</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aumenta por década de idade, independentemente do sexo e raça. Houve avanços nos tratamentos dessa patologia, no entanto a ampliação da doença avançada não foi acompanhada proporcionalmente no número de corações de doadores (GUGLIN et al., 2020). Esse fato tem consequências graves para aqueles que necessitam de transplante, pois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desequilíbrio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doadores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receptores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gerou</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listas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espera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enormes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 vez, causou taxas de mortalidade expressivas (TATUM et al., 2022).</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80" w:after="0" w:line="360"/>
        <w:ind w:right="122"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Ademais, o transplante de coração se trata de uma intervenção de alta complexidade, pois há grandes riscos de complicações durante e pós operação. A disfunção precoce do enxerto, a rejeição do enxerto, quadros infecciosos, lesões renais agudas e crônicas exemplificam essas complicações. Diante disso, ainda há hoje um grande número de morbidade e mortalidade relacionados ao não sucesso cirúrgico (KOUREK et al., 2021).</w:t>
      </w:r>
    </w:p>
    <w:p>
      <w:pPr>
        <w:spacing w:before="0" w:after="0" w:line="360"/>
        <w:ind w:right="117"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Apesar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complicações,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transplante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escolha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terapêutica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definitiva, pois naqueles casos em que há sucesso, ela tem a capacidade de promover uma redução da mortalidade e melhoria da qualidade de vida (GUGLIN et al., 2020). Sendo assim, é necessário estudos que minimizem tanto os descartes de possíveis doadores quanto às complicações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cirúrgicas para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 que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salva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seja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ainda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eficaz (TATUM et al., 2022).</w:t>
      </w:r>
    </w:p>
    <w:p>
      <w:pPr>
        <w:spacing w:before="138"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6"/>
        </w:numPr>
        <w:tabs>
          <w:tab w:val="left" w:pos="282" w:leader="none"/>
        </w:tabs>
        <w:spacing w:before="0" w:after="0" w:line="240"/>
        <w:ind w:right="0" w:left="282"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OBJETIVO</w:t>
      </w:r>
    </w:p>
    <w:p>
      <w:pPr>
        <w:spacing w:before="139" w:after="0" w:line="360"/>
        <w:ind w:right="120"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objetivo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reunir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informações,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mediante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análise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recentes, acerca dos aspectos inerentes ao transplante cardíaco, sobretudo a suas manifestações clínicas e manejo cirúrgico.</w:t>
      </w:r>
    </w:p>
    <w:p>
      <w:pPr>
        <w:spacing w:before="138"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9"/>
        </w:numPr>
        <w:tabs>
          <w:tab w:val="left" w:pos="282" w:leader="none"/>
        </w:tabs>
        <w:spacing w:before="1" w:after="0" w:line="240"/>
        <w:ind w:right="0" w:left="282"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METODOLOGIA</w:t>
      </w:r>
    </w:p>
    <w:p>
      <w:pPr>
        <w:spacing w:before="136" w:after="0" w:line="360"/>
        <w:ind w:right="118"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Realizou-se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pesquisa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científicos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indexados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bases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Latindex 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MEDLINE/PubMed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2022.</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descritores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utilizados,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segundo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“MeSH</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cardiac</w:t>
      </w:r>
      <w:r>
        <w:rPr>
          <w:rFonts w:ascii="Times New Roman" w:hAnsi="Times New Roman" w:cs="Times New Roman" w:eastAsia="Times New Roman"/>
          <w:i/>
          <w:color w:val="auto"/>
          <w:spacing w:val="-4"/>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transplantation,</w:t>
      </w:r>
      <w:r>
        <w:rPr>
          <w:rFonts w:ascii="Times New Roman" w:hAnsi="Times New Roman" w:cs="Times New Roman" w:eastAsia="Times New Roman"/>
          <w:i/>
          <w:color w:val="auto"/>
          <w:spacing w:val="-3"/>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clinical</w:t>
      </w:r>
      <w:r>
        <w:rPr>
          <w:rFonts w:ascii="Times New Roman" w:hAnsi="Times New Roman" w:cs="Times New Roman" w:eastAsia="Times New Roman"/>
          <w:i/>
          <w:color w:val="auto"/>
          <w:spacing w:val="-3"/>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surgery.</w:t>
      </w:r>
      <w:r>
        <w:rPr>
          <w:rFonts w:ascii="Times New Roman" w:hAnsi="Times New Roman" w:cs="Times New Roman" w:eastAsia="Times New Roman"/>
          <w:i/>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encontrados 958</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segundo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critérios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inclusão: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publicados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últimos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textos completos,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gratuitos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tipo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Papers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pagos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data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publicação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período superior aos últimos 5 anos foram excluídos da análise, selecionando-se 13 artigos pertinentes à discussão.</w:t>
      </w:r>
    </w:p>
    <w:p>
      <w:pPr>
        <w:spacing w:before="139"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2"/>
        </w:numPr>
        <w:tabs>
          <w:tab w:val="left" w:pos="282" w:leader="none"/>
        </w:tabs>
        <w:spacing w:before="0" w:after="0" w:line="240"/>
        <w:ind w:right="0" w:left="282"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EPIDEMIOLOGIA</w:t>
      </w:r>
    </w:p>
    <w:p>
      <w:pPr>
        <w:spacing w:before="139" w:after="0" w:line="360"/>
        <w:ind w:right="118"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Primeiramente,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importante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destacar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insuficiência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(IC)</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atinge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 menos 26 milhões de pessoas em todo o mundo (K</w:t>
      </w:r>
      <w:r>
        <w:rPr>
          <w:rFonts w:ascii="Times New Roman" w:hAnsi="Times New Roman" w:cs="Times New Roman" w:eastAsia="Times New Roman"/>
          <w:color w:val="auto"/>
          <w:spacing w:val="0"/>
          <w:position w:val="0"/>
          <w:sz w:val="24"/>
          <w:shd w:fill="auto" w:val="clear"/>
        </w:rPr>
        <w:t xml:space="preserve">ĘPIŃSKA; ADAMCZAK; KAŁUŻNA-OLEKSY,</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ó</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Estados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Unidos,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6,2</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milhões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indivíduos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adultos são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afetados,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taxa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incidência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aproximada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21</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1.000</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habitantes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após 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65</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Segundo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projeções,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quadro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ainda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tende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piorar,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já</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estimativas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mostram</w:t>
      </w:r>
      <w:r>
        <w:rPr>
          <w:rFonts w:ascii="Times New Roman" w:hAnsi="Times New Roman" w:cs="Times New Roman" w:eastAsia="Times New Roman"/>
          <w:color w:val="auto"/>
          <w:spacing w:val="0"/>
          <w:position w:val="0"/>
          <w:sz w:val="24"/>
          <w:shd w:fill="auto" w:val="clear"/>
        </w:rPr>
        <w:t xml:space="preserve"> que até 2030, mais de 8 milhões de pessoas com mais de 18 anos serão afetadas no país (TRUBY; ROGERS, 2020).</w:t>
      </w:r>
    </w:p>
    <w:p>
      <w:pPr>
        <w:spacing w:before="0" w:after="0" w:line="360"/>
        <w:ind w:right="117"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Dentro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grupo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heterogêneo,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IC</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avançada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possui</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papel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relevante,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já</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sua definição completa é obrigatória para aplicação apropriada da terapêutica, como transplante cardíaco ou dispositivos de suporte circulatório mecânico (MCS) de longo prazo (CRESPO-LEIRO et al., 2018). Os dados epidemiológicos de prevalência e de incidência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referentes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avançada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ainda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dissonantes,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porém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estima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essa moléstia representa cerca de 1% a 10% da população geral de IC. Tal informação é explicada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 ao aumento da carga global de IC, do melhor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aumento da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sobrevida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(CRESPO-LEIRO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TRUBY;</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ROGERS,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 Somente no ano de 2019, por exemplo, mais de 3.000 pessoas foram tratadas com um dispositivo</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assistência</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ventricular</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esquerda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(LVAD)</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Estados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Unidos,</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de</w:t>
      </w:r>
      <w:r>
        <w:rPr>
          <w:rFonts w:ascii="Times New Roman" w:hAnsi="Times New Roman" w:cs="Times New Roman" w:eastAsia="Times New Roman"/>
          <w:color w:val="auto"/>
          <w:spacing w:val="0"/>
          <w:position w:val="0"/>
          <w:sz w:val="24"/>
          <w:shd w:fill="auto" w:val="clear"/>
        </w:rPr>
        <w:t xml:space="preserve"> 3.000 pacientes receberam transplantes cardíacos no mesmo país, com mais 3.500 pacientes aguardando transplante (TRUBY; ROGERS, 2020).</w:t>
      </w:r>
    </w:p>
    <w:p>
      <w:pPr>
        <w:spacing w:before="132"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6"/>
        </w:numPr>
        <w:tabs>
          <w:tab w:val="left" w:pos="282" w:leader="none"/>
        </w:tabs>
        <w:spacing w:before="0" w:after="0" w:line="240"/>
        <w:ind w:right="0" w:left="282"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AVALIAÇÃO</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DO DOADOR</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 CORAÇÃO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PARA </w:t>
      </w:r>
      <w:r>
        <w:rPr>
          <w:rFonts w:ascii="Times New Roman" w:hAnsi="Times New Roman" w:cs="Times New Roman" w:eastAsia="Times New Roman"/>
          <w:b/>
          <w:color w:val="auto"/>
          <w:spacing w:val="-2"/>
          <w:position w:val="0"/>
          <w:sz w:val="24"/>
          <w:shd w:fill="auto" w:val="clear"/>
        </w:rPr>
        <w:t xml:space="preserve">TRANSPLANTE</w:t>
      </w:r>
    </w:p>
    <w:p>
      <w:pPr>
        <w:spacing w:before="140" w:after="0" w:line="360"/>
        <w:ind w:right="122"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primeira análise,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determina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funcionalidade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enxerto,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evolução do receptor, é o estudo minucioso quanto ao coração que será doado. Desse modo, diversas características podem influenciar no sucesso ou não do transplante e sobrevida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 receptor,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desde a verificação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comorbidades,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 morte até questões de logística, dentre outros (BRIASOULIS; MASSE, 2021).</w:t>
      </w:r>
    </w:p>
    <w:p>
      <w:pPr>
        <w:spacing w:before="0" w:after="0" w:line="360"/>
        <w:ind w:right="120"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princípio, deve ser realizada a avaliação do paciente que vai receber o órgão iniciando-se pelas suas variáveis demográficas. Elas incluem grupamento sanguíneo, idade, altura e peso do receptor, sendo que é primordial a obtenção de medidas precisas para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haver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correspondência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adequada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massa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prevista.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 uma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anamnese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verificar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patologias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congênitas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adquiridas. Por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testada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sensibilização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imune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receptor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partir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cPRA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(painel de reatividade de anticorpos), da imunofluorescência e também pela triagem de anticorpos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específicos,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sensibilizados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ainda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prova cruzada prospectiva (BRIASOULIS; MASSE, 2021).</w:t>
      </w:r>
    </w:p>
    <w:p>
      <w:pPr>
        <w:spacing w:before="1" w:after="0" w:line="360"/>
        <w:ind w:right="115"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quesito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conta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proximidade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geográfica.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Ela impacta diretamente no tempo de isquemia do órgão, o que reflete no desempenho do enxerto.</w:t>
      </w:r>
      <w:r>
        <w:rPr>
          <w:rFonts w:ascii="Times New Roman" w:hAnsi="Times New Roman" w:cs="Times New Roman" w:eastAsia="Times New Roman"/>
          <w:color w:val="auto"/>
          <w:spacing w:val="4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tempo</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isquemia</w:t>
      </w:r>
      <w:r>
        <w:rPr>
          <w:rFonts w:ascii="Times New Roman" w:hAnsi="Times New Roman" w:cs="Times New Roman" w:eastAsia="Times New Roman"/>
          <w:color w:val="auto"/>
          <w:spacing w:val="4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superior</w:t>
      </w:r>
      <w:r>
        <w:rPr>
          <w:rFonts w:ascii="Times New Roman" w:hAnsi="Times New Roman" w:cs="Times New Roman" w:eastAsia="Times New Roman"/>
          <w:color w:val="auto"/>
          <w:spacing w:val="4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90</w:t>
      </w:r>
      <w:r>
        <w:rPr>
          <w:rFonts w:ascii="Times New Roman" w:hAnsi="Times New Roman" w:cs="Times New Roman" w:eastAsia="Times New Roman"/>
          <w:color w:val="auto"/>
          <w:spacing w:val="4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minutos</w:t>
      </w:r>
      <w:r>
        <w:rPr>
          <w:rFonts w:ascii="Times New Roman" w:hAnsi="Times New Roman" w:cs="Times New Roman" w:eastAsia="Times New Roman"/>
          <w:color w:val="auto"/>
          <w:spacing w:val="4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relacionado</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danos</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no</w:t>
      </w:r>
      <w:r>
        <w:rPr>
          <w:rFonts w:ascii="Times New Roman" w:hAnsi="Times New Roman" w:cs="Times New Roman" w:eastAsia="Times New Roman"/>
          <w:color w:val="auto"/>
          <w:spacing w:val="0"/>
          <w:position w:val="0"/>
          <w:sz w:val="24"/>
          <w:shd w:fill="auto" w:val="clear"/>
        </w:rPr>
        <w:t xml:space="preserve"> miocárdio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vasculopatia 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enxerto,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afeta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negativamente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sobrevida 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receptor. Essa relação é também influenciada pela idade do doador e riscos adicionais. Logo, em doadores jovens sem comorbidades e com boa função cardíaca esse tempo pode ser excedido para até 4 horas (BRIASOULIS; MASSE, 2021).</w:t>
      </w:r>
    </w:p>
    <w:p>
      <w:pPr>
        <w:spacing w:before="0" w:after="0" w:line="360"/>
        <w:ind w:right="121"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Outro ponto a se destacar é referente à idade, uma vez que há uma relação inversamente proporcional entre a idade do doador e a sobrevida do receptor, por tanto, indivíduos numa faixa etária entre 18 e 40 anos fornecem aloenxertos passíveis de apresentar um desempenho favorável e uma sobrevida a longo prazo maior do que a de doadores acima desta faixa. Estes, em contrapartida, podem elevar fatores de risco para morbidades pós-transplante, aumentando as chances até mesmo da necessidade de um retransplante (BRIASOULIS; MASSE, 2021).</w:t>
      </w:r>
    </w:p>
    <w:p>
      <w:pPr>
        <w:spacing w:before="2" w:after="0" w:line="360"/>
        <w:ind w:right="121"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fala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doadores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após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encefálica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 os principais contribuintes. Quanto aos que sofreram morte encefálica, para aqueles que tiveram hemorragia intracraniana é preciso que haja uma investigação referente às patologias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cardiovasculares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ocultas.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Já</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sofreram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ruptura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aneurisma, porém possuem função cardíaca apropriada, podem ser considerados candidatos em potencial. Os que sofrem hemorragia cerebral associada à hipertensão grave com hipertrofia ventricular são de risco mais elevado 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disfunção primária do enxerto. No caso de pacientes que faleceram em virtude da intoxicação por venenos e drogas é necessária uma avaliação minuciosa das implicações clínicas (BRIASOULIS; MASSE, </w:t>
      </w:r>
      <w:r>
        <w:rPr>
          <w:rFonts w:ascii="Times New Roman" w:hAnsi="Times New Roman" w:cs="Times New Roman" w:eastAsia="Times New Roman"/>
          <w:color w:val="auto"/>
          <w:spacing w:val="-2"/>
          <w:position w:val="0"/>
          <w:sz w:val="24"/>
          <w:shd w:fill="auto" w:val="clear"/>
        </w:rPr>
        <w:t xml:space="preserve">2021).</w:t>
      </w:r>
    </w:p>
    <w:p>
      <w:pPr>
        <w:spacing w:before="0" w:after="0" w:line="360"/>
        <w:ind w:right="121"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analisar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histórico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doador,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hipertensão,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tabagismo,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cocaína, DPOC e histórico de parada cardíaca são relevantes para determinar a funcionalidade do enxerto e como pode afetar na sobrevida do receptor. Quanto aos doadores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diabéticos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selecionados,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 apresentam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adicional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mortalidade pós-transplante e disfunção do enxerto. Já aqueles com câncer ativo ou recentemente tratado são evitados. A utilização de enxertos de doadores com doença arterial coronariana grave é rejeitada na maioria das vezes (BRIASOULIS; MASSE, 2021).</w:t>
      </w:r>
    </w:p>
    <w:p>
      <w:pPr>
        <w:spacing w:before="0" w:after="0" w:line="360"/>
        <w:ind w:right="121"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Outro ponto relevante segundo Briasoulis e Masse (2021) é a necessidade de se diminuir as discrepâncias morfológicas entre doador e receptor que possam interferir de forma negativa na função cardíaca. Pois, caso haja incompetência cronotrópica precoce, para que a perfusão sistêmica seja sustentada será preciso um aumento do fluxo de trabalho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meio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volume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sistólico,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levaria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necessidade</w:t>
      </w:r>
      <w:r>
        <w:rPr>
          <w:rFonts w:ascii="Times New Roman" w:hAnsi="Times New Roman" w:cs="Times New Roman" w:eastAsia="Times New Roman"/>
          <w:color w:val="auto"/>
          <w:spacing w:val="0"/>
          <w:position w:val="0"/>
          <w:sz w:val="24"/>
          <w:shd w:fill="auto" w:val="clear"/>
        </w:rPr>
        <w:t xml:space="preserve"> de uma adaptação hemodinâmica. A determinação se dá, por tanto, pela massa cardíaca prevista (predicted heart mass, PHM) e pela orientação das diretrizes da ISHLT (International Society for Heart and Lung Transplantation) que indicam a utilização de um doador do sexo feminino cujo peso corporal não seja inferior a 20% do receptor e caso o doador seja do sexo masculino que não seja inferior a 30%. A tolerância para superdimensionamento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entanto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isento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atribuído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 aumento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mortalidade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fisiologia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restritiva.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índice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cardiotorácico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auxiliar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 determinação dos limites do superdimensionamento (BRIASOULIS; MASSE, 2021).</w:t>
      </w:r>
    </w:p>
    <w:p>
      <w:pPr>
        <w:spacing w:before="0" w:after="0" w:line="360"/>
        <w:ind w:right="119"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Ademais, os doadores precisam ser examinados quanto a presença de infecções, pois podem elevar o risco de morbidade e mortalidade a cerca de 30%. É indicado pela ISHLT</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seja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feita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inspeção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excluir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endocardite,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indicam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haja a exclusão de disfunção miocárdica induzida por sepse e de doadores cujo falecimento tenha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ocorrido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96</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horas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após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admissão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hospital.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 que apresentem hemoculturas positivas para fungos ou culturas bacterianas multirresistentes,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candidatos com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febril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diagnosticada, encefalite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 paralisia facial de etiologia desconhecida. São contra indicações absolutas aqueles doadores infectados pelo HIV, vírus linfotrópico para células T humanas (HTLV-I), infecções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virais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sistêmicas,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príons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meningoencefalite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herpética. 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exigido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triagem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doadores referente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sífilis, hepatite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 HIV,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citomegalovírus e vírus Epstein-Barr. Quanto ao COVID-19, o risco do desenvolvimento da doença a partir de um doador infectado pelo vírus SARS-CoV-2 é desconhecido (BRIASOULIS; MASSE, 2021).</w:t>
      </w:r>
    </w:p>
    <w:p>
      <w:pPr>
        <w:spacing w:before="2" w:after="0" w:line="360"/>
        <w:ind w:right="118"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 fim, quanto às análises laboratoriais, elas são utilizadas para a exclusão de possíveis danos nos órgãos e de lesão miocárdica. Os marcadores mais utilizados são os biomarcadores Troponina e CPK-MB. Além disso, os níveis de peptídeo natriurético do tipo B são verificados após o transplante para indicar se houve ou não uma redução do débito cardíaco após a cirurgia. Marcadores inflamatórios como a pró-calcitonina, fator de necrose tumoral alfa e as interleucinas 1 e 6 também devem ser analisados. Já o ecocardiograma transitório completo permite a avaliação do desempenho funcional do enxerto sendo considerados elegíveis aqueles com fração de ejeção acima de 50%. São realizados também o cateterismo cardíaco e a angiografia (BRIASOULIS; MASSE, </w:t>
      </w:r>
      <w:r>
        <w:rPr>
          <w:rFonts w:ascii="Times New Roman" w:hAnsi="Times New Roman" w:cs="Times New Roman" w:eastAsia="Times New Roman"/>
          <w:color w:val="auto"/>
          <w:spacing w:val="-2"/>
          <w:position w:val="0"/>
          <w:sz w:val="24"/>
          <w:shd w:fill="auto" w:val="clear"/>
        </w:rPr>
        <w:t xml:space="preserve">2021).</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36"/>
        </w:numPr>
        <w:tabs>
          <w:tab w:val="left" w:pos="282" w:leader="none"/>
        </w:tabs>
        <w:spacing w:before="80" w:after="0" w:line="240"/>
        <w:ind w:right="0" w:left="282"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FISIOPATOLOGIA</w:t>
      </w:r>
    </w:p>
    <w:p>
      <w:pPr>
        <w:spacing w:before="139" w:after="0" w:line="360"/>
        <w:ind w:right="115"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primeiro plano, o desenvolvimento de insuficiência cardíaca normalmente é desencadeado por uma patologia de natureza crônica como por exemplo a hipertensão arterial sistêmica, ou uma doença aguda como o infarto agudo do miocárdio. Quando o dano ao miocárdio ocorre na forma de um estresse parietal exagerado, alteração de pressões de enchimento e/ou perda de músculo cardíaco, uma série de eventos - como o sistema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renina-angiotensina-aldosterona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ativados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mecanismos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neuro-humorais,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fim de compensar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redução do débito cardíaco (DC)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desse coração danificado. Porém não há uma boa adaptação e o sistema cardiovascular acaba sobrecarregado (CLAUSELL;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FAGANELLO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síndrome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 sintomas como dispneia e fadiga que podem ser acompanhados por ingurgitamento jugular, fervores pulmonares e edemas periféricos ocasionados por uma alteração cardíaca estrutural e/ou funcional que levam à diminuição do DC e/ou elevação das pressões intracardíacas em repouso ou esforço (LOPES FERNANDES et al., 2019; CARVALHO; FERNANDES ET AL. 2020).</w:t>
      </w:r>
    </w:p>
    <w:p>
      <w:pPr>
        <w:spacing w:before="138"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9"/>
        </w:numPr>
        <w:tabs>
          <w:tab w:val="left" w:pos="282" w:leader="none"/>
        </w:tabs>
        <w:spacing w:before="0" w:after="0" w:line="240"/>
        <w:ind w:right="0" w:left="282"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MANIFESTAÇÕES</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CLÍNICAS</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4"/>
          <w:position w:val="0"/>
          <w:sz w:val="24"/>
          <w:shd w:fill="auto" w:val="clear"/>
        </w:rPr>
        <w:t xml:space="preserve">CAIO</w:t>
      </w:r>
    </w:p>
    <w:p>
      <w:pPr>
        <w:spacing w:before="137" w:after="0" w:line="360"/>
        <w:ind w:right="121"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Insuficiência Cardíaca Avançada (ICA), trata-se da principal indicação para a cirurgia de transplante cardíaco, sendo indicado o procedimento a partir da falta de resposta medicamentosa e após as análises de risco benefício do indivíduo (BACAL et al., 2018).</w:t>
      </w:r>
    </w:p>
    <w:p>
      <w:pPr>
        <w:spacing w:before="0" w:after="0" w:line="360"/>
        <w:ind w:right="120"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ICA pode ser definida como uma síndrome clínica na qual apresenta sintomas persistentes ou progressivos e disfunção ventricular, apesar do tratamento médico baseado por diretrizes sendo instituído. Vale lembrar a existência de diferentes sistemas de classificação a fim de determinar o diagnóstico de IC e o paciente com a doença avançada. Dentre elas está a New York Heart Association (NYHA) no qual a classe funcional IV na qual determina o indivíduo com sintomas em repouso e com qualquer atividade física. Enquanto no American College of Cardiology e a American Heart </w:t>
      </w:r>
      <w:r>
        <w:rPr>
          <w:rFonts w:ascii="Times New Roman" w:hAnsi="Times New Roman" w:cs="Times New Roman" w:eastAsia="Times New Roman"/>
          <w:color w:val="auto"/>
          <w:spacing w:val="-2"/>
          <w:position w:val="0"/>
          <w:sz w:val="24"/>
          <w:shd w:fill="auto" w:val="clear"/>
        </w:rPr>
        <w:t xml:space="preserve">Association,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descreve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os pacientes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em estágio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como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aqueles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requerem intervenções </w:t>
      </w:r>
      <w:r>
        <w:rPr>
          <w:rFonts w:ascii="Times New Roman" w:hAnsi="Times New Roman" w:cs="Times New Roman" w:eastAsia="Times New Roman"/>
          <w:color w:val="auto"/>
          <w:spacing w:val="0"/>
          <w:position w:val="0"/>
          <w:sz w:val="24"/>
          <w:shd w:fill="auto" w:val="clear"/>
        </w:rPr>
        <w:t xml:space="preserve">especializadas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refratários,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apesar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terapia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médica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máxima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(TRUBY; ROGERS, 2020).</w:t>
      </w:r>
    </w:p>
    <w:p>
      <w:pPr>
        <w:spacing w:before="1" w:after="0" w:line="360"/>
        <w:ind w:right="125"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Contudo, segundo uma revisão feita por Kepínska et al. (2019), pacientes com ICA</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desenvolvem</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quadro</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partir</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progressão</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IC</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apresentam</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manifestações</w:t>
      </w:r>
      <w:r>
        <w:rPr>
          <w:rFonts w:ascii="Times New Roman" w:hAnsi="Times New Roman" w:cs="Times New Roman" w:eastAsia="Times New Roman"/>
          <w:color w:val="auto"/>
          <w:spacing w:val="0"/>
          <w:position w:val="0"/>
          <w:sz w:val="24"/>
          <w:shd w:fill="auto" w:val="clear"/>
        </w:rPr>
        <w:t xml:space="preserve"> clínicas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fadiga,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intolerância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exercício,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dispneia,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intencional.</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Essa manifestação é passivel de gerar a caquexia, associada à perda de músculo e gordura, causado por alterações metabólicas; sobrecarga de volume refratário, a despeito do aumento das doses de diuréticos (K</w:t>
      </w:r>
      <w:r>
        <w:rPr>
          <w:rFonts w:ascii="Times New Roman" w:hAnsi="Times New Roman" w:cs="Times New Roman" w:eastAsia="Times New Roman"/>
          <w:color w:val="auto"/>
          <w:spacing w:val="0"/>
          <w:position w:val="0"/>
          <w:sz w:val="24"/>
          <w:shd w:fill="auto" w:val="clear"/>
        </w:rPr>
        <w:t xml:space="preserve">ĘPIŃSKA; ADAMCZAK; KAŁUŻNA-OLEKSY, </w:t>
      </w:r>
      <w:r>
        <w:rPr>
          <w:rFonts w:ascii="Times New Roman" w:hAnsi="Times New Roman" w:cs="Times New Roman" w:eastAsia="Times New Roman"/>
          <w:color w:val="auto"/>
          <w:spacing w:val="-2"/>
          <w:position w:val="0"/>
          <w:sz w:val="24"/>
          <w:shd w:fill="auto" w:val="clear"/>
        </w:rPr>
        <w:t xml:space="preserve">2019).</w:t>
      </w:r>
    </w:p>
    <w:p>
      <w:pPr>
        <w:spacing w:before="1" w:after="0" w:line="360"/>
        <w:ind w:right="119"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visível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congestão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pulmonar,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edema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periférico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elevação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jugular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pressão;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piora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renal,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manifestar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diurese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inadequada; sinais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perfusão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inadequada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hipotensão;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necessidade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reduzir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doses de inibidores da enzima conversora de angiotensina (IECA) e </w:t>
      </w:r>
      <w:r>
        <w:rPr>
          <w:rFonts w:ascii="Times New Roman" w:hAnsi="Times New Roman" w:cs="Times New Roman" w:eastAsia="Times New Roman"/>
          <w:color w:val="auto"/>
          <w:spacing w:val="0"/>
          <w:position w:val="0"/>
          <w:sz w:val="24"/>
          <w:shd w:fill="auto" w:val="clear"/>
        </w:rPr>
        <w:t xml:space="preserve">β-bloqueadores; hepatopatia congestiva, principalmente devido a les</w:t>
      </w:r>
      <w:r>
        <w:rPr>
          <w:rFonts w:ascii="Times New Roman" w:hAnsi="Times New Roman" w:cs="Times New Roman" w:eastAsia="Times New Roman"/>
          <w:color w:val="auto"/>
          <w:spacing w:val="0"/>
          <w:position w:val="0"/>
          <w:sz w:val="24"/>
          <w:shd w:fill="auto" w:val="clear"/>
        </w:rPr>
        <w:t xml:space="preserve">ão do lado direito; Já a IC, quando associada ao do lado esquerdo do coração pode apresentar manifestações clínicas de arritmias refratárias, com ou sem choques do dispositivo (K</w:t>
      </w:r>
      <w:r>
        <w:rPr>
          <w:rFonts w:ascii="Times New Roman" w:hAnsi="Times New Roman" w:cs="Times New Roman" w:eastAsia="Times New Roman"/>
          <w:color w:val="auto"/>
          <w:spacing w:val="0"/>
          <w:position w:val="0"/>
          <w:sz w:val="24"/>
          <w:shd w:fill="auto" w:val="clear"/>
        </w:rPr>
        <w:t xml:space="preserve">ĘPIŃSKA; ADAMCZAK; KAŁUŻNA-OLEKSY, 2019).</w:t>
      </w:r>
    </w:p>
    <w:p>
      <w:pPr>
        <w:spacing w:before="138"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5"/>
        </w:numPr>
        <w:tabs>
          <w:tab w:val="left" w:pos="282" w:leader="none"/>
        </w:tabs>
        <w:spacing w:before="0" w:after="0" w:line="240"/>
        <w:ind w:right="0" w:left="282" w:hanging="1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INTERVENÇÕES</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PSICOLÓGICAS</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PERIOPERATÓRIAS</w:t>
      </w:r>
    </w:p>
    <w:p>
      <w:pPr>
        <w:spacing w:before="137" w:after="0" w:line="360"/>
        <w:ind w:right="118"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Primeiramente,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transplante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muitas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vezes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 evento inesperado que pode levar à uma mudança drástica na vida do paciente e se tornando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propulsor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estresse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sofrimento,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capaz</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até</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patologias mentais. Nessa conjuntura, em condições não tratadas pode-se ter quadros clínicos de transtornos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mentais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severos,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efeitos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recuperação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pós-operatória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 Diante disso, já foi observado um aumento da frequência de comorbidades mentais em pacientes submetidos nesse tipo de procedimento cirúrgico, conforme estudo 15 a 20% dos pacientes que apresentaram a sintomatologia da Doença Cardíaca Crônica (DAC) cursaram com transtornos depressivos graves precisando, inclusive de intervenções psicológicas perioperatórias. Esse fato é relatado e discutido nas diretrizes atuais sobre transplante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implantação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dispositivos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assistência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Ventricular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(VAD), o qual postula acerca da triagem sistemática de sintomas mentais antes da cirurgia, uma vez que intervenções no ambiente perioperatórias também podem ser oferecidas (TIGGES-LIMMER; SITZER; GUMMERT, 2021).</w:t>
      </w:r>
    </w:p>
    <w:p>
      <w:pPr>
        <w:spacing w:before="1" w:after="0" w:line="360"/>
        <w:ind w:right="117"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ponto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importante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advém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abordagens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psicológicas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tratamento de doenças cardíacas que, além de auxiliarem na recuperação, possibilitam uma redução da mortalidade e morbidade pós-operatórias. À soma disso, apesar da qualidade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evidência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baixa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moderada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tais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intervenções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eficazes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possibilitar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10"/>
          <w:position w:val="0"/>
          <w:sz w:val="24"/>
          <w:shd w:fill="auto" w:val="clear"/>
        </w:rPr>
        <w:t xml:space="preserve">a</w:t>
      </w:r>
      <w:r>
        <w:rPr>
          <w:rFonts w:ascii="Times New Roman" w:hAnsi="Times New Roman" w:cs="Times New Roman" w:eastAsia="Times New Roman"/>
          <w:color w:val="auto"/>
          <w:spacing w:val="0"/>
          <w:position w:val="0"/>
          <w:sz w:val="24"/>
          <w:shd w:fill="auto" w:val="clear"/>
        </w:rPr>
        <w:t xml:space="preserve"> redução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ansiedade,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depressão,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estresse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emocional,</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consumo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analgésicos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tempo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extubação; Dentre as intervenções psicológicas observou-se intervenções multimodais e multiprofissionais, principalmente as que incorporam o tratamento medicamentoso, educação,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exercícios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terapia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psicossocial</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apresentaram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aplicabilidade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prática clínica (TIGGES-LIMMER; SITZER; GUMMERT, 2021).</w:t>
      </w:r>
    </w:p>
    <w:p>
      <w:pPr>
        <w:spacing w:before="138"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9"/>
        </w:numPr>
        <w:tabs>
          <w:tab w:val="left" w:pos="282" w:leader="none"/>
        </w:tabs>
        <w:spacing w:before="0" w:after="0" w:line="240"/>
        <w:ind w:right="0" w:left="282" w:hanging="18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TREINAMENTO</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FÍSICO</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EM</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TRANSPLANTE</w:t>
      </w:r>
      <w:r>
        <w:rPr>
          <w:rFonts w:ascii="Times New Roman" w:hAnsi="Times New Roman" w:cs="Times New Roman" w:eastAsia="Times New Roman"/>
          <w:b/>
          <w:color w:val="auto"/>
          <w:spacing w:val="-2"/>
          <w:position w:val="0"/>
          <w:sz w:val="24"/>
          <w:shd w:fill="auto" w:val="clear"/>
        </w:rPr>
        <w:t xml:space="preserve"> CARDÍACO</w:t>
      </w:r>
    </w:p>
    <w:p>
      <w:pPr>
        <w:spacing w:before="139" w:after="0" w:line="360"/>
        <w:ind w:right="117"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Transplante Cardíaco é definido como o tratamento de padrão-ouro da Insuficiência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(IC)</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Terminal,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contudo,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apesar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aperfeiçoamento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técnicas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tecnologias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envolvidas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progressiva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redução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mortalidade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morbidades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operação,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transplante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ainda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continua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difícil e com efeitos pós-operatórios complexos tanto em curto e longo prazo. Além dos riscos de complicações envolvendo o enxerto e não relacionadas ao enxerto. O transplante cardíaco ainda apresenta efeitos inerentes da operação, no qual ocorre redução da capacidade de exercícios provenientes das anormalidades cardíacas, vasculares e musculares esqueléticas. O transplante cardíaco leva a uma desnervação cirúrgica comprometendo 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conexões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autonómicas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eferentes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aferentes,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prejudicando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reações reflexas do coração (KOUREK et al., 2021).</w:t>
      </w:r>
    </w:p>
    <w:p>
      <w:pPr>
        <w:spacing w:before="1" w:after="0" w:line="360"/>
        <w:ind w:right="115"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Nessa perspectiva, estudos acerca dos efeitos do treinamento de exercícios nos cardiomiócitos, função vascular endotelial e músculos esqueléticos demonstram benefícios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pós-operação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transplante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promovendo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remodelação cardíaca através do crescimento e proliferação dos cardiomiócitos, de modo que os exercícios regulares levam a melhora da contratilidade do VE, na atuação do cálcio no coração e aumento do tamanho dos cardiomiócitos; Enquanto exercícios isométricos ou estáticos promovem a hipertrofia concêntrica leve e treinamentos de resistência ocorre hipertrofia do VE, dilatação do ventrículo Direito (VD) e um aumento biatrial; Além disso,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exercícios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agudos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grandes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períodos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promovem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crescimento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numérico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células endoteliais circulantes (CECs) e células progenitoras endoteliais (EPCs) que atuam no aumento da densidade vascular e reparo cardíaco. Além disso, os exercícios também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promovem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catabolismo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ácidos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graxos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lactato;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endotélio vascular o exercício físico suprime a produção de radicais livres e do estresse oxidativo, aumenta a biodisponibilidade de NO e tem o potencial de induzir a vasodilatação</w:t>
      </w:r>
      <w:r>
        <w:rPr>
          <w:rFonts w:ascii="Times New Roman" w:hAnsi="Times New Roman" w:cs="Times New Roman" w:eastAsia="Times New Roman"/>
          <w:color w:val="auto"/>
          <w:spacing w:val="5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através</w:t>
      </w:r>
      <w:r>
        <w:rPr>
          <w:rFonts w:ascii="Times New Roman" w:hAnsi="Times New Roman" w:cs="Times New Roman" w:eastAsia="Times New Roman"/>
          <w:color w:val="auto"/>
          <w:spacing w:val="5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mecanismo</w:t>
      </w:r>
      <w:r>
        <w:rPr>
          <w:rFonts w:ascii="Times New Roman" w:hAnsi="Times New Roman" w:cs="Times New Roman" w:eastAsia="Times New Roman"/>
          <w:color w:val="auto"/>
          <w:spacing w:val="5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shear</w:t>
      </w:r>
      <w:r>
        <w:rPr>
          <w:rFonts w:ascii="Times New Roman" w:hAnsi="Times New Roman" w:cs="Times New Roman" w:eastAsia="Times New Roman"/>
          <w:color w:val="auto"/>
          <w:spacing w:val="5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stress.</w:t>
      </w:r>
      <w:r>
        <w:rPr>
          <w:rFonts w:ascii="Times New Roman" w:hAnsi="Times New Roman" w:cs="Times New Roman" w:eastAsia="Times New Roman"/>
          <w:color w:val="auto"/>
          <w:spacing w:val="5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Tais</w:t>
      </w:r>
      <w:r>
        <w:rPr>
          <w:rFonts w:ascii="Times New Roman" w:hAnsi="Times New Roman" w:cs="Times New Roman" w:eastAsia="Times New Roman"/>
          <w:color w:val="auto"/>
          <w:spacing w:val="5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mecanismos</w:t>
      </w:r>
      <w:r>
        <w:rPr>
          <w:rFonts w:ascii="Times New Roman" w:hAnsi="Times New Roman" w:cs="Times New Roman" w:eastAsia="Times New Roman"/>
          <w:color w:val="auto"/>
          <w:spacing w:val="5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54"/>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estar</w:t>
      </w:r>
      <w:r>
        <w:rPr>
          <w:rFonts w:ascii="Times New Roman" w:hAnsi="Times New Roman" w:cs="Times New Roman" w:eastAsia="Times New Roman"/>
          <w:color w:val="auto"/>
          <w:spacing w:val="0"/>
          <w:position w:val="0"/>
          <w:sz w:val="24"/>
          <w:shd w:fill="auto" w:val="clear"/>
        </w:rPr>
        <w:t xml:space="preserve"> envolvidos na angiogênese pela regulação positiva de crescimento endotelial vascular (VEGF),</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metaloproteinases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matriz</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derivado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células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estromais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(KOUREK et al., 2021).</w:t>
      </w:r>
    </w:p>
    <w:p>
      <w:pPr>
        <w:spacing w:before="1" w:after="0" w:line="360"/>
        <w:ind w:right="123"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Assim, programas de Reabilitação cardíaca são implementadas, uma vez de cientes de seus benefícios ao paciente com transplante cardíaco, desenvolvido em base multimodais e multiprofissionais de saúde incluindo cardiologistas, fisioterapeutas, enfermeiros, nutricionistas, farmacêuticos, psicólogos, fisiologistas, outras especialidades como internistas, neurologistas, diabetologistas e cirurgiões cardíacos, clínicos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gerais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especialistas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serviços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sociais.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reabilitação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atua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 prevenção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desenvolvimento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novas doenças ao paciente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auxiliar 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adequação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estilo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modo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possibilitar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estabilidade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quadro clínico,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redução do risco cardiovascular, melhor adesão ao tratamento e consequentemente melhor qualidade de vida (KOUREK et al., 2021).</w:t>
      </w:r>
    </w:p>
    <w:p>
      <w:pPr>
        <w:spacing w:before="0" w:after="0" w:line="360"/>
        <w:ind w:right="117"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Diante do exposto, é nítido que a reabilitação, por se tratar de um processo complexo e individualizado, pode variar de acordo com a diretriz abordada, mas pelas diretrizes atualizadas sobre cardiologia preventiva e reabilitação do ESC pode ser dividida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fases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reabilitação.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classificada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empregando-se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protocolos de exercícios, sendo eles o HIIT e o COMT no qual observou-se que pacientes tratados pelo protocolo COMT apresentaram uma redução da pressão arterial ambulatorial. Contudo, a velocidade da onda de pulso permaneceu inalterada, indicando utilidade no tratamento de Hipertensão. Enquanto o protocolo HIIT promoveu a redução da pressão arterial sistólica exclusivamente em pacientes que receberam transplantes. Dessa forma, tanto com protocolo HIIT e COMT observou-se resultados semelhantes em índices inflamatórios como PCR e plaquetas sanguíneas e angiogênicos abrangendo VEGF e angiopoietina 2. Assim, o treinamento físico promove melhora da capacidade de exercício, a função endotelial cardíaca e vascular dos pacientes que realizaram o transplante cardíaco (KOUREK et al., 2021).</w:t>
      </w:r>
    </w:p>
    <w:p>
      <w:pPr>
        <w:spacing w:before="139"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5"/>
        </w:numPr>
        <w:tabs>
          <w:tab w:val="left" w:pos="402" w:leader="none"/>
        </w:tabs>
        <w:spacing w:before="0" w:after="0" w:line="240"/>
        <w:ind w:right="0" w:left="402" w:hanging="30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DIAGNÓSTICO</w:t>
      </w:r>
    </w:p>
    <w:p>
      <w:pPr>
        <w:spacing w:before="137" w:after="0" w:line="360"/>
        <w:ind w:right="116"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princípio,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enquanto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alguns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insuficiência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abruptos,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outros evoluem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sutil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progressivamente.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IC</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possui</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curso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imprevisível o que dificulta a identificação correta da patologia. Para um diagnóstico correto, faz-se necessário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avaliação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minuciosa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excluam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reversíveis</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IC</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se</w:t>
      </w:r>
      <w:r>
        <w:rPr>
          <w:rFonts w:ascii="Times New Roman" w:hAnsi="Times New Roman" w:cs="Times New Roman" w:eastAsia="Times New Roman"/>
          <w:color w:val="auto"/>
          <w:spacing w:val="0"/>
          <w:position w:val="0"/>
          <w:sz w:val="24"/>
          <w:shd w:fill="auto" w:val="clear"/>
        </w:rPr>
        <w:t xml:space="preserve"> proporcione uma orientação adequada para o tratamento médico (TRUBY; ROGERS,</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2020).</w:t>
      </w:r>
    </w:p>
    <w:p>
      <w:pPr>
        <w:spacing w:before="0" w:after="0" w:line="360"/>
        <w:ind w:right="119"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Numa avaliação preliminar, o que deve ser realizado são os exames de peptídeos natriuréticos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(PNs)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ecocardiograma.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PNs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possibilita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identifique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quais pacientes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passar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segunda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avaliação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defina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probabilidade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diagnóstico de IC. Porém seu uso é adequado apenas para a exclusão do diagnóstico e não sua confirmação. Isso se dá, pois, enquanto o valor preditivo negativo é alto (0.94 - 0.98), o valor preditivo positivo é baixo (0.66 - 0.67). Sendo assim, com valores de PNs abaixo do ponto de corte, a IC deve ser excluída. Com relação ao ecocardiograma, esse se mostra como o teste que fornece informações precisas e de forma imediata quanto às funções sistólica e diastólica dos ventrículos esquerdo e direito, tamanho da câmara, informações sobre a parede e também com relação a anormalidades que podem se apresentar na válvula. Logo, por meio do ecocardiograma é possível que se defina o diagnóstico e o tratamento mediante aos seus achados (CHOI; PARK; YOUN, 2019).</w:t>
      </w:r>
    </w:p>
    <w:p>
      <w:pPr>
        <w:spacing w:before="0" w:after="0" w:line="360"/>
        <w:ind w:right="120"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Quanto aqueles pacientes 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apresentam cardiopatia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congênita,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questão é como se deve definir sua IC nesse contexto. Pacientes submetidos a procedimentos referentes a sua cardiopatia congênita durante a infância podem desenvolver IC tardia. Sendo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propensos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desenvolvimento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IC</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tardia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contam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ventrículo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direito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sistêmico,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transposição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grandes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congenitamente corrigida e corações univentriculares (FYNN-THOMPSON, 2019).</w:t>
      </w:r>
    </w:p>
    <w:p>
      <w:pPr>
        <w:spacing w:before="0" w:after="0" w:line="360"/>
        <w:ind w:right="119"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Além disso, existem outros testes que permitem o diagnóstico da IC. Nesse sentido,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Fração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Ejeção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Ventrículo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Esquerdo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(FEVE)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poderoso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marcador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separa a insuficiência cardíaca em duas categorias de acordo com o prognóstico e a responsividade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medicamentos: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ICFEr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ICFEp.</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Apesar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há</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necessidade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 marcador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preciso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classificação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IC,</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FEVE não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capaz</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diferenciar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sistólica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normal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disfunção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ventrículo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esquerdo subclínico.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questão é</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número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considerável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cardiomiopatia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se difere da cardiomiopatia isquêmica com função sistólica preservada (CHOI; PARK; YOUN, 2019).</w:t>
      </w:r>
    </w:p>
    <w:p>
      <w:pPr>
        <w:spacing w:before="0" w:after="0" w:line="360"/>
        <w:ind w:right="118"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ventrículo direito, por possuir uma estrutura complexa e ser influenciado por 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variedade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 observa-se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dificuldade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estimativa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 função sistólica. Desse modo, um dos tópicos de constante investigação é o valor preditivo da função do VD</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relacionado</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insuficiência</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relato</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demonstram</w:t>
      </w:r>
      <w:r>
        <w:rPr>
          <w:rFonts w:ascii="Times New Roman" w:hAnsi="Times New Roman" w:cs="Times New Roman" w:eastAsia="Times New Roman"/>
          <w:color w:val="auto"/>
          <w:spacing w:val="0"/>
          <w:position w:val="0"/>
          <w:sz w:val="24"/>
          <w:shd w:fill="auto" w:val="clear"/>
        </w:rPr>
        <w:t xml:space="preserve"> como causa de morte em pacientes com IC crônica estável, a tensão da parede livre do VD. Ademais, a insuficiência do ventrículo direito é comum na IC avançada e está associada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mortalidade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(CHOI;</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PARK;</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YOUN,</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TRUBY;</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ROGERS, </w:t>
      </w:r>
      <w:r>
        <w:rPr>
          <w:rFonts w:ascii="Times New Roman" w:hAnsi="Times New Roman" w:cs="Times New Roman" w:eastAsia="Times New Roman"/>
          <w:color w:val="auto"/>
          <w:spacing w:val="-2"/>
          <w:position w:val="0"/>
          <w:sz w:val="24"/>
          <w:shd w:fill="auto" w:val="clear"/>
        </w:rPr>
        <w:t xml:space="preserve">2020).</w:t>
      </w:r>
    </w:p>
    <w:p>
      <w:pPr>
        <w:spacing w:before="0" w:after="0" w:line="360"/>
        <w:ind w:right="122"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Recentemente, a ressonância magnética cardiovascular e a tomografia computadorizada vêm ganhando destaque. A TC cardíaca, em pacientes com IC com resultados duvidosos, com probabilidade baixa ou intermediária de Doença Arterial Coronariana, pode ser usada na avaliação de artérias coronárias. Já a RMC, auxilia na determinação da etiologia de diversas cardiomiopatias e na avaliação da efetividade miocárdica (CHOI; PARK; YOUN, 2019).</w:t>
      </w:r>
    </w:p>
    <w:p>
      <w:pPr>
        <w:spacing w:before="1" w:after="0" w:line="360"/>
        <w:ind w:right="121"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teste genético é</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cardiomiopatias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hereditárias, que, apesar 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afetarem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pequena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parcela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IC,</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possuem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manifestações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tratamentos diferentes. O teste garante informações sobre a etiologia da IC, através da confirmação por um teste específico para atividade enzimática, seguido por terapia de reposição enzimática como tratamento (CHOI; PARK; YOUN, 2019).</w:t>
      </w:r>
    </w:p>
    <w:p>
      <w:pPr>
        <w:spacing w:before="0" w:after="0" w:line="360"/>
        <w:ind w:right="121"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IC</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avançada,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critérios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HFA-ESC</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definem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presentes sintomas graves e contínuos de IC (NYHA classe III ou IV); disfunção cardíaca grave definida pela fração de ejeção reduzida </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insuficiência do VD isolada ou anormalidades das valvas que não possam sofrer intervenção cirúrgica ou disfunções congênitas ou valores de BNP ou NT-proBNP altos e anomalia diastólica grave ou alterações estruturais do ventrículo esquerdo; congestão pulmonar ou sistêmica tratados com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diuréticos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intravenosos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eventos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baixo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débito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necessitam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inotrópicos ou drogas vasoativas ou arritmias malignas causadoras de hospitalização; e, comprometimento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capacidade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exercício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físico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baixo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6MWTD</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(&lt;300</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pVO 2 (&lt;12</w:t>
      </w: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14 mL/kg/min), de procedência cardíaca (CRESPO-LEIRO et al., 2018).</w:t>
      </w:r>
    </w:p>
    <w:p>
      <w:pPr>
        <w:spacing w:before="139"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5"/>
        </w:numPr>
        <w:tabs>
          <w:tab w:val="left" w:pos="402" w:leader="none"/>
        </w:tabs>
        <w:spacing w:before="0" w:after="0" w:line="240"/>
        <w:ind w:right="0" w:left="402" w:hanging="30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ATUALIDADES</w:t>
      </w:r>
    </w:p>
    <w:p>
      <w:pPr>
        <w:spacing w:before="137" w:after="0" w:line="360"/>
        <w:ind w:right="121"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Primeiramente, vale ressaltar que a população de receptores de coração para transplante cardíaco distendeu-se, entretanto, a expansão de doadores não ocorreu na mesma proporção, o que tornou insuficiente a quantidade de doadores para atender toda a necessidade. Essa desproporção resultou no aumento da lista de espera, bem como, tornou</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tempo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aguardo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extenso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ainda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causou</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crescimento</w:t>
      </w:r>
      <w:r>
        <w:rPr>
          <w:rFonts w:ascii="Times New Roman" w:hAnsi="Times New Roman" w:cs="Times New Roman" w:eastAsia="Times New Roman"/>
          <w:color w:val="auto"/>
          <w:spacing w:val="0"/>
          <w:position w:val="0"/>
          <w:sz w:val="24"/>
          <w:shd w:fill="auto" w:val="clear"/>
        </w:rPr>
        <w:t xml:space="preserve"> na ocorrência de mortalidade dos candidatos ao transplante cardíaco que aguardam na lista de espera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TATUM et al., 2022).</w:t>
      </w:r>
    </w:p>
    <w:p>
      <w:pPr>
        <w:spacing w:before="0" w:after="0" w:line="360"/>
        <w:ind w:right="119"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Atualmente, a coordenação logística e a distribuição de órgãos e tecidos para transplantes são de responsabilidade da Central de Notificação, Captação e Distribuição de Órgãos (CNCDO) e para manter a correta destinação do órgão para os potenciais receptores,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lista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gerenciada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critérios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gravidade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situação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 e disponibilidade de doadores compatíveis (BACAL et al., 2018).</w:t>
      </w:r>
    </w:p>
    <w:p>
      <w:pPr>
        <w:spacing w:before="0" w:after="0" w:line="360"/>
        <w:ind w:right="120"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Desse modo, a gestão de organização da lista tem como principal finalidade garantir que os pacientes com maior probabilidade de mortalidade na lista de espera, sejam submetidos ao transplante cardíaco com prioridade e, também, manter baixa a incidência de insucesso do procedimento operatório por rejeição do transplante, proporcionando melhores desfechos clínicos dos pacientes transplantados (CHOI et al.,2018). Recentemente são utilizadas estratégias para diminuir o desequilíbrio entre demanda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suprimento,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reavaliar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critérios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doadores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anteriormente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 seriam aceitos, devido a fatores de risco, como tempo isquêmico prolongado e idade avançada.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Há</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possibilidade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corações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recondicionados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doação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após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morte circulatória (CULLEN et al., 2021).</w:t>
      </w:r>
    </w:p>
    <w:p>
      <w:pPr>
        <w:spacing w:before="0" w:after="0" w:line="360"/>
        <w:ind w:right="115"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Ainda mais, outra questão a se tratar são as manifestações que interferem na sobrevida do transplantado no longo prazo. O controle da resposta imune, realizado por meio de terapia imunossupressora, permite a adaptação do órgão transplantado prevenindo ocorrências de rejeição aguda precoce e danos inflamatórios. A terapia de indução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consiste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imunossupressor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seu</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pós-operatório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imediato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terapia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manutenção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efeito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inibir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seletivamente 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ativação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proliferação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linfócitos,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objetivo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proporcionar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tempo de sobrevida dos pacientes transplantados. O tratamento de imunossupressão, em geral, utiliza-se de três fármacos, um corticosteróide, um inibidor da calcineurina e um antiproliferativo (TRUBY et al., 2020).</w:t>
      </w:r>
    </w:p>
    <w:p>
      <w:pPr>
        <w:spacing w:before="135"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71"/>
        </w:numPr>
        <w:tabs>
          <w:tab w:val="left" w:pos="402" w:leader="none"/>
        </w:tabs>
        <w:spacing w:before="0" w:after="0" w:line="240"/>
        <w:ind w:right="0" w:left="402" w:hanging="30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CONCLUSÃO</w:t>
      </w:r>
    </w:p>
    <w:p>
      <w:pPr>
        <w:spacing w:before="137" w:after="0" w:line="360"/>
        <w:ind w:right="122" w:left="102"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Diante do exposto neste estudo, foi possível concluir que o transplante cardíaco tem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ganhado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vez</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atenção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campo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pesquisa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médica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mundial.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modo, muitos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têm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nessa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área,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elucidar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gama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diferenciações que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possui.</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avaliação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doador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coração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receptor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ser</w:t>
      </w:r>
      <w:r>
        <w:rPr>
          <w:rFonts w:ascii="Times New Roman" w:hAnsi="Times New Roman" w:cs="Times New Roman" w:eastAsia="Times New Roman"/>
          <w:color w:val="auto"/>
          <w:spacing w:val="0"/>
          <w:position w:val="0"/>
          <w:sz w:val="24"/>
          <w:shd w:fill="auto" w:val="clear"/>
        </w:rPr>
        <w:t xml:space="preserve"> feitas de maneira muito criteriosa, pois diversas características podem influenciar no sucesso ou não do transplante e sobrevida do paciente receptor. Os estudos epidemiológicos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demonstraram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número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pessoas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possuem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insuficiência cardíaca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(IC)</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escala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global.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Dentro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grupo,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encontra-se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IC</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avançada,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possui um</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papel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relevante,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visto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considerada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necessitam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 atenção e cuidado. Também, demonstrou-se a importância do conhecimento fisiopatológico que essa doença se encontra envolvida, visto que esse conhecimento, atrelado às manifestações clínicas (sinais e sintomas) favorecem um diagnóstico mais assertivo. No campo das pesquisas, na atual conjuntura, percebeu-se que condições não tratadas existem quadros clínicos de transtornos mentais severos podendo até mesmo comprometer a recuperação pós-operatória do paciente. Portanto, é importante estabelecer abordagens psicológicas para os pacientes em tratamento de doenças cardíacas. Além disso, estudos também demonstraram que a realização de exercícios físicos promove benefícios ao paciente após a realização da cirurgia de transplante.</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80" w:after="0" w:line="240"/>
        <w:ind w:right="19"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REFERÊNCIAS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18"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BACAL, F. et al. 3ª diretriz brasileira de transplante cardíaco. </w:t>
      </w:r>
      <w:r>
        <w:rPr>
          <w:rFonts w:ascii="Times New Roman" w:hAnsi="Times New Roman" w:cs="Times New Roman" w:eastAsia="Times New Roman"/>
          <w:b/>
          <w:color w:val="auto"/>
          <w:spacing w:val="0"/>
          <w:position w:val="0"/>
          <w:sz w:val="24"/>
          <w:shd w:fill="auto" w:val="clear"/>
        </w:rPr>
        <w:t xml:space="preserve">Arquivos brasileiros de cardiologia</w:t>
      </w:r>
      <w:r>
        <w:rPr>
          <w:rFonts w:ascii="Times New Roman" w:hAnsi="Times New Roman" w:cs="Times New Roman" w:eastAsia="Times New Roman"/>
          <w:color w:val="auto"/>
          <w:spacing w:val="0"/>
          <w:position w:val="0"/>
          <w:sz w:val="24"/>
          <w:shd w:fill="auto" w:val="clear"/>
        </w:rPr>
        <w:t xml:space="preserve">, v. 111, p. 230-289, 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7"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CHOI, H. M.; PARK, M. S.; YOUN, J. C. </w:t>
      </w:r>
      <w:r>
        <w:rPr>
          <w:rFonts w:ascii="Times New Roman" w:hAnsi="Times New Roman" w:cs="Times New Roman" w:eastAsia="Times New Roman"/>
          <w:b/>
          <w:color w:val="auto"/>
          <w:spacing w:val="0"/>
          <w:position w:val="0"/>
          <w:sz w:val="24"/>
          <w:shd w:fill="auto" w:val="clear"/>
        </w:rPr>
        <w:t xml:space="preserve">Update on heart failure management and future</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directions.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Korean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Journal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 Internal Medicine,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34,</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 11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jan. </w:t>
      </w:r>
      <w:r>
        <w:rPr>
          <w:rFonts w:ascii="Times New Roman" w:hAnsi="Times New Roman" w:cs="Times New Roman" w:eastAsia="Times New Roman"/>
          <w:color w:val="auto"/>
          <w:spacing w:val="-2"/>
          <w:position w:val="0"/>
          <w:sz w:val="24"/>
          <w:shd w:fill="auto" w:val="clear"/>
        </w:rPr>
        <w:t xml:space="preserve">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6"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CRESPO-LEIRO, M. G. et al. </w:t>
      </w:r>
      <w:r>
        <w:rPr>
          <w:rFonts w:ascii="Times New Roman" w:hAnsi="Times New Roman" w:cs="Times New Roman" w:eastAsia="Times New Roman"/>
          <w:b/>
          <w:color w:val="auto"/>
          <w:spacing w:val="0"/>
          <w:position w:val="0"/>
          <w:sz w:val="24"/>
          <w:shd w:fill="auto" w:val="clear"/>
        </w:rPr>
        <w:t xml:space="preserve">Advanced heart failure: a position statement of the Heart Failure Association of the European Society of Cardiology. </w:t>
      </w:r>
      <w:r>
        <w:rPr>
          <w:rFonts w:ascii="Times New Roman" w:hAnsi="Times New Roman" w:cs="Times New Roman" w:eastAsia="Times New Roman"/>
          <w:color w:val="auto"/>
          <w:spacing w:val="0"/>
          <w:position w:val="0"/>
          <w:sz w:val="24"/>
          <w:shd w:fill="auto" w:val="clear"/>
        </w:rPr>
        <w:t xml:space="preserve">European Journal of Heart Failure, v. 20, n. 11, p. 1505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1535, 17 jul. 2018.</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20"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CULLEN,</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w:t>
      </w:r>
      <w:r>
        <w:rPr>
          <w:rFonts w:ascii="Times New Roman" w:hAnsi="Times New Roman" w:cs="Times New Roman" w:eastAsia="Times New Roman"/>
          <w:b/>
          <w:color w:val="auto"/>
          <w:spacing w:val="-1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state-of-the-art</w:t>
      </w:r>
      <w:r>
        <w:rPr>
          <w:rFonts w:ascii="Times New Roman" w:hAnsi="Times New Roman" w:cs="Times New Roman" w:eastAsia="Times New Roman"/>
          <w:b/>
          <w:color w:val="auto"/>
          <w:spacing w:val="-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review</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of</w:t>
      </w:r>
      <w:r>
        <w:rPr>
          <w:rFonts w:ascii="Times New Roman" w:hAnsi="Times New Roman" w:cs="Times New Roman" w:eastAsia="Times New Roman"/>
          <w:b/>
          <w:color w:val="auto"/>
          <w:spacing w:val="-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the</w:t>
      </w:r>
      <w:r>
        <w:rPr>
          <w:rFonts w:ascii="Times New Roman" w:hAnsi="Times New Roman" w:cs="Times New Roman" w:eastAsia="Times New Roman"/>
          <w:b/>
          <w:color w:val="auto"/>
          <w:spacing w:val="-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current</w:t>
      </w:r>
      <w:r>
        <w:rPr>
          <w:rFonts w:ascii="Times New Roman" w:hAnsi="Times New Roman" w:cs="Times New Roman" w:eastAsia="Times New Roman"/>
          <w:b/>
          <w:color w:val="auto"/>
          <w:spacing w:val="-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role</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of</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cardioprotective techniques in cardiac transplantation. </w:t>
      </w:r>
      <w:r>
        <w:rPr>
          <w:rFonts w:ascii="Times New Roman" w:hAnsi="Times New Roman" w:cs="Times New Roman" w:eastAsia="Times New Roman"/>
          <w:color w:val="auto"/>
          <w:spacing w:val="0"/>
          <w:position w:val="0"/>
          <w:sz w:val="24"/>
          <w:shd w:fill="auto" w:val="clear"/>
        </w:rPr>
        <w:t xml:space="preserve">Interactive CardioVascular and Thoracic Surgery, v. 32, n. 5, p. 683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694, 1 maio 2021.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7"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FERNANDES, S. L. et al. </w:t>
      </w:r>
      <w:r>
        <w:rPr>
          <w:rFonts w:ascii="Times New Roman" w:hAnsi="Times New Roman" w:cs="Times New Roman" w:eastAsia="Times New Roman"/>
          <w:b/>
          <w:color w:val="auto"/>
          <w:spacing w:val="0"/>
          <w:position w:val="0"/>
          <w:sz w:val="24"/>
          <w:shd w:fill="auto" w:val="clear"/>
        </w:rPr>
        <w:t xml:space="preserve">Pathophysiology and Treatment of Heart Failure with Preserved Ejection Fraction: State of the Art and Prospects for the Future. </w:t>
      </w:r>
      <w:r>
        <w:rPr>
          <w:rFonts w:ascii="Times New Roman" w:hAnsi="Times New Roman" w:cs="Times New Roman" w:eastAsia="Times New Roman"/>
          <w:color w:val="auto"/>
          <w:spacing w:val="0"/>
          <w:position w:val="0"/>
          <w:sz w:val="24"/>
          <w:shd w:fill="auto" w:val="clear"/>
        </w:rPr>
        <w:t xml:space="preserve">Arq. Bras. Cardiol. , v. 114, n. 1, jan. 2020.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0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GUGLIN,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Evaluation</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for</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Heart</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Transplantation</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and</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LVAD</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Implantation.</w:t>
      </w:r>
    </w:p>
    <w:p>
      <w:pPr>
        <w:spacing w:before="0" w:after="0" w:line="240"/>
        <w:ind w:right="0"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Journal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American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College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Cardiology, 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75,</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12, 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1471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1487,</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 </w:t>
      </w:r>
      <w:r>
        <w:rPr>
          <w:rFonts w:ascii="Times New Roman" w:hAnsi="Times New Roman" w:cs="Times New Roman" w:eastAsia="Times New Roman"/>
          <w:color w:val="auto"/>
          <w:spacing w:val="-2"/>
          <w:position w:val="0"/>
          <w:sz w:val="24"/>
          <w:shd w:fill="auto" w:val="clear"/>
        </w:rPr>
        <w:t xml:space="preserve">2020.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7"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GUIDETTI, F. et al. </w:t>
      </w:r>
      <w:r>
        <w:rPr>
          <w:rFonts w:ascii="Times New Roman" w:hAnsi="Times New Roman" w:cs="Times New Roman" w:eastAsia="Times New Roman"/>
          <w:b/>
          <w:color w:val="auto"/>
          <w:spacing w:val="0"/>
          <w:position w:val="0"/>
          <w:sz w:val="24"/>
          <w:shd w:fill="auto" w:val="clear"/>
        </w:rPr>
        <w:t xml:space="preserve">Treatment of Advanced Heart Failure</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Focus on </w:t>
      </w:r>
      <w:r>
        <w:rPr>
          <w:rFonts w:ascii="Times New Roman" w:hAnsi="Times New Roman" w:cs="Times New Roman" w:eastAsia="Times New Roman"/>
          <w:b/>
          <w:color w:val="auto"/>
          <w:spacing w:val="-2"/>
          <w:position w:val="0"/>
          <w:sz w:val="24"/>
          <w:shd w:fill="auto" w:val="clear"/>
        </w:rPr>
        <w:t xml:space="preserve">Transplantation</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and</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Durable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Mechanical</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Circulatory</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Support.</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Heart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Failure Clinics,</w:t>
      </w:r>
    </w:p>
    <w:p>
      <w:pPr>
        <w:spacing w:before="1" w:after="0" w:line="240"/>
        <w:ind w:right="0" w:left="10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17, n. 4, p. 697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708, out. </w:t>
      </w:r>
      <w:r>
        <w:rPr>
          <w:rFonts w:ascii="Times New Roman" w:hAnsi="Times New Roman" w:cs="Times New Roman" w:eastAsia="Times New Roman"/>
          <w:color w:val="auto"/>
          <w:spacing w:val="-2"/>
          <w:position w:val="0"/>
          <w:sz w:val="24"/>
          <w:shd w:fill="auto" w:val="clear"/>
        </w:rPr>
        <w:t xml:space="preserve">2021.</w:t>
      </w:r>
    </w:p>
    <w:p>
      <w:pPr>
        <w:spacing w:before="276" w:after="0" w:line="240"/>
        <w:ind w:right="19" w:left="5"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w:t>
      </w:r>
      <w:r>
        <w:rPr>
          <w:rFonts w:ascii="Times New Roman" w:hAnsi="Times New Roman" w:cs="Times New Roman" w:eastAsia="Times New Roman"/>
          <w:color w:val="auto"/>
          <w:spacing w:val="0"/>
          <w:position w:val="0"/>
          <w:sz w:val="24"/>
          <w:shd w:fill="auto" w:val="clear"/>
        </w:rPr>
        <w:t xml:space="preserve">ĘPIŃSKA,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ADAMCZAK,</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KAŁUŻNA-OLEKSY,</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Advanced</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heart</w:t>
      </w:r>
      <w:r>
        <w:rPr>
          <w:rFonts w:ascii="Times New Roman" w:hAnsi="Times New Roman" w:cs="Times New Roman" w:eastAsia="Times New Roman"/>
          <w:b/>
          <w:color w:val="auto"/>
          <w:spacing w:val="-8"/>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failure</w:t>
      </w:r>
    </w:p>
    <w:p>
      <w:pPr>
        <w:spacing w:before="0" w:after="0" w:line="240"/>
        <w:ind w:right="117"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a review. </w:t>
      </w:r>
      <w:r>
        <w:rPr>
          <w:rFonts w:ascii="Times New Roman" w:hAnsi="Times New Roman" w:cs="Times New Roman" w:eastAsia="Times New Roman"/>
          <w:color w:val="auto"/>
          <w:spacing w:val="0"/>
          <w:position w:val="0"/>
          <w:sz w:val="24"/>
          <w:shd w:fill="auto" w:val="clear"/>
        </w:rPr>
        <w:t xml:space="preserve">Advances in Clinical and Experimental Medicine, v. 28, n. 8, p. 1143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1148, 4 mar. 2019.</w:t>
      </w:r>
    </w:p>
    <w:p>
      <w:pPr>
        <w:spacing w:before="276" w:after="0" w:line="240"/>
        <w:ind w:right="114"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KOUREK, C. et al. </w:t>
      </w:r>
      <w:r>
        <w:rPr>
          <w:rFonts w:ascii="Times New Roman" w:hAnsi="Times New Roman" w:cs="Times New Roman" w:eastAsia="Times New Roman"/>
          <w:b/>
          <w:color w:val="auto"/>
          <w:spacing w:val="0"/>
          <w:position w:val="0"/>
          <w:sz w:val="24"/>
          <w:shd w:fill="auto" w:val="clear"/>
        </w:rPr>
        <w:t xml:space="preserve">Exercise training in heart transplantation. </w:t>
      </w:r>
      <w:r>
        <w:rPr>
          <w:rFonts w:ascii="Times New Roman" w:hAnsi="Times New Roman" w:cs="Times New Roman" w:eastAsia="Times New Roman"/>
          <w:color w:val="auto"/>
          <w:spacing w:val="0"/>
          <w:position w:val="0"/>
          <w:sz w:val="24"/>
          <w:shd w:fill="auto" w:val="clear"/>
        </w:rPr>
        <w:t xml:space="preserve">World Journal of Transplantation, v. 11, n. 11, p. 466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479, 18 nov. 2021.</w:t>
      </w:r>
    </w:p>
    <w:p>
      <w:pPr>
        <w:spacing w:before="276" w:after="0" w:line="240"/>
        <w:ind w:right="119"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LOPES, F. S. et al. </w:t>
      </w:r>
      <w:r>
        <w:rPr>
          <w:rFonts w:ascii="Times New Roman" w:hAnsi="Times New Roman" w:cs="Times New Roman" w:eastAsia="Times New Roman"/>
          <w:b/>
          <w:color w:val="auto"/>
          <w:spacing w:val="0"/>
          <w:position w:val="0"/>
          <w:sz w:val="24"/>
          <w:shd w:fill="auto" w:val="clear"/>
        </w:rPr>
        <w:t xml:space="preserve">Fisiopatologia e Tratamento da Insuficiência Cardíaca com Fração de Ejeção Preservada: Estado da Arte e Perspectivas para o Futuro. </w:t>
      </w:r>
      <w:r>
        <w:rPr>
          <w:rFonts w:ascii="Times New Roman" w:hAnsi="Times New Roman" w:cs="Times New Roman" w:eastAsia="Times New Roman"/>
          <w:color w:val="auto"/>
          <w:spacing w:val="0"/>
          <w:position w:val="0"/>
          <w:sz w:val="24"/>
          <w:shd w:fill="auto" w:val="clear"/>
        </w:rPr>
        <w:t xml:space="preserve">Arquivos Brasileiros de Cardiologia, 2019.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6"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TATUM, R. et al. </w:t>
      </w:r>
      <w:r>
        <w:rPr>
          <w:rFonts w:ascii="Times New Roman" w:hAnsi="Times New Roman" w:cs="Times New Roman" w:eastAsia="Times New Roman"/>
          <w:b/>
          <w:color w:val="auto"/>
          <w:spacing w:val="0"/>
          <w:position w:val="0"/>
          <w:sz w:val="24"/>
          <w:shd w:fill="auto" w:val="clear"/>
        </w:rPr>
        <w:t xml:space="preserve">Evaluation of donor heart for transplantation. </w:t>
      </w:r>
      <w:r>
        <w:rPr>
          <w:rFonts w:ascii="Times New Roman" w:hAnsi="Times New Roman" w:cs="Times New Roman" w:eastAsia="Times New Roman"/>
          <w:color w:val="auto"/>
          <w:spacing w:val="0"/>
          <w:position w:val="0"/>
          <w:sz w:val="24"/>
          <w:shd w:fill="auto" w:val="clear"/>
        </w:rPr>
        <w:t xml:space="preserve">Heart Failure Reviews, v. 27, n. 5, p. 1819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1827, 4 fev. 2022.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20"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TIGGES-LIMMER, K.; SITZER, M.; GUMMERT, J. </w:t>
      </w:r>
      <w:r>
        <w:rPr>
          <w:rFonts w:ascii="Times New Roman" w:hAnsi="Times New Roman" w:cs="Times New Roman" w:eastAsia="Times New Roman"/>
          <w:b/>
          <w:color w:val="auto"/>
          <w:spacing w:val="0"/>
          <w:position w:val="0"/>
          <w:sz w:val="24"/>
          <w:shd w:fill="auto" w:val="clear"/>
        </w:rPr>
        <w:t xml:space="preserve">Perioperative Psychological Interventions in Heart Surgery. </w:t>
      </w:r>
      <w:r>
        <w:rPr>
          <w:rFonts w:ascii="Times New Roman" w:hAnsi="Times New Roman" w:cs="Times New Roman" w:eastAsia="Times New Roman"/>
          <w:color w:val="auto"/>
          <w:spacing w:val="0"/>
          <w:position w:val="0"/>
          <w:sz w:val="24"/>
          <w:shd w:fill="auto" w:val="clear"/>
        </w:rPr>
        <w:t xml:space="preserve">Deutsches Ärzteblatt international, 17 maio 2021.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19" w:left="10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TRUBY, L. K.; ROGERS, J. G. </w:t>
      </w:r>
      <w:r>
        <w:rPr>
          <w:rFonts w:ascii="Times New Roman" w:hAnsi="Times New Roman" w:cs="Times New Roman" w:eastAsia="Times New Roman"/>
          <w:b/>
          <w:color w:val="auto"/>
          <w:spacing w:val="0"/>
          <w:position w:val="0"/>
          <w:sz w:val="24"/>
          <w:shd w:fill="auto" w:val="clear"/>
        </w:rPr>
        <w:t xml:space="preserve">Advanced Heart Failure: Epidemiology, Diagnosis, and Therapeutic Approaches. </w:t>
      </w:r>
      <w:r>
        <w:rPr>
          <w:rFonts w:ascii="Times New Roman" w:hAnsi="Times New Roman" w:cs="Times New Roman" w:eastAsia="Times New Roman"/>
          <w:color w:val="auto"/>
          <w:spacing w:val="0"/>
          <w:position w:val="0"/>
          <w:sz w:val="24"/>
          <w:shd w:fill="auto" w:val="clear"/>
        </w:rPr>
        <w:t xml:space="preserve">JACC: Heart Failure, v. 8, n. 7, p. 523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536, jul. 2020.</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8">
    <w:abstractNumId w:val="66"/>
  </w:num>
  <w:num w:numId="16">
    <w:abstractNumId w:val="60"/>
  </w:num>
  <w:num w:numId="19">
    <w:abstractNumId w:val="54"/>
  </w:num>
  <w:num w:numId="22">
    <w:abstractNumId w:val="48"/>
  </w:num>
  <w:num w:numId="26">
    <w:abstractNumId w:val="42"/>
  </w:num>
  <w:num w:numId="36">
    <w:abstractNumId w:val="36"/>
  </w:num>
  <w:num w:numId="39">
    <w:abstractNumId w:val="30"/>
  </w:num>
  <w:num w:numId="45">
    <w:abstractNumId w:val="24"/>
  </w:num>
  <w:num w:numId="49">
    <w:abstractNumId w:val="18"/>
  </w:num>
  <w:num w:numId="55">
    <w:abstractNumId w:val="12"/>
  </w:num>
  <w:num w:numId="65">
    <w:abstractNumId w:val="6"/>
  </w:num>
  <w:num w:numId="7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