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DINÂMICA DE REGENERAÇÃO NATURAL EM ÁREA DE CAATINGA SOB DISTÚRBIOS AMBIENTAIS NO SERTÃO PERNAMBUCANO</w:t>
      </w:r>
    </w:p>
    <w:p w:rsidR="00000000" w:rsidDel="00000000" w:rsidP="00000000" w:rsidRDefault="00000000" w:rsidRPr="00000000" w14:paraId="00000002">
      <w:pPr>
        <w:spacing w:line="276" w:lineRule="auto"/>
        <w:ind w:left="221" w:right="214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Aída Xavier de Lima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1*</w:t>
      </w:r>
      <w:r w:rsidDel="00000000" w:rsidR="00000000" w:rsidRPr="00000000">
        <w:rPr>
          <w:b w:val="1"/>
          <w:sz w:val="20"/>
          <w:szCs w:val="20"/>
          <w:rtl w:val="0"/>
        </w:rPr>
        <w:t xml:space="preserve">, Tatiana Vitória Firmina de Almeida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, Maria Beatriz Nunes Ferreira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, Alex Nascimento de Sousa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, Ricardo Cordeiro de Lima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, Maria Beatriz Ferreira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, Larissa Maria Lopes Santana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, Rinaldo Luiz Caraciolo Ferreira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221" w:right="21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Universidade Federal Rural Pernambuco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221" w:right="21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aida.xavier@ufrpe.br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left="566" w:right="56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Este estudo avaliou a regeneração natural de espécies lenhosas em um fragmento de Caatinga hiperxerófila no município de Floresta, Pernambuco, no período de 2011 a 2023. Foram utilizadas 40 parcelas permanentes de 20 × 20 m e 40 subparcelas de 5 × 5 m, nas quais se analisou a regeneração natural relativa (RNR%) por espécie. As espécies </w:t>
      </w:r>
      <w:r w:rsidDel="00000000" w:rsidR="00000000" w:rsidRPr="00000000">
        <w:rPr>
          <w:i w:val="1"/>
          <w:sz w:val="20"/>
          <w:szCs w:val="20"/>
          <w:rtl w:val="0"/>
        </w:rPr>
        <w:t xml:space="preserve">Bauhinia cheilantha</w:t>
      </w:r>
      <w:r w:rsidDel="00000000" w:rsidR="00000000" w:rsidRPr="00000000">
        <w:rPr>
          <w:sz w:val="20"/>
          <w:szCs w:val="20"/>
          <w:rtl w:val="0"/>
        </w:rPr>
        <w:t xml:space="preserve"> (Bong.) Steud. (Fabaceae), </w:t>
      </w:r>
      <w:r w:rsidDel="00000000" w:rsidR="00000000" w:rsidRPr="00000000">
        <w:rPr>
          <w:i w:val="1"/>
          <w:sz w:val="20"/>
          <w:szCs w:val="20"/>
          <w:rtl w:val="0"/>
        </w:rPr>
        <w:t xml:space="preserve">Jatropha mollissima</w:t>
      </w:r>
      <w:r w:rsidDel="00000000" w:rsidR="00000000" w:rsidRPr="00000000">
        <w:rPr>
          <w:sz w:val="20"/>
          <w:szCs w:val="20"/>
          <w:rtl w:val="0"/>
        </w:rPr>
        <w:t xml:space="preserve"> Müll. Arg. (Euphorbiaceae), </w:t>
      </w:r>
      <w:r w:rsidDel="00000000" w:rsidR="00000000" w:rsidRPr="00000000">
        <w:rPr>
          <w:i w:val="1"/>
          <w:sz w:val="20"/>
          <w:szCs w:val="20"/>
          <w:rtl w:val="0"/>
        </w:rPr>
        <w:t xml:space="preserve">Cenostigma bracteosum</w:t>
      </w:r>
      <w:r w:rsidDel="00000000" w:rsidR="00000000" w:rsidRPr="00000000">
        <w:rPr>
          <w:sz w:val="20"/>
          <w:szCs w:val="20"/>
          <w:rtl w:val="0"/>
        </w:rPr>
        <w:t xml:space="preserve"> (Tul.) Gagnon &amp; G.P. Lewis (Fabaceae) e </w:t>
      </w:r>
      <w:r w:rsidDel="00000000" w:rsidR="00000000" w:rsidRPr="00000000">
        <w:rPr>
          <w:i w:val="1"/>
          <w:sz w:val="20"/>
          <w:szCs w:val="20"/>
          <w:rtl w:val="0"/>
        </w:rPr>
        <w:t xml:space="preserve">Cnidoscolus quercifolius</w:t>
      </w:r>
      <w:r w:rsidDel="00000000" w:rsidR="00000000" w:rsidRPr="00000000">
        <w:rPr>
          <w:sz w:val="20"/>
          <w:szCs w:val="20"/>
          <w:rtl w:val="0"/>
        </w:rPr>
        <w:t xml:space="preserve"> Pohl (Euphorbiaceae) foram as mais representativas ao longo dos quatro ciclos de monitoramento. Observou-se uma tendência de substituição de espécies dominantes por espécies oportunistas, associada à intensificação da pressão antrópica e à variabilidade climática, especialmente nos anos de seca prolongada. Os resultados indicam um processo de recomposição vegetacional em curso, porém restrito a poucas espécies adaptadas, o que reforça a necessidade de ações de manejo, como cercamento, controle de herbivoria e enriquecimento com espécies nativas, visando à conservação e à sustentabilidade do bioma Caatinga.</w:t>
      </w:r>
    </w:p>
    <w:p w:rsidR="00000000" w:rsidDel="00000000" w:rsidP="00000000" w:rsidRDefault="00000000" w:rsidRPr="00000000" w14:paraId="00000009">
      <w:pPr>
        <w:widowControl w:val="1"/>
        <w:ind w:left="566" w:right="566" w:firstLine="0"/>
        <w:jc w:val="both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Palavras-chave</w:t>
      </w:r>
      <w:r w:rsidDel="00000000" w:rsidR="00000000" w:rsidRPr="00000000">
        <w:rPr>
          <w:sz w:val="20"/>
          <w:szCs w:val="20"/>
          <w:rtl w:val="0"/>
        </w:rPr>
        <w:t xml:space="preserve">: diversidade florística, sucessão ecológica, vegetação nativa, pressão antrópica, estratégias de restauração.</w:t>
      </w:r>
    </w:p>
    <w:p w:rsidR="00000000" w:rsidDel="00000000" w:rsidP="00000000" w:rsidRDefault="00000000" w:rsidRPr="00000000" w14:paraId="0000000A">
      <w:pPr>
        <w:widowControl w:val="1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Florestas Tropicais Sazonalmente Secas (FTSS), como a Caatinga brasileira, possuem ecossistemas frágeis e biodiversos, sujeitos a estresse hídrico e ação antrópica (DE SOUZA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., 2023). O domínio fitogeográfico da Caatinga ocupa predominantemente o semiárido do Nordeste brasileiro, estendendo-se por cerca de 10% do território nacional (ALVES, 2007). Este domínio apresenta um clima caracterizado por altas temperaturas, baixa umidade relativa do ar e chuva mal distribuída, com precipitação anual variando entre 300 a 800 mm (DE SOUZA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., 2023). Em função dessas condições, a vegetação é composta, em sua maioria, por espécies xerófitas, caducifólias e com adaptações morfofisiológicas à escassez hídrica, como acúmulo de água, presença de espinhos e folhas reduzidas (ALVES, 2023).</w:t>
      </w:r>
    </w:p>
    <w:p w:rsidR="00000000" w:rsidDel="00000000" w:rsidP="00000000" w:rsidRDefault="00000000" w:rsidRPr="00000000" w14:paraId="0000000D">
      <w:pPr>
        <w:widowControl w:val="1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Contudo, apesar de sua importância ecológica e sociocultural, a Caatinga tem sido intensamente afetada por ações antrópicas. O desmatamento, o uso intensivo do solo para agricultura e pecuária extensiva, a coleta de lenha e extrativismo predatório são fatores que contribuem diretamente para a degradação ambiental, levando à perda de biodiversidade, empobrecimento do solo e processos de desertificação (DA SILVA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., 2024).</w:t>
      </w:r>
    </w:p>
    <w:p w:rsidR="00000000" w:rsidDel="00000000" w:rsidP="00000000" w:rsidRDefault="00000000" w:rsidRPr="00000000" w14:paraId="0000000E">
      <w:pPr>
        <w:widowControl w:val="1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Neste cenário, o manejo sustentável da vegetação nativa surge como uma estratégia fundamental para a conservação e recuperação de áreas degradadas (MAIA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., 2017). Práticas como o cercamento de áreas, o monitoramento da regeneração natural e o controle do pastoreio excessivo têm se mostrado eficazes na promoção da restauração ecológica, favorecendo a reestruturação da comunidade vegetal e a manutenção dos serviços ecossistêmicos (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SCHNEIDER </w:t>
      </w:r>
      <w:r w:rsidDel="00000000" w:rsidR="00000000" w:rsidRPr="00000000">
        <w:rPr>
          <w:i w:val="1"/>
          <w:color w:val="222222"/>
          <w:sz w:val="20"/>
          <w:szCs w:val="20"/>
          <w:rtl w:val="0"/>
        </w:rPr>
        <w:t xml:space="preserve">et al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, 2023</w:t>
      </w:r>
      <w:r w:rsidDel="00000000" w:rsidR="00000000" w:rsidRPr="00000000">
        <w:rPr>
          <w:sz w:val="20"/>
          <w:szCs w:val="20"/>
          <w:rtl w:val="0"/>
        </w:rPr>
        <w:t xml:space="preserve">). Considera-se que a regeneração natural da vegetação nativa é negativamente afetada por ações antrópicas, especialmente em áreas submetidas a formas eficazes de manejo.</w:t>
      </w:r>
    </w:p>
    <w:p w:rsidR="00000000" w:rsidDel="00000000" w:rsidP="00000000" w:rsidRDefault="00000000" w:rsidRPr="00000000" w14:paraId="0000000F">
      <w:pPr>
        <w:widowControl w:val="1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Assim, este trabalho tem como objetivo avaliar a regeneração natural da vegetação em áreas de Caatinga submetidas a diferentes formas de manejo, analisando sua eficácia na recuperação da diversidade florística e da estrutura da vegetação.</w:t>
      </w:r>
    </w:p>
    <w:p w:rsidR="00000000" w:rsidDel="00000000" w:rsidP="00000000" w:rsidRDefault="00000000" w:rsidRPr="00000000" w14:paraId="00000010">
      <w:pPr>
        <w:widowControl w:val="1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MATERIAL E MÉTODOS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Área de estudo</w:t>
      </w:r>
    </w:p>
    <w:p w:rsidR="00000000" w:rsidDel="00000000" w:rsidP="00000000" w:rsidRDefault="00000000" w:rsidRPr="00000000" w14:paraId="00000013">
      <w:pPr>
        <w:widowControl w:val="1"/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estudo foi conduzido na Fazenda Itapemirim, pertencente à empresa Agrimex S.A., localizada no município de Floresta, sertão de Pernambuco. A vegetação predominante é caracterizada como Caatinga hiperxerófila. O clima local, de acordo com a classificação de Köppen, é BSw’h. A área de estudo é um remanescente de vegetação nativa com aproximadamente 50 hectares.</w:t>
      </w:r>
    </w:p>
    <w:p w:rsidR="00000000" w:rsidDel="00000000" w:rsidP="00000000" w:rsidRDefault="00000000" w:rsidRPr="00000000" w14:paraId="00000014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Coleta e análise de dados</w:t>
      </w:r>
    </w:p>
    <w:p w:rsidR="00000000" w:rsidDel="00000000" w:rsidP="00000000" w:rsidRDefault="00000000" w:rsidRPr="00000000" w14:paraId="00000016">
      <w:pPr>
        <w:widowControl w:val="1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Desde 2008, o local vem sendo monitorado por meio de 40 parcelas permanentes de 20 × 20 m. Em 2011, foram instaladas 40 subparcelas permanentes de 5 × 5 m para análise da regeneração natural. Foram calculados os parâmetros de regeneração natural relativa (RNR%) por espécie conforme metodologia de Finol (1971). Os dados foram processados em planilhas Excel e no software Mata Nativa Web. Não houve coleta de material botânico nem tombamento em herbário, visto que se tratou de monitoramento in situ de regeneração natural.</w:t>
      </w:r>
    </w:p>
    <w:p w:rsidR="00000000" w:rsidDel="00000000" w:rsidP="00000000" w:rsidRDefault="00000000" w:rsidRPr="00000000" w14:paraId="00000017">
      <w:pPr>
        <w:widowControl w:val="1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RESULTADOS E DISCUSSÃO</w:t>
      </w:r>
    </w:p>
    <w:p w:rsidR="00000000" w:rsidDel="00000000" w:rsidP="00000000" w:rsidRDefault="00000000" w:rsidRPr="00000000" w14:paraId="00000019">
      <w:pPr>
        <w:widowControl w:val="1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dinâmica da regeneração natural ao longo dos anos revelou padrões distintos entre as espécies avaliadas. Os dados mostram que </w:t>
      </w:r>
      <w:r w:rsidDel="00000000" w:rsidR="00000000" w:rsidRPr="00000000">
        <w:rPr>
          <w:i w:val="1"/>
          <w:sz w:val="20"/>
          <w:szCs w:val="20"/>
          <w:rtl w:val="0"/>
        </w:rPr>
        <w:t xml:space="preserve">Bauhinia cheilantha</w:t>
      </w:r>
      <w:r w:rsidDel="00000000" w:rsidR="00000000" w:rsidRPr="00000000">
        <w:rPr>
          <w:sz w:val="20"/>
          <w:szCs w:val="20"/>
          <w:rtl w:val="0"/>
        </w:rPr>
        <w:t xml:space="preserve"> apresentou os maiores valores de regeneração natural relativa (RNR%) nos quatro ciclos de monitoramento, apesar da queda progressiva entre 2011 (34,38%) e 2023 (26,51%). Essa tendência pode indicar uma redução da capacidade competitiva da espécie em áreas de distúrbio contínuo, conforme observado por Silva e Oliveira (2015), que associaram a dominância de leguminosas à baixa pressão antrópica.</w:t>
      </w:r>
    </w:p>
    <w:p w:rsidR="00000000" w:rsidDel="00000000" w:rsidP="00000000" w:rsidRDefault="00000000" w:rsidRPr="00000000" w14:paraId="0000001A">
      <w:pPr>
        <w:widowControl w:val="1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outro lado, </w:t>
      </w:r>
      <w:r w:rsidDel="00000000" w:rsidR="00000000" w:rsidRPr="00000000">
        <w:rPr>
          <w:i w:val="1"/>
          <w:sz w:val="20"/>
          <w:szCs w:val="20"/>
          <w:rtl w:val="0"/>
        </w:rPr>
        <w:t xml:space="preserve">Jatropha mollissima</w:t>
      </w:r>
      <w:r w:rsidDel="00000000" w:rsidR="00000000" w:rsidRPr="00000000">
        <w:rPr>
          <w:sz w:val="20"/>
          <w:szCs w:val="20"/>
          <w:rtl w:val="0"/>
        </w:rPr>
        <w:t xml:space="preserve"> apresentou uma estratégia de aproveitamento das condições ambientais favoráveis, aumentando sua RNR% de 10,94% (2011) para 24,35% (2023). Essa espécie tem sido associada a ambientes degradados, devido à sua rápida taxa de crescimento, tolerância à insolação e capacidade de rebrotamento, características comuns entre as euforbiáceas da Caatinga (COSTA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al.</w:t>
      </w:r>
      <w:r w:rsidDel="00000000" w:rsidR="00000000" w:rsidRPr="00000000">
        <w:rPr>
          <w:sz w:val="20"/>
          <w:szCs w:val="20"/>
          <w:rtl w:val="0"/>
        </w:rPr>
        <w:t xml:space="preserve">, 2009). Esse padrão também se observa em </w:t>
      </w:r>
      <w:r w:rsidDel="00000000" w:rsidR="00000000" w:rsidRPr="00000000">
        <w:rPr>
          <w:i w:val="1"/>
          <w:sz w:val="20"/>
          <w:szCs w:val="20"/>
          <w:rtl w:val="0"/>
        </w:rPr>
        <w:t xml:space="preserve">Cnidoscolus quercifolius</w:t>
      </w:r>
      <w:r w:rsidDel="00000000" w:rsidR="00000000" w:rsidRPr="00000000">
        <w:rPr>
          <w:sz w:val="20"/>
          <w:szCs w:val="20"/>
          <w:rtl w:val="0"/>
        </w:rPr>
        <w:t xml:space="preserve">, que passou de 3,02% para 18,14% no mesmo período. Essa espécie, dotada de espinhos e resistência ao pisoteio, é frequentemente registrada como indicadora de áreas sob pressão de </w:t>
      </w:r>
      <w:r w:rsidDel="00000000" w:rsidR="00000000" w:rsidRPr="00000000">
        <w:rPr>
          <w:sz w:val="20"/>
          <w:szCs w:val="20"/>
          <w:rtl w:val="0"/>
        </w:rPr>
        <w:t xml:space="preserve">herbivoria</w:t>
      </w:r>
      <w:r w:rsidDel="00000000" w:rsidR="00000000" w:rsidRPr="00000000">
        <w:rPr>
          <w:sz w:val="20"/>
          <w:szCs w:val="20"/>
          <w:rtl w:val="0"/>
        </w:rPr>
        <w:t xml:space="preserve"> (MELO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., 2008). Já a </w:t>
      </w:r>
      <w:r w:rsidDel="00000000" w:rsidR="00000000" w:rsidRPr="00000000">
        <w:rPr>
          <w:i w:val="1"/>
          <w:sz w:val="20"/>
          <w:szCs w:val="20"/>
          <w:rtl w:val="0"/>
        </w:rPr>
        <w:t xml:space="preserve">Cenostigma bracteosum</w:t>
      </w:r>
      <w:r w:rsidDel="00000000" w:rsidR="00000000" w:rsidRPr="00000000">
        <w:rPr>
          <w:sz w:val="20"/>
          <w:szCs w:val="20"/>
          <w:rtl w:val="0"/>
        </w:rPr>
        <w:t xml:space="preserve"> manteve valores estáveis de RNR% entre 16 e 18% até 2019, com leve redução em 2023 (13,06%), o que pode estar relacionado à exigência hídrica maior em comparação com outras espécies adaptadas ao clima semiárido extremo (FURQUIM, 2018).</w:t>
      </w:r>
    </w:p>
    <w:p w:rsidR="00000000" w:rsidDel="00000000" w:rsidP="00000000" w:rsidRDefault="00000000" w:rsidRPr="00000000" w14:paraId="0000001B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ind w:left="851" w:hanging="85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Tabela 1. Regeneração natural relativa (RNR%) e seus parâmetros componentes em 2023 para as principais espécies, em Floresta – PE.</w:t>
      </w:r>
    </w:p>
    <w:tbl>
      <w:tblPr>
        <w:tblStyle w:val="Table1"/>
        <w:tblW w:w="796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30"/>
        <w:gridCol w:w="855"/>
        <w:gridCol w:w="810"/>
        <w:gridCol w:w="810"/>
        <w:gridCol w:w="960"/>
        <w:tblGridChange w:id="0">
          <w:tblGrid>
            <w:gridCol w:w="4530"/>
            <w:gridCol w:w="855"/>
            <w:gridCol w:w="810"/>
            <w:gridCol w:w="810"/>
            <w:gridCol w:w="9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b6d7a8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1"/>
              <w:spacing w:after="240" w:before="240" w:line="276" w:lineRule="auto"/>
              <w:ind w:left="600" w:right="6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Regeneração natural relativa (RNR%) e seus parâmetros componentes (%)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e8e8e8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Espécie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e8e8e8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CRT%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e8e8e8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DR%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e8e8e8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e8e8e8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RNR%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e8e8e8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ind w:left="566" w:right="566" w:firstLine="0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Bauhinia cheilantha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(Bong.) Steud.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24,83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27,78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26,92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26,51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e8e8e8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ind w:left="566" w:right="566" w:firstLine="0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Jatropha mollissima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Müll. Arg.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23,90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22,22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26,92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24,35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e8e8e8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ind w:left="566" w:right="566" w:firstLine="0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Cenostigma bracteosum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(Tul.) Gagnon &amp; G.P. Lewis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23,44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19,44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11,54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18,14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e8e8e8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ind w:left="566" w:right="566" w:firstLine="0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Cnidoscolus quercifolius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Poh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13,74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13,89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11,54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20.0" w:type="dxa"/>
              <w:left w:w="80.0" w:type="dxa"/>
              <w:bottom w:w="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13,06</w:t>
            </w:r>
          </w:p>
        </w:tc>
      </w:tr>
    </w:tbl>
    <w:p w:rsidR="00000000" w:rsidDel="00000000" w:rsidP="00000000" w:rsidRDefault="00000000" w:rsidRPr="00000000" w14:paraId="0000003B">
      <w:pPr>
        <w:widowControl w:val="1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Em que: RNR são os valores da regeneração natural relativa (%) por espécie; DR é a densidade relativa (%); FR é a frequência relativa (%); e CRT é a classe de tamanho da regeneração relativa (%).</w:t>
      </w:r>
    </w:p>
    <w:p w:rsidR="00000000" w:rsidDel="00000000" w:rsidP="00000000" w:rsidRDefault="00000000" w:rsidRPr="00000000" w14:paraId="0000003C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Dessa forma, os resultados sugerem que, embora a regeneração esteja em curso, ela é restrita a poucas espécies dominantes, o que pode reduzir a estabilidade e a capacidade adaptativa do ecossistema no longo prazo, conforme evidenciado por Paula (2017). A adoção de práticas de manejo, como o cercamento de áreas, o controle da carga animal e o enriquecimento com espécies nativas, se faz necessária para restaurar a heterogeneidade florística e promover a sucessão secundária (MASSOCA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., 2012). Estudos similares em áreas de Caatinga cercadas apontam que a pressão de caprinos e a ausência de regeneração inicial comprometem a estrutura populacional a médio prazo (FABRICANTE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, 2017). O estresse hídrico, intensificado no período de seca prolongada (2012–2016), também contribui para a mortalidade de plântulas, como evidenciado por CAMPOS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 (2021).</w:t>
      </w:r>
    </w:p>
    <w:p w:rsidR="00000000" w:rsidDel="00000000" w:rsidP="00000000" w:rsidRDefault="00000000" w:rsidRPr="00000000" w14:paraId="0000003E">
      <w:pPr>
        <w:widowControl w:val="1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Tabela 1 resume os valores da RNR% das quatro espécies mais representativas ao longo do tempo. A divergência entre espécies resilientes e oportunistas reflete o desequilíbrio na dinâmica regenerativa da vegetação e aponta para um empobrecimento da diversidade estrutural e funcional do fragmento (DA SILVA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al.</w:t>
      </w:r>
      <w:r w:rsidDel="00000000" w:rsidR="00000000" w:rsidRPr="00000000">
        <w:rPr>
          <w:sz w:val="20"/>
          <w:szCs w:val="20"/>
          <w:rtl w:val="0"/>
        </w:rPr>
        <w:t xml:space="preserve"> 2022).</w:t>
      </w:r>
    </w:p>
    <w:p w:rsidR="00000000" w:rsidDel="00000000" w:rsidP="00000000" w:rsidRDefault="00000000" w:rsidRPr="00000000" w14:paraId="0000003F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CONCLUSÕES</w:t>
      </w:r>
    </w:p>
    <w:p w:rsidR="00000000" w:rsidDel="00000000" w:rsidP="00000000" w:rsidRDefault="00000000" w:rsidRPr="00000000" w14:paraId="00000041">
      <w:pPr>
        <w:widowControl w:val="1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regeneração natural da Caatinga no fragmento estudado demonstrou uma redução significativa entre 2011 e 2023. As espécies </w:t>
      </w:r>
      <w:r w:rsidDel="00000000" w:rsidR="00000000" w:rsidRPr="00000000">
        <w:rPr>
          <w:i w:val="1"/>
          <w:sz w:val="20"/>
          <w:szCs w:val="20"/>
          <w:rtl w:val="0"/>
        </w:rPr>
        <w:t xml:space="preserve">Bauhinia cheilantha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Jatropha mollissima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Cenostigma bracteosum</w:t>
      </w:r>
      <w:r w:rsidDel="00000000" w:rsidR="00000000" w:rsidRPr="00000000">
        <w:rPr>
          <w:sz w:val="20"/>
          <w:szCs w:val="20"/>
          <w:rtl w:val="0"/>
        </w:rPr>
        <w:t xml:space="preserve"> e </w:t>
      </w:r>
      <w:r w:rsidDel="00000000" w:rsidR="00000000" w:rsidRPr="00000000">
        <w:rPr>
          <w:i w:val="1"/>
          <w:sz w:val="20"/>
          <w:szCs w:val="20"/>
          <w:rtl w:val="0"/>
        </w:rPr>
        <w:t xml:space="preserve">Cnidoscolus quercifolius</w:t>
      </w:r>
      <w:r w:rsidDel="00000000" w:rsidR="00000000" w:rsidRPr="00000000">
        <w:rPr>
          <w:sz w:val="20"/>
          <w:szCs w:val="20"/>
          <w:rtl w:val="0"/>
        </w:rPr>
        <w:t xml:space="preserve"> foram as que apresentaram maior potencial regenerativo. A ação de caprinos e a seca prolongada foram identificadas como os principais fatores limitantes para a regeneração da área. Diante desse cenário, o monitoramento contínuo da vegetação se mostra essencial para o desenvolvimento de estratégias eficazes de conservação da Caatinga e restauração de suas áreas.</w:t>
      </w:r>
    </w:p>
    <w:p w:rsidR="00000000" w:rsidDel="00000000" w:rsidP="00000000" w:rsidRDefault="00000000" w:rsidRPr="00000000" w14:paraId="00000042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44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ALVES, J. J. Geoecologia da caatinga no semi-árido do Nordeste brasileiro. </w:t>
      </w:r>
      <w:r w:rsidDel="00000000" w:rsidR="00000000" w:rsidRPr="00000000">
        <w:rPr>
          <w:b w:val="1"/>
          <w:sz w:val="20"/>
          <w:szCs w:val="20"/>
          <w:rtl w:val="0"/>
        </w:rPr>
        <w:t xml:space="preserve">CLIMEP-Climatologia e Estudos da Paisagem</w:t>
      </w:r>
      <w:r w:rsidDel="00000000" w:rsidR="00000000" w:rsidRPr="00000000">
        <w:rPr>
          <w:sz w:val="20"/>
          <w:szCs w:val="20"/>
          <w:rtl w:val="0"/>
        </w:rPr>
        <w:t xml:space="preserve">, v. 2, n. 1, 2007.</w:t>
      </w:r>
    </w:p>
    <w:p w:rsidR="00000000" w:rsidDel="00000000" w:rsidP="00000000" w:rsidRDefault="00000000" w:rsidRPr="00000000" w14:paraId="00000045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ALVES JUNIOR, F. T.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 Regeneração natural de uma área de caatinga no sertão Pernambucano, nordeste do Brasil. </w:t>
      </w:r>
      <w:r w:rsidDel="00000000" w:rsidR="00000000" w:rsidRPr="00000000">
        <w:rPr>
          <w:b w:val="1"/>
          <w:sz w:val="20"/>
          <w:szCs w:val="20"/>
          <w:rtl w:val="0"/>
        </w:rPr>
        <w:t xml:space="preserve">Cerne</w:t>
      </w:r>
      <w:r w:rsidDel="00000000" w:rsidR="00000000" w:rsidRPr="00000000">
        <w:rPr>
          <w:sz w:val="20"/>
          <w:szCs w:val="20"/>
          <w:rtl w:val="0"/>
        </w:rPr>
        <w:t xml:space="preserve">, v. 19, p. 229-235, 2013.</w:t>
      </w:r>
    </w:p>
    <w:p w:rsidR="00000000" w:rsidDel="00000000" w:rsidP="00000000" w:rsidRDefault="00000000" w:rsidRPr="00000000" w14:paraId="00000046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CAMPOS, A. J. M.; SANTOS, S. M.; NACARATH, I. R. F. F. Estresse hídrico em plantas: uma revisão. </w:t>
      </w:r>
      <w:r w:rsidDel="00000000" w:rsidR="00000000" w:rsidRPr="00000000">
        <w:rPr>
          <w:b w:val="1"/>
          <w:sz w:val="20"/>
          <w:szCs w:val="20"/>
          <w:rtl w:val="0"/>
        </w:rPr>
        <w:t xml:space="preserve">Research, Society and Development</w:t>
      </w:r>
      <w:r w:rsidDel="00000000" w:rsidR="00000000" w:rsidRPr="00000000">
        <w:rPr>
          <w:sz w:val="20"/>
          <w:szCs w:val="20"/>
          <w:rtl w:val="0"/>
        </w:rPr>
        <w:t xml:space="preserve">, v. 10, n. 15, p. 1-7, 2021.</w:t>
      </w:r>
    </w:p>
    <w:p w:rsidR="00000000" w:rsidDel="00000000" w:rsidP="00000000" w:rsidRDefault="00000000" w:rsidRPr="00000000" w14:paraId="00000047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COSTA, T. C.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 Análise da degradação da caatinga no núcleo de desertificação do Seridó (RN/PB). </w:t>
      </w:r>
      <w:r w:rsidDel="00000000" w:rsidR="00000000" w:rsidRPr="00000000">
        <w:rPr>
          <w:b w:val="1"/>
          <w:sz w:val="20"/>
          <w:szCs w:val="20"/>
          <w:rtl w:val="0"/>
        </w:rPr>
        <w:t xml:space="preserve">Revista Brasileira de Engenharia Agrícola e Ambiental</w:t>
      </w:r>
      <w:r w:rsidDel="00000000" w:rsidR="00000000" w:rsidRPr="00000000">
        <w:rPr>
          <w:sz w:val="20"/>
          <w:szCs w:val="20"/>
          <w:rtl w:val="0"/>
        </w:rPr>
        <w:t xml:space="preserve">, v. 13, p. 961-974, 2009.</w:t>
      </w:r>
    </w:p>
    <w:p w:rsidR="00000000" w:rsidDel="00000000" w:rsidP="00000000" w:rsidRDefault="00000000" w:rsidRPr="00000000" w14:paraId="00000048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 SILVA, F. P.; CASTRO, F. C.; DA CRUZ JUNIOR, A. G. Processo de desertificação e perda de diversidade Biológica no Semiárido Brasileiro. </w:t>
      </w:r>
      <w:r w:rsidDel="00000000" w:rsidR="00000000" w:rsidRPr="00000000">
        <w:rPr>
          <w:b w:val="1"/>
          <w:sz w:val="20"/>
          <w:szCs w:val="20"/>
          <w:rtl w:val="0"/>
        </w:rPr>
        <w:t xml:space="preserve">Revista Ouricuri</w:t>
      </w:r>
      <w:r w:rsidDel="00000000" w:rsidR="00000000" w:rsidRPr="00000000">
        <w:rPr>
          <w:sz w:val="20"/>
          <w:szCs w:val="20"/>
          <w:rtl w:val="0"/>
        </w:rPr>
        <w:t xml:space="preserve">, v. 14, n. 2, p. 1-11, 2024.</w:t>
      </w:r>
    </w:p>
    <w:p w:rsidR="00000000" w:rsidDel="00000000" w:rsidP="00000000" w:rsidRDefault="00000000" w:rsidRPr="00000000" w14:paraId="00000049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 SILVA, L. S.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 Diversidade de espécies arbóreas entre fragmentos de Floresta Estacional Semidecidual, Minas Gerais, Brasil.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Diversitas Journal</w:t>
      </w:r>
      <w:r w:rsidDel="00000000" w:rsidR="00000000" w:rsidRPr="00000000">
        <w:rPr>
          <w:sz w:val="20"/>
          <w:szCs w:val="20"/>
          <w:rtl w:val="0"/>
        </w:rPr>
        <w:t xml:space="preserve">, v. 7, n. 1, p. 52-70, 2022.</w:t>
      </w:r>
    </w:p>
    <w:p w:rsidR="00000000" w:rsidDel="00000000" w:rsidP="00000000" w:rsidRDefault="00000000" w:rsidRPr="00000000" w14:paraId="0000004A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 SOUZA, L. M.; BARBOSA, M. R.; NASCIMENTO, K. R. P. Estratégias adaptativas à limitada disponibilidade hídrica em espécies arbóreas da Caatinga. </w:t>
      </w:r>
      <w:r w:rsidDel="00000000" w:rsidR="00000000" w:rsidRPr="00000000">
        <w:rPr>
          <w:b w:val="1"/>
          <w:sz w:val="20"/>
          <w:szCs w:val="20"/>
          <w:rtl w:val="0"/>
        </w:rPr>
        <w:t xml:space="preserve">Multidisciplinary Sciences Reports</w:t>
      </w:r>
      <w:r w:rsidDel="00000000" w:rsidR="00000000" w:rsidRPr="00000000">
        <w:rPr>
          <w:sz w:val="20"/>
          <w:szCs w:val="20"/>
          <w:rtl w:val="0"/>
        </w:rPr>
        <w:t xml:space="preserve">, v. 3, n. 3, p. 1-22, 2023.</w:t>
      </w:r>
    </w:p>
    <w:p w:rsidR="00000000" w:rsidDel="00000000" w:rsidP="00000000" w:rsidRDefault="00000000" w:rsidRPr="00000000" w14:paraId="0000004B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FABRICANTE, J. R.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 Mortalidade de mudas de espécies nativas sob efeito do pastejo de caprinos, ovinos e emas: implicações para projetos de recuperação/restauração de áreas degradadas na caatinga. </w:t>
      </w:r>
      <w:r w:rsidDel="00000000" w:rsidR="00000000" w:rsidRPr="00000000">
        <w:rPr>
          <w:b w:val="1"/>
          <w:sz w:val="20"/>
          <w:szCs w:val="20"/>
          <w:rtl w:val="0"/>
        </w:rPr>
        <w:t xml:space="preserve">Nativa</w:t>
      </w:r>
      <w:r w:rsidDel="00000000" w:rsidR="00000000" w:rsidRPr="00000000">
        <w:rPr>
          <w:sz w:val="20"/>
          <w:szCs w:val="20"/>
          <w:rtl w:val="0"/>
        </w:rPr>
        <w:t xml:space="preserve">, v. 5, n. 6, p. 410-413, 2017.</w:t>
      </w:r>
    </w:p>
    <w:p w:rsidR="00000000" w:rsidDel="00000000" w:rsidP="00000000" w:rsidRDefault="00000000" w:rsidRPr="00000000" w14:paraId="0000004C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FURQUIM, L. C.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 P. Relação entre plantas nativas do cerrado e água. </w:t>
      </w:r>
      <w:r w:rsidDel="00000000" w:rsidR="00000000" w:rsidRPr="00000000">
        <w:rPr>
          <w:b w:val="1"/>
          <w:sz w:val="20"/>
          <w:szCs w:val="20"/>
          <w:rtl w:val="0"/>
        </w:rPr>
        <w:t xml:space="preserve">Científica-Multidisciplinary Journal</w:t>
      </w:r>
      <w:r w:rsidDel="00000000" w:rsidR="00000000" w:rsidRPr="00000000">
        <w:rPr>
          <w:sz w:val="20"/>
          <w:szCs w:val="20"/>
          <w:rtl w:val="0"/>
        </w:rPr>
        <w:t xml:space="preserve">, v. 5, n. 2, p. 146-156, 2018.</w:t>
      </w:r>
    </w:p>
    <w:p w:rsidR="00000000" w:rsidDel="00000000" w:rsidP="00000000" w:rsidRDefault="00000000" w:rsidRPr="00000000" w14:paraId="0000004D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MAIA, J. M.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 Motivações socioeconômicas para a conservação e exploração sustentável do bioma Caatinga. </w:t>
      </w:r>
      <w:r w:rsidDel="00000000" w:rsidR="00000000" w:rsidRPr="00000000">
        <w:rPr>
          <w:b w:val="1"/>
          <w:sz w:val="20"/>
          <w:szCs w:val="20"/>
          <w:rtl w:val="0"/>
        </w:rPr>
        <w:t xml:space="preserve">Desenvolvimento e Meio Ambiente</w:t>
      </w:r>
      <w:r w:rsidDel="00000000" w:rsidR="00000000" w:rsidRPr="00000000">
        <w:rPr>
          <w:sz w:val="20"/>
          <w:szCs w:val="20"/>
          <w:rtl w:val="0"/>
        </w:rPr>
        <w:t xml:space="preserve">, v. 41, 2017.</w:t>
      </w:r>
    </w:p>
    <w:p w:rsidR="00000000" w:rsidDel="00000000" w:rsidP="00000000" w:rsidRDefault="00000000" w:rsidRPr="00000000" w14:paraId="0000004E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MASSOCA, P. E. S.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 Dinâmica e trajetórias da sucessão secundária na Amazônia central. </w:t>
      </w:r>
      <w:r w:rsidDel="00000000" w:rsidR="00000000" w:rsidRPr="00000000">
        <w:rPr>
          <w:b w:val="1"/>
          <w:sz w:val="20"/>
          <w:szCs w:val="20"/>
          <w:rtl w:val="0"/>
        </w:rPr>
        <w:t xml:space="preserve">Boletim do Museu Paraense Emílio Goeldi - Ciências Naturais</w:t>
      </w:r>
      <w:r w:rsidDel="00000000" w:rsidR="00000000" w:rsidRPr="00000000">
        <w:rPr>
          <w:sz w:val="20"/>
          <w:szCs w:val="20"/>
          <w:rtl w:val="0"/>
        </w:rPr>
        <w:t xml:space="preserve">, v. 7, n. 3, p. 235-250, 2012.</w:t>
      </w:r>
    </w:p>
    <w:p w:rsidR="00000000" w:rsidDel="00000000" w:rsidP="00000000" w:rsidRDefault="00000000" w:rsidRPr="00000000" w14:paraId="0000004F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MELO, A. L.; SALES, M. F. O gênero </w:t>
      </w:r>
      <w:r w:rsidDel="00000000" w:rsidR="00000000" w:rsidRPr="00000000">
        <w:rPr>
          <w:i w:val="1"/>
          <w:sz w:val="20"/>
          <w:szCs w:val="20"/>
          <w:rtl w:val="0"/>
        </w:rPr>
        <w:t xml:space="preserve">Cnidoscolus</w:t>
      </w:r>
      <w:r w:rsidDel="00000000" w:rsidR="00000000" w:rsidRPr="00000000">
        <w:rPr>
          <w:sz w:val="20"/>
          <w:szCs w:val="20"/>
          <w:rtl w:val="0"/>
        </w:rPr>
        <w:t xml:space="preserve"> Pohl (Crotonoideae - Euphorbiaceae) no Estado de Pernambuco, Brasil. </w:t>
      </w:r>
      <w:r w:rsidDel="00000000" w:rsidR="00000000" w:rsidRPr="00000000">
        <w:rPr>
          <w:b w:val="1"/>
          <w:sz w:val="20"/>
          <w:szCs w:val="20"/>
          <w:rtl w:val="0"/>
        </w:rPr>
        <w:t xml:space="preserve">Acta Botanica Brasilica</w:t>
      </w:r>
      <w:r w:rsidDel="00000000" w:rsidR="00000000" w:rsidRPr="00000000">
        <w:rPr>
          <w:sz w:val="20"/>
          <w:szCs w:val="20"/>
          <w:rtl w:val="0"/>
        </w:rPr>
        <w:t xml:space="preserve">, v. 22, p. 806-827, 2008.</w:t>
      </w:r>
    </w:p>
    <w:p w:rsidR="00000000" w:rsidDel="00000000" w:rsidP="00000000" w:rsidRDefault="00000000" w:rsidRPr="00000000" w14:paraId="00000050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MINISTÉRIO DO MEIO AMBIENTE E MUDANÇA DO CLIMA (MMA). Caatinga. Disponível em: </w:t>
      </w: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https://www.gov.br/mma/pt-br/assuntos/biodiversidade-e-biomas/biomas-e-ecossistemas/biomas/caatinga</w:t>
        </w:r>
      </w:hyperlink>
      <w:r w:rsidDel="00000000" w:rsidR="00000000" w:rsidRPr="00000000">
        <w:rPr>
          <w:sz w:val="20"/>
          <w:szCs w:val="20"/>
          <w:rtl w:val="0"/>
        </w:rPr>
        <w:t xml:space="preserve">. Acesso em: 20  mai. 2025.</w:t>
      </w:r>
    </w:p>
    <w:p w:rsidR="00000000" w:rsidDel="00000000" w:rsidP="00000000" w:rsidRDefault="00000000" w:rsidRPr="00000000" w14:paraId="00000051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PAULA, A.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Regeneração natural de uma área de caatinga após o uso para a agricultura ao longo de uma cronossequência.</w:t>
      </w:r>
      <w:r w:rsidDel="00000000" w:rsidR="00000000" w:rsidRPr="00000000">
        <w:rPr>
          <w:sz w:val="20"/>
          <w:szCs w:val="20"/>
          <w:rtl w:val="0"/>
        </w:rPr>
        <w:t xml:space="preserve"> 2017. Dissertação (Mestrado em Biologia Vegetal) – Universidade Federal de Pernambuco, Recife, 2017. Disponível em: https://repositorio.ufpe.br/handle/123456789/30487. Acesso em: 30 maio 2025.</w:t>
      </w:r>
    </w:p>
    <w:p w:rsidR="00000000" w:rsidDel="00000000" w:rsidP="00000000" w:rsidRDefault="00000000" w:rsidRPr="00000000" w14:paraId="00000052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SCHNEIDER, C. R.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sz w:val="20"/>
          <w:szCs w:val="20"/>
          <w:rtl w:val="0"/>
        </w:rPr>
        <w:t xml:space="preserve">. Espécies, práticas silviculturais e monitoramento: estratégias para restauração ecológica de áreas protegidas da Mata Atlântica. </w:t>
      </w:r>
      <w:r w:rsidDel="00000000" w:rsidR="00000000" w:rsidRPr="00000000">
        <w:rPr>
          <w:b w:val="1"/>
          <w:sz w:val="20"/>
          <w:szCs w:val="20"/>
          <w:rtl w:val="0"/>
        </w:rPr>
        <w:t xml:space="preserve">Ciência Florestal</w:t>
      </w:r>
      <w:r w:rsidDel="00000000" w:rsidR="00000000" w:rsidRPr="00000000">
        <w:rPr>
          <w:sz w:val="20"/>
          <w:szCs w:val="20"/>
          <w:rtl w:val="0"/>
        </w:rPr>
        <w:t xml:space="preserve">, v. 33, n. 4, p. 1-22, 2023. </w:t>
      </w:r>
    </w:p>
    <w:p w:rsidR="00000000" w:rsidDel="00000000" w:rsidP="00000000" w:rsidRDefault="00000000" w:rsidRPr="00000000" w14:paraId="00000053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SILVA, A. C. C.; OLIVEIRA, D. G. Estrutura populacional e distribuição espacial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Bauhinia cheilantha</w:t>
      </w:r>
      <w:r w:rsidDel="00000000" w:rsidR="00000000" w:rsidRPr="00000000">
        <w:rPr>
          <w:sz w:val="20"/>
          <w:szCs w:val="20"/>
          <w:rtl w:val="0"/>
        </w:rPr>
        <w:t xml:space="preserve"> (bong.) steud. em dois fragmentos em diferentes estágios de regeneração na Caatinga, em Sergipe, Brasil. </w:t>
      </w:r>
      <w:r w:rsidDel="00000000" w:rsidR="00000000" w:rsidRPr="00000000">
        <w:rPr>
          <w:b w:val="1"/>
          <w:sz w:val="20"/>
          <w:szCs w:val="20"/>
          <w:rtl w:val="0"/>
        </w:rPr>
        <w:t xml:space="preserve">Revista Árvore</w:t>
      </w:r>
      <w:r w:rsidDel="00000000" w:rsidR="00000000" w:rsidRPr="00000000">
        <w:rPr>
          <w:sz w:val="20"/>
          <w:szCs w:val="20"/>
          <w:rtl w:val="0"/>
        </w:rPr>
        <w:t xml:space="preserve">, v. 39, p. 431-437, 2015.</w:t>
      </w:r>
    </w:p>
    <w:p w:rsidR="00000000" w:rsidDel="00000000" w:rsidP="00000000" w:rsidRDefault="00000000" w:rsidRPr="00000000" w14:paraId="00000054">
      <w:pPr>
        <w:widowControl w:val="1"/>
        <w:spacing w:after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SILVA, G. Z. </w:t>
      </w:r>
      <w:r w:rsidDel="00000000" w:rsidR="00000000" w:rsidRPr="00000000">
        <w:rPr>
          <w:b w:val="1"/>
          <w:sz w:val="20"/>
          <w:szCs w:val="20"/>
          <w:rtl w:val="0"/>
        </w:rPr>
        <w:t xml:space="preserve">Estresse hídrico na fisiologia da germinação e morfoanatomia de plântulas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Myracrodruon urundeuva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Fr. All. (Anacardiaceae).</w:t>
      </w:r>
      <w:r w:rsidDel="00000000" w:rsidR="00000000" w:rsidRPr="00000000">
        <w:rPr>
          <w:sz w:val="20"/>
          <w:szCs w:val="20"/>
          <w:rtl w:val="0"/>
        </w:rPr>
        <w:t xml:space="preserve"> 2016. Dissertação (Mestrado em Ciências Biológicas) – Universidade Federal da Paraíba, Areia, 2016. Disponível em: https://repositorio.ufpb.br/jspui/handle/tede/8026. Acesso em: 28 maio 2025.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10" w:orient="portrait"/>
      <w:pgMar w:bottom="1134" w:top="1909" w:left="1701" w:right="1134" w:header="1418" w:footer="140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b w:val="1"/>
        <w:sz w:val="24"/>
        <w:szCs w:val="24"/>
      </w:rPr>
    </w:pPr>
    <w:r w:rsidDel="00000000" w:rsidR="00000000" w:rsidRPr="00000000">
      <w:rPr>
        <w:color w:val="000000"/>
      </w:rPr>
      <w:drawing>
        <wp:inline distB="0" distT="0" distL="0" distR="0">
          <wp:extent cx="5274310" cy="791210"/>
          <wp:effectExtent b="0" l="0" r="0" t="0"/>
          <wp:docPr descr="Desenho de personagem de desenho animado&#10;&#10;Descrição gerada automaticamente com confiança média" id="43765518" name="image1.png"/>
          <a:graphic>
            <a:graphicData uri="http://schemas.openxmlformats.org/drawingml/2006/picture">
              <pic:pic>
                <pic:nvPicPr>
                  <pic:cNvPr descr="Desenho de personagem de desenho animado&#10;&#10;Descrição gerada automaticamente com confiança mé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4310" cy="791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1080" w:hanging="360"/>
      </w:pPr>
      <w:rPr>
        <w:b w:val="1"/>
      </w:rPr>
    </w:lvl>
    <w:lvl w:ilvl="1">
      <w:start w:val="1"/>
      <w:numFmt w:val="decimal"/>
      <w:lvlText w:val="%1.%2"/>
      <w:lvlJc w:val="left"/>
      <w:pPr>
        <w:ind w:left="1080" w:hanging="360"/>
      </w:pPr>
      <w:rPr/>
    </w:lvl>
    <w:lvl w:ilvl="2">
      <w:start w:val="1"/>
      <w:numFmt w:val="decimal"/>
      <w:lvlText w:val="%1.%2.%3"/>
      <w:lvlJc w:val="left"/>
      <w:pPr>
        <w:ind w:left="1440" w:hanging="720"/>
      </w:pPr>
      <w:rPr/>
    </w:lvl>
    <w:lvl w:ilvl="3">
      <w:start w:val="1"/>
      <w:numFmt w:val="decimal"/>
      <w:lvlText w:val="%1.%2.%3.%4"/>
      <w:lvlJc w:val="left"/>
      <w:pPr>
        <w:ind w:left="1440" w:hanging="720"/>
      </w:pPr>
      <w:rPr/>
    </w:lvl>
    <w:lvl w:ilvl="4">
      <w:start w:val="1"/>
      <w:numFmt w:val="decimal"/>
      <w:lvlText w:val="%1.%2.%3.%4.%5"/>
      <w:lvlJc w:val="left"/>
      <w:pPr>
        <w:ind w:left="1440" w:hanging="720"/>
      </w:pPr>
      <w:rPr/>
    </w:lvl>
    <w:lvl w:ilvl="5">
      <w:start w:val="1"/>
      <w:numFmt w:val="decimal"/>
      <w:lvlText w:val="%1.%2.%3.%4.%5.%6"/>
      <w:lvlJc w:val="left"/>
      <w:pPr>
        <w:ind w:left="180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080"/>
      </w:pPr>
      <w:rPr/>
    </w:lvl>
    <w:lvl w:ilvl="7">
      <w:start w:val="1"/>
      <w:numFmt w:val="decimal"/>
      <w:lvlText w:val="%1.%2.%3.%4.%5.%6.%7.%8"/>
      <w:lvlJc w:val="left"/>
      <w:pPr>
        <w:ind w:left="216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18" w:lineRule="auto"/>
      <w:ind w:left="107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bidi="pt-BR"/>
    </w:rPr>
  </w:style>
  <w:style w:type="paragraph" w:styleId="Ttulo1">
    <w:name w:val="heading 1"/>
    <w:basedOn w:val="Normal"/>
    <w:uiPriority w:val="9"/>
    <w:qFormat w:val="1"/>
    <w:pPr>
      <w:spacing w:before="18"/>
      <w:ind w:left="107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973" w:hanging="355"/>
    </w:pPr>
  </w:style>
  <w:style w:type="paragraph" w:styleId="TableParagraph" w:customStyle="1">
    <w:name w:val="Table Paragraph"/>
    <w:basedOn w:val="Normal"/>
    <w:uiPriority w:val="1"/>
    <w:qFormat w:val="1"/>
    <w:pPr>
      <w:ind w:left="108"/>
      <w:jc w:val="both"/>
    </w:pPr>
  </w:style>
  <w:style w:type="paragraph" w:styleId="Cabealho">
    <w:name w:val="header"/>
    <w:basedOn w:val="Normal"/>
    <w:link w:val="CabealhoChar"/>
    <w:uiPriority w:val="99"/>
    <w:unhideWhenUsed w:val="1"/>
    <w:rsid w:val="0032462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24625"/>
    <w:rPr>
      <w:rFonts w:ascii="Times New Roman" w:cs="Times New Roman" w:eastAsia="Times New Roman" w:hAnsi="Times New Roman"/>
      <w:lang w:bidi="pt-BR" w:eastAsia="pt-BR" w:val="pt-BR"/>
    </w:rPr>
  </w:style>
  <w:style w:type="paragraph" w:styleId="Rodap">
    <w:name w:val="footer"/>
    <w:basedOn w:val="Normal"/>
    <w:link w:val="RodapChar"/>
    <w:uiPriority w:val="99"/>
    <w:unhideWhenUsed w:val="1"/>
    <w:rsid w:val="0032462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324625"/>
    <w:rPr>
      <w:rFonts w:ascii="Times New Roman" w:cs="Times New Roman" w:eastAsia="Times New Roman" w:hAnsi="Times New Roman"/>
      <w:lang w:bidi="pt-BR" w:eastAsia="pt-BR" w:val="pt-BR"/>
    </w:rPr>
  </w:style>
  <w:style w:type="paragraph" w:styleId="NormalWeb">
    <w:name w:val="Normal (Web)"/>
    <w:basedOn w:val="Normal"/>
    <w:uiPriority w:val="99"/>
    <w:rsid w:val="00832A03"/>
    <w:pPr>
      <w:widowControl w:val="1"/>
      <w:suppressAutoHyphens w:val="1"/>
      <w:spacing w:after="119" w:before="100"/>
    </w:pPr>
    <w:rPr>
      <w:sz w:val="24"/>
      <w:szCs w:val="24"/>
      <w:lang w:bidi="ar-SA" w:eastAsia="ar-SA" w:val="en-US"/>
    </w:rPr>
  </w:style>
  <w:style w:type="character" w:styleId="nfase">
    <w:name w:val="Emphasis"/>
    <w:uiPriority w:val="20"/>
    <w:qFormat w:val="1"/>
    <w:rsid w:val="00832A03"/>
    <w:rPr>
      <w:i w:val="1"/>
      <w:iCs w:val="1"/>
    </w:rPr>
  </w:style>
  <w:style w:type="character" w:styleId="Hyperlink">
    <w:name w:val="Hyperlink"/>
    <w:basedOn w:val="Fontepargpadro"/>
    <w:uiPriority w:val="99"/>
    <w:unhideWhenUsed w:val="1"/>
    <w:rsid w:val="00085E2B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Reviso">
    <w:name w:val="Revision"/>
    <w:hidden w:val="1"/>
    <w:uiPriority w:val="99"/>
    <w:semiHidden w:val="1"/>
    <w:rsid w:val="00B84A84"/>
    <w:pPr>
      <w:widowControl w:val="1"/>
    </w:pPr>
    <w:rPr>
      <w:lang w:bidi="pt-BR"/>
    </w:r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83D3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mma/pt-br/assuntos/biodiversidade-e-biomas/biomas-e-ecossistemas/biomas/caatinga" TargetMode="Externa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ugLF1QwYx8FXfv/mx1KBRGC17g==">CgMxLjAyCGguZ2pkZ3hzOAByITFxbkJBVkJINGhVZm1fUWI5MXJyLVc3M0Y2aWZCNXBDSg==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2025-06-11T00:19:00Z</dcterms:created>
  <dc:creator>Liana Oliveira Costa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