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360" w:line="276" w:lineRule="auto"/>
        <w:jc w:val="center"/>
        <w:rPr>
          <w:b w:val="1"/>
          <w:color w:val="313131"/>
          <w:sz w:val="28"/>
          <w:szCs w:val="28"/>
        </w:rPr>
      </w:pPr>
      <w:r w:rsidDel="00000000" w:rsidR="00000000" w:rsidRPr="00000000">
        <w:rPr>
          <w:b w:val="1"/>
          <w:color w:val="313131"/>
          <w:sz w:val="28"/>
          <w:szCs w:val="28"/>
          <w:highlight w:val="white"/>
          <w:rtl w:val="0"/>
        </w:rPr>
        <w:t xml:space="preserve">ATIVIDADE DIDÁTICA</w:t>
      </w:r>
      <w:r w:rsidDel="00000000" w:rsidR="00000000" w:rsidRPr="00000000">
        <w:rPr>
          <w:b w:val="1"/>
          <w:color w:val="31313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13131"/>
          <w:sz w:val="28"/>
          <w:szCs w:val="28"/>
          <w:highlight w:val="white"/>
          <w:rtl w:val="0"/>
        </w:rPr>
        <w:t xml:space="preserve">“RELEMBRANDO A ANATOMIA”</w:t>
      </w:r>
      <w:r w:rsidDel="00000000" w:rsidR="00000000" w:rsidRPr="00000000">
        <w:rPr>
          <w:b w:val="1"/>
          <w:color w:val="313131"/>
          <w:sz w:val="28"/>
          <w:szCs w:val="28"/>
          <w:highlight w:val="white"/>
          <w:rtl w:val="0"/>
        </w:rPr>
        <w:t xml:space="preserve"> DURANTE A PANDEMIA DE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color w:val="555555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color w:val="555555"/>
          <w:sz w:val="22"/>
          <w:szCs w:val="22"/>
          <w:u w:val="single"/>
          <w:rtl w:val="0"/>
        </w:rPr>
        <w:t xml:space="preserve">Segato, L.L</w:t>
      </w:r>
      <w:r w:rsidDel="00000000" w:rsidR="00000000" w:rsidRPr="00000000">
        <w:rPr>
          <w:color w:val="313131"/>
          <w:sz w:val="22"/>
          <w:szCs w:val="22"/>
          <w:highlight w:val="white"/>
          <w:u w:val="single"/>
          <w:rtl w:val="0"/>
        </w:rPr>
        <w:t xml:space="preserve">.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; Silva, R.C.</w:t>
      </w: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1 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; Mergulhão, J.M¹.; Blanchart, T.V¹.; Costa, C. M.¹; Freitas, L.R.C.¹; Degani, V.A.N.²; Benedicto, H.G.²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b w:val="1"/>
          <w:color w:val="55555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ind w:left="426" w:hanging="426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color w:val="313131"/>
          <w:sz w:val="22"/>
          <w:szCs w:val="22"/>
          <w:highlight w:val="white"/>
          <w:vertAlign w:val="superscript"/>
          <w:rtl w:val="0"/>
        </w:rPr>
        <w:t xml:space="preserve">1 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Graduação em Medicina Veterinária na Universidade Federal Fluminense - UFF, Niterói - RJ. 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ind w:left="426" w:hanging="426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² Professor(a) do Departamento de Morfologia da Universidade Federal Fluminense - UFF, Niterói - RJ.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center"/>
        <w:rPr>
          <w:sz w:val="22"/>
          <w:szCs w:val="22"/>
          <w:u w:val="single"/>
        </w:rPr>
      </w:pP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E-mail: </w:t>
      </w:r>
      <w:r w:rsidDel="00000000" w:rsidR="00000000" w:rsidRPr="00000000">
        <w:rPr>
          <w:color w:val="313131"/>
          <w:sz w:val="22"/>
          <w:szCs w:val="22"/>
          <w:u w:val="single"/>
          <w:rtl w:val="0"/>
        </w:rPr>
        <w:t xml:space="preserve">luanasegato@id.uff.br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>
          <w:color w:val="55555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pandemia de COVID-19 foi responsável pela interrupção de diversas atividades acadêmicas presenciais, influenciando diretamente os estudos dos alunos de graduação do curso de Medicina Veterinária da Universidade Federal Fluminense justificando o desenvolvimento da atividade didática </w:t>
      </w:r>
      <w:r w:rsidDel="00000000" w:rsidR="00000000" w:rsidRPr="00000000">
        <w:rPr>
          <w:sz w:val="22"/>
          <w:szCs w:val="22"/>
          <w:rtl w:val="0"/>
        </w:rPr>
        <w:t xml:space="preserve"> ‘Relembrando a Anatomia’ </w:t>
      </w:r>
      <w:r w:rsidDel="00000000" w:rsidR="00000000" w:rsidRPr="00000000">
        <w:rPr>
          <w:sz w:val="22"/>
          <w:szCs w:val="22"/>
          <w:rtl w:val="0"/>
        </w:rPr>
        <w:t xml:space="preserve">pelo Grupo de Estudos de Anatomia Veterinária, para manter vivo o ensino da anatomia veterinária. Foram elaboradas atividades </w:t>
      </w:r>
      <w:r w:rsidDel="00000000" w:rsidR="00000000" w:rsidRPr="00000000">
        <w:rPr>
          <w:i w:val="1"/>
          <w:sz w:val="22"/>
          <w:szCs w:val="22"/>
          <w:rtl w:val="0"/>
        </w:rPr>
        <w:t xml:space="preserve">online </w:t>
      </w:r>
      <w:r w:rsidDel="00000000" w:rsidR="00000000" w:rsidRPr="00000000">
        <w:rPr>
          <w:sz w:val="22"/>
          <w:szCs w:val="22"/>
          <w:rtl w:val="0"/>
        </w:rPr>
        <w:t xml:space="preserve">que abordaram temas referentes à anatomia topográfica e aplicada dos mamíferos domésticos a fim de incitar o estudo e disseminar o conhecimento da disciplina durante esse período.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O grupo de trabalho do projeto foi composto por dois professores orientadores e seis alunas de graduação que organizaram as palestras e confeccionaram testes avaliativos (</w:t>
      </w:r>
      <w:r w:rsidDel="00000000" w:rsidR="00000000" w:rsidRPr="00000000">
        <w:rPr>
          <w:i w:val="1"/>
          <w:sz w:val="22"/>
          <w:szCs w:val="22"/>
          <w:rtl w:val="0"/>
        </w:rPr>
        <w:t xml:space="preserve">quizzes</w:t>
      </w:r>
      <w:r w:rsidDel="00000000" w:rsidR="00000000" w:rsidRPr="00000000">
        <w:rPr>
          <w:sz w:val="22"/>
          <w:szCs w:val="22"/>
          <w:rtl w:val="0"/>
        </w:rPr>
        <w:t xml:space="preserve">), disponibilizados ao final de algumas palestras. Utilizou-se o software </w:t>
      </w:r>
      <w:r w:rsidDel="00000000" w:rsidR="00000000" w:rsidRPr="00000000">
        <w:rPr>
          <w:i w:val="1"/>
          <w:sz w:val="22"/>
          <w:szCs w:val="22"/>
          <w:rtl w:val="0"/>
        </w:rPr>
        <w:t xml:space="preserve">Asana</w:t>
      </w:r>
      <w:r w:rsidDel="00000000" w:rsidR="00000000" w:rsidRPr="00000000">
        <w:rPr>
          <w:sz w:val="22"/>
          <w:szCs w:val="22"/>
          <w:rtl w:val="0"/>
        </w:rPr>
        <w:t xml:space="preserve">® para divisão e acompanhamento das tarefas. Materiais didáticos e artes de divulgação foram criados na plataforma de design </w:t>
      </w:r>
      <w:r w:rsidDel="00000000" w:rsidR="00000000" w:rsidRPr="00000000">
        <w:rPr>
          <w:i w:val="1"/>
          <w:sz w:val="22"/>
          <w:szCs w:val="22"/>
          <w:rtl w:val="0"/>
        </w:rPr>
        <w:t xml:space="preserve">Canva</w:t>
      </w:r>
      <w:r w:rsidDel="00000000" w:rsidR="00000000" w:rsidRPr="00000000">
        <w:rPr>
          <w:sz w:val="22"/>
          <w:szCs w:val="22"/>
          <w:rtl w:val="0"/>
        </w:rPr>
        <w:t xml:space="preserve">®. A divulgação das palestras se deu pelas redes sociais </w:t>
      </w:r>
      <w:r w:rsidDel="00000000" w:rsidR="00000000" w:rsidRPr="00000000">
        <w:rPr>
          <w:i w:val="1"/>
          <w:sz w:val="22"/>
          <w:szCs w:val="22"/>
          <w:rtl w:val="0"/>
        </w:rPr>
        <w:t xml:space="preserve">Instagram</w:t>
      </w:r>
      <w:r w:rsidDel="00000000" w:rsidR="00000000" w:rsidRPr="00000000">
        <w:rPr>
          <w:sz w:val="22"/>
          <w:szCs w:val="22"/>
          <w:rtl w:val="0"/>
        </w:rPr>
        <w:t xml:space="preserve">® e </w:t>
      </w:r>
      <w:r w:rsidDel="00000000" w:rsidR="00000000" w:rsidRPr="00000000">
        <w:rPr>
          <w:i w:val="1"/>
          <w:sz w:val="22"/>
          <w:szCs w:val="22"/>
          <w:rtl w:val="0"/>
        </w:rPr>
        <w:t xml:space="preserve">WhatsApp</w:t>
      </w:r>
      <w:r w:rsidDel="00000000" w:rsidR="00000000" w:rsidRPr="00000000">
        <w:rPr>
          <w:sz w:val="22"/>
          <w:szCs w:val="22"/>
          <w:rtl w:val="0"/>
        </w:rPr>
        <w:t xml:space="preserve">® e pelo serviço de </w:t>
      </w:r>
      <w:r w:rsidDel="00000000" w:rsidR="00000000" w:rsidRPr="00000000">
        <w:rPr>
          <w:i w:val="1"/>
          <w:sz w:val="22"/>
          <w:szCs w:val="22"/>
          <w:rtl w:val="0"/>
        </w:rPr>
        <w:t xml:space="preserve">webmail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Gmail</w:t>
      </w:r>
      <w:r w:rsidDel="00000000" w:rsidR="00000000" w:rsidRPr="00000000">
        <w:rPr>
          <w:sz w:val="22"/>
          <w:szCs w:val="22"/>
          <w:rtl w:val="0"/>
        </w:rPr>
        <w:t xml:space="preserve">®. Para a transmissão ao vivo das palestras, foi escolhida a plataforma </w:t>
      </w:r>
      <w:r w:rsidDel="00000000" w:rsidR="00000000" w:rsidRPr="00000000">
        <w:rPr>
          <w:i w:val="1"/>
          <w:sz w:val="22"/>
          <w:szCs w:val="22"/>
          <w:rtl w:val="0"/>
        </w:rPr>
        <w:t xml:space="preserve">Google Meet</w:t>
      </w:r>
      <w:r w:rsidDel="00000000" w:rsidR="00000000" w:rsidRPr="00000000">
        <w:rPr>
          <w:sz w:val="22"/>
          <w:szCs w:val="22"/>
          <w:rtl w:val="0"/>
        </w:rPr>
        <w:t xml:space="preserve">®. Ao final do ciclo de 13 palestras, disponibilizamos um formulário para que os alunos avaliassem a relevância e qualidade do projeto de ensino. Os </w:t>
      </w:r>
      <w:r w:rsidDel="00000000" w:rsidR="00000000" w:rsidRPr="00000000">
        <w:rPr>
          <w:i w:val="1"/>
          <w:sz w:val="22"/>
          <w:szCs w:val="22"/>
          <w:rtl w:val="0"/>
        </w:rPr>
        <w:t xml:space="preserve">quizzes</w:t>
      </w:r>
      <w:r w:rsidDel="00000000" w:rsidR="00000000" w:rsidRPr="00000000">
        <w:rPr>
          <w:sz w:val="22"/>
          <w:szCs w:val="22"/>
          <w:rtl w:val="0"/>
        </w:rPr>
        <w:t xml:space="preserve"> e o formulário foram produzidos no </w:t>
      </w:r>
      <w:r w:rsidDel="00000000" w:rsidR="00000000" w:rsidRPr="00000000">
        <w:rPr>
          <w:i w:val="1"/>
          <w:sz w:val="22"/>
          <w:szCs w:val="22"/>
          <w:rtl w:val="0"/>
        </w:rPr>
        <w:t xml:space="preserve">Google Forms</w:t>
      </w:r>
      <w:r w:rsidDel="00000000" w:rsidR="00000000" w:rsidRPr="00000000">
        <w:rPr>
          <w:sz w:val="22"/>
          <w:szCs w:val="22"/>
          <w:rtl w:val="0"/>
        </w:rPr>
        <w:t xml:space="preserve">®. Foram contabilizados 135 participantes que responderam a pelo menos um </w:t>
      </w:r>
      <w:r w:rsidDel="00000000" w:rsidR="00000000" w:rsidRPr="00000000">
        <w:rPr>
          <w:i w:val="1"/>
          <w:sz w:val="22"/>
          <w:szCs w:val="22"/>
          <w:rtl w:val="0"/>
        </w:rPr>
        <w:t xml:space="preserve">quiz</w:t>
      </w:r>
      <w:r w:rsidDel="00000000" w:rsidR="00000000" w:rsidRPr="00000000">
        <w:rPr>
          <w:sz w:val="22"/>
          <w:szCs w:val="22"/>
          <w:rtl w:val="0"/>
        </w:rPr>
        <w:t xml:space="preserve"> e uma estimativa de 50 ouvintes por palestra. Na pesquisa de avaliação feita com os alunos, constatou-se que a maior parte do público (69,3%) encontrava-se entre o terceiro e sexto períodos. Também verificou-se que 46,2% dos respondentes assistiram entre 2 e 5 palestras. Ainda, 84,61% dos respondentes afirmaram que o projeto estimulou o estudo na pandemia, e esta mesma porcentagem acredita que o projeto tenha sido relevante para o aprendizado da anatomia animal. Por fim, 69% dos participantes da pesquisa acreditam que os </w:t>
      </w:r>
      <w:r w:rsidDel="00000000" w:rsidR="00000000" w:rsidRPr="00000000">
        <w:rPr>
          <w:i w:val="1"/>
          <w:sz w:val="22"/>
          <w:szCs w:val="22"/>
          <w:rtl w:val="0"/>
        </w:rPr>
        <w:t xml:space="preserve">quizzes</w:t>
      </w:r>
      <w:r w:rsidDel="00000000" w:rsidR="00000000" w:rsidRPr="00000000">
        <w:rPr>
          <w:sz w:val="22"/>
          <w:szCs w:val="22"/>
          <w:rtl w:val="0"/>
        </w:rPr>
        <w:t xml:space="preserve"> disponibilizados após as aulas de revisão tenham ajudado a fixar o conteúdo abordado. Podemos avaliar que o projeto cumpriu seu objetivo de consolidação do conhecimento da disciplina pelo retorno dado pelos respondentes do formulário avaliativo. Apesar de a maioria dos alunos julgar positivamente os quizzes oferecidos após as aulas, verificou-se que a adesão aos </w:t>
      </w:r>
      <w:r w:rsidDel="00000000" w:rsidR="00000000" w:rsidRPr="00000000">
        <w:rPr>
          <w:i w:val="1"/>
          <w:sz w:val="22"/>
          <w:szCs w:val="22"/>
          <w:rtl w:val="0"/>
        </w:rPr>
        <w:t xml:space="preserve">quizzes</w:t>
      </w:r>
      <w:r w:rsidDel="00000000" w:rsidR="00000000" w:rsidRPr="00000000">
        <w:rPr>
          <w:sz w:val="22"/>
          <w:szCs w:val="22"/>
          <w:rtl w:val="0"/>
        </w:rPr>
        <w:t xml:space="preserve"> não foi muito alta. Pretende-se dar continuidade ao projeto, trazendo novos temas além de revisões.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color w:val="313131"/>
          <w:sz w:val="22"/>
          <w:szCs w:val="2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313131"/>
          <w:sz w:val="22"/>
          <w:szCs w:val="22"/>
          <w:highlight w:val="white"/>
          <w:rtl w:val="0"/>
        </w:rPr>
        <w:t xml:space="preserve">Palavras-chave: 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ensino remoto, anatomia veterinária, </w:t>
      </w:r>
      <w:r w:rsidDel="00000000" w:rsidR="00000000" w:rsidRPr="00000000">
        <w:rPr>
          <w:color w:val="313131"/>
          <w:sz w:val="22"/>
          <w:szCs w:val="22"/>
          <w:highlight w:val="white"/>
          <w:rtl w:val="0"/>
        </w:rPr>
        <w:t xml:space="preserve">recursos didáticos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/>
      <w:pgMar w:bottom="709" w:top="993" w:left="1559" w:right="1132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507583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7583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