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APLICAÇÃO CLÍNICA DA ESPLINTAGEM EM CASOS DE PERIODONTITE ESTÁGIO IV, GRAU 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ind w:left="28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Leticia Maria Rodrigues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LEITÃO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Lívia Michelle Pereira e SILVA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Thaís Cordeiro OLIVEIRA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after="120" w:lineRule="auto"/>
        <w:ind w:right="66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right="66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A esplintagem é uma técnica utilizada para estabilização dos dentes com mobilidade. Quando associada à raspagem supragengival e subgengival, promove a remoção de biofilme e cálculo, contribuindo para a redução da inflamação e melhora do prognóstico do tratamento periodontal.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Paciente do sexo masculino, 60 anos, procurou atendimento odontológico na Clínica Escola  Carolina Freitas Lira relatando que deseja avaliação</w:t>
      </w:r>
      <w:r w:rsidDel="00000000" w:rsidR="00000000" w:rsidRPr="00000000">
        <w:rPr>
          <w:rFonts w:ascii="Arial" w:cs="Arial" w:eastAsia="Arial" w:hAnsi="Arial"/>
          <w:color w:val="0d0d0d"/>
          <w:sz w:val="27"/>
          <w:szCs w:val="27"/>
          <w:rtl w:val="0"/>
        </w:rPr>
        <w:t xml:space="preserve">. No exame clínico, ao realizar o periograma, percebeu-se a presença de cálculo generalizado, bolsas periodontais e colapso oclusal provocada pela ausência dos dentes posteriores. O índice de perda óssea do dente 28 resultou em 1,06 e o índice de sangramento a sondagem 57,5%. os exames de  imagem sugere perda óssea horizontal e vertical, o diagnóstico estabelecido foi de periodontite estágio IV, grau B. Foi realizada a esplintagem dos dentes superiores do 15 ao 28 e dos inferiores do 35 ao 44 com contenção em fio ortodôntico e resina composta fotopolimerizável, em seguida a raspagem supragengival e subgengival.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ONCLUSÃO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Reduz o  desconforto durante a mastigação, promovendo função e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facilitando a manutenção da higiene oral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120" w:lineRule="auto"/>
        <w:ind w:right="665"/>
        <w:jc w:val="both"/>
        <w:rPr>
          <w:rFonts w:ascii="Arial" w:cs="Arial" w:eastAsia="Arial" w:hAnsi="Arial"/>
          <w:color w:val="0d0d0d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d0d0d"/>
          <w:sz w:val="27"/>
          <w:szCs w:val="27"/>
          <w:rtl w:val="0"/>
        </w:rPr>
        <w:t xml:space="preserve">mobilidade; estabilidade dentária; perda óssea.</w:t>
      </w:r>
    </w:p>
    <w:p w:rsidR="00000000" w:rsidDel="00000000" w:rsidP="00000000" w:rsidRDefault="00000000" w:rsidRPr="00000000" w14:paraId="0000000B">
      <w:pPr>
        <w:spacing w:after="120" w:lineRule="auto"/>
        <w:ind w:right="665"/>
        <w:jc w:val="both"/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1C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1D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superscript"/>
        <w:rtl w:val="0"/>
      </w:rPr>
      <w:t xml:space="preserve">1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Autor. Aluno de graduação em Odontologia no Centro Universitário Santo Agostinho (UNIFSA), Teresina (PI), leticialeitaoodonto@gmail.com*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Fonts w:ascii="Arial" w:cs="Arial" w:eastAsia="Arial" w:hAnsi="Arial"/>
        <w:sz w:val="20"/>
        <w:szCs w:val="20"/>
        <w:vertAlign w:val="superscript"/>
        <w:rtl w:val="0"/>
      </w:rPr>
      <w:t xml:space="preserve">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Professor(a). Mestre Profissional em Odontologia no Centro Universitário Santo Agostinho (UNIFSA), Teresina (PI).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-662301</wp:posOffset>
          </wp:positionH>
          <wp:positionV relativeFrom="paragraph">
            <wp:posOffset>-307202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