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pPr>
      <w:r w:rsidDel="00000000" w:rsidR="00000000" w:rsidRPr="00000000">
        <w:rPr>
          <w:b w:val="1"/>
          <w:bCs w:val="1"/>
          <w:sz w:val="24"/>
          <w:szCs w:val="24"/>
          <w:rtl w:val="0"/>
        </w:rPr>
        <w:t xml:space="preserve">PARA ALÉM DO GÊNERO BIOLÓGICO: </w:t>
      </w:r>
      <w:r w:rsidDel="00000000" w:rsidR="00000000" w:rsidRPr="00000000">
        <w:rPr>
          <w:sz w:val="24"/>
          <w:szCs w:val="24"/>
          <w:rtl w:val="0"/>
        </w:rPr>
        <w:t xml:space="preserve">a proteção das mulheres trans sob a perspectiva da Lei Maria da Penha</w:t>
      </w:r>
      <w:r w:rsidDel="00000000" w:rsidR="00000000" w:rsidRPr="00000000">
        <w:rPr>
          <w:rtl w:val="0"/>
        </w:rPr>
      </w:r>
    </w:p>
    <w:p w:rsidR="00000000" w:rsidDel="00000000" w:rsidP="00000000" w:rsidRDefault="00000000" w:rsidRPr="00000000" w14:paraId="00000002">
      <w:pPr>
        <w:tabs>
          <w:tab w:val="left" w:leader="none" w:pos="1540"/>
        </w:tabs>
        <w:ind w:left="-360" w:firstLine="0"/>
        <w:jc w:val="right"/>
        <w:rPr>
          <w:sz w:val="24"/>
          <w:szCs w:val="24"/>
        </w:rPr>
      </w:pPr>
      <w:r w:rsidDel="00000000" w:rsidR="00000000" w:rsidRPr="00000000">
        <w:rPr>
          <w:sz w:val="24"/>
          <w:szCs w:val="24"/>
          <w:rtl w:val="0"/>
        </w:rPr>
        <w:t xml:space="preserve">Francisca Soares de Farias Neta</w:t>
      </w:r>
      <w:r w:rsidDel="00000000" w:rsidR="00000000" w:rsidRPr="00000000">
        <w:rPr>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3">
      <w:pPr>
        <w:tabs>
          <w:tab w:val="left" w:leader="none" w:pos="2060"/>
        </w:tabs>
        <w:ind w:left="-360" w:firstLine="0"/>
        <w:jc w:val="right"/>
        <w:rPr>
          <w:sz w:val="24"/>
          <w:szCs w:val="24"/>
        </w:rPr>
      </w:pPr>
      <w:r w:rsidDel="00000000" w:rsidR="00000000" w:rsidRPr="00000000">
        <w:rPr>
          <w:sz w:val="24"/>
          <w:szCs w:val="24"/>
          <w:rtl w:val="0"/>
        </w:rPr>
        <w:t xml:space="preserve">Brida Karoline de Brito Bonifácio</w:t>
      </w:r>
      <w:r w:rsidDel="00000000" w:rsidR="00000000" w:rsidRPr="00000000">
        <w:rPr>
          <w:sz w:val="24"/>
          <w:szCs w:val="24"/>
          <w:vertAlign w:val="superscript"/>
          <w:rtl w:val="0"/>
        </w:rPr>
        <w:t xml:space="preserve">1</w:t>
      </w:r>
      <w:r w:rsidDel="00000000" w:rsidR="00000000" w:rsidRPr="00000000">
        <w:rPr>
          <w:rtl w:val="0"/>
        </w:rPr>
      </w:r>
    </w:p>
    <w:p w:rsidR="00000000" w:rsidDel="00000000" w:rsidP="00000000" w:rsidRDefault="00000000" w:rsidRPr="00000000" w14:paraId="00000004">
      <w:pPr>
        <w:tabs>
          <w:tab w:val="left" w:leader="none" w:pos="2060"/>
          <w:tab w:val="left" w:leader="none" w:pos="7240"/>
        </w:tabs>
        <w:ind w:left="-360" w:firstLine="0"/>
        <w:jc w:val="right"/>
        <w:rPr>
          <w:sz w:val="24"/>
          <w:szCs w:val="24"/>
        </w:rPr>
      </w:pPr>
      <w:r w:rsidDel="00000000" w:rsidR="00000000" w:rsidRPr="00000000">
        <w:rPr>
          <w:sz w:val="24"/>
          <w:szCs w:val="24"/>
          <w:rtl w:val="0"/>
        </w:rPr>
        <w:t xml:space="preserve">Emanuelly Maria Marques Fontinele</w:t>
      </w:r>
      <w:r w:rsidDel="00000000" w:rsidR="00000000" w:rsidRPr="00000000">
        <w:rPr>
          <w:sz w:val="24"/>
          <w:szCs w:val="24"/>
          <w:vertAlign w:val="superscript"/>
          <w:rtl w:val="0"/>
        </w:rPr>
        <w:t xml:space="preserve">1</w:t>
      </w:r>
      <w:r w:rsidDel="00000000" w:rsidR="00000000" w:rsidRPr="00000000">
        <w:rPr>
          <w:rtl w:val="0"/>
        </w:rPr>
      </w:r>
    </w:p>
    <w:p w:rsidR="00000000" w:rsidDel="00000000" w:rsidP="00000000" w:rsidRDefault="00000000" w:rsidRPr="00000000" w14:paraId="00000005">
      <w:pPr>
        <w:tabs>
          <w:tab w:val="left" w:leader="none" w:pos="2060"/>
          <w:tab w:val="left" w:leader="none" w:pos="7240"/>
        </w:tabs>
        <w:ind w:left="-360" w:firstLine="0"/>
        <w:jc w:val="right"/>
        <w:rPr>
          <w:sz w:val="24"/>
          <w:szCs w:val="24"/>
        </w:rPr>
      </w:pPr>
      <w:r w:rsidDel="00000000" w:rsidR="00000000" w:rsidRPr="00000000">
        <w:rPr>
          <w:sz w:val="24"/>
          <w:szCs w:val="24"/>
          <w:rtl w:val="0"/>
        </w:rPr>
        <w:t xml:space="preserve">Jose Ezequias Castro Gomes</w:t>
      </w:r>
      <w:r w:rsidDel="00000000" w:rsidR="00000000" w:rsidRPr="00000000">
        <w:rPr>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06">
      <w:pPr>
        <w:tabs>
          <w:tab w:val="left" w:leader="none" w:pos="2060"/>
          <w:tab w:val="left" w:leader="none" w:pos="7240"/>
        </w:tabs>
        <w:ind w:left="-360" w:firstLine="0"/>
        <w:jc w:val="right"/>
        <w:rPr>
          <w:sz w:val="24"/>
          <w:szCs w:val="24"/>
        </w:rPr>
      </w:pPr>
      <w:r w:rsidDel="00000000" w:rsidR="00000000" w:rsidRPr="00000000">
        <w:rPr>
          <w:sz w:val="24"/>
          <w:szCs w:val="24"/>
          <w:rtl w:val="0"/>
        </w:rPr>
        <w:t xml:space="preserve">Guilherme Antônio Lopes de Oliveira</w:t>
      </w:r>
      <w:r w:rsidDel="00000000" w:rsidR="00000000" w:rsidRPr="00000000">
        <w:rPr>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07">
      <w:pPr>
        <w:tabs>
          <w:tab w:val="left" w:leader="none" w:pos="2060"/>
          <w:tab w:val="left" w:leader="none" w:pos="7240"/>
        </w:tabs>
        <w:spacing w:line="360" w:lineRule="auto"/>
        <w:ind w:left="-360" w:firstLine="0"/>
        <w:jc w:val="right"/>
        <w:rPr>
          <w:sz w:val="24"/>
          <w:szCs w:val="24"/>
        </w:rPr>
      </w:pPr>
      <w:r w:rsidDel="00000000" w:rsidR="00000000" w:rsidRPr="00000000">
        <w:rPr>
          <w:rtl w:val="0"/>
        </w:rPr>
      </w:r>
    </w:p>
    <w:p w:rsidR="00000000" w:rsidDel="00000000" w:rsidP="00000000" w:rsidRDefault="00000000" w:rsidRPr="00000000" w14:paraId="00000008">
      <w:pPr>
        <w:spacing w:line="360" w:lineRule="auto"/>
        <w:jc w:val="center"/>
        <w:rPr>
          <w:sz w:val="24"/>
          <w:szCs w:val="24"/>
        </w:rPr>
      </w:pPr>
      <w:r w:rsidDel="00000000" w:rsidR="00000000" w:rsidRPr="00000000">
        <w:rPr>
          <w:b w:val="1"/>
          <w:bCs w:val="1"/>
          <w:sz w:val="24"/>
          <w:szCs w:val="24"/>
          <w:rtl w:val="0"/>
        </w:rPr>
        <w:t xml:space="preserve">RESUMO</w:t>
      </w:r>
      <w:r w:rsidDel="00000000" w:rsidR="00000000" w:rsidRPr="00000000">
        <w:rPr>
          <w:rtl w:val="0"/>
        </w:rPr>
      </w:r>
    </w:p>
    <w:p w:rsidR="00000000" w:rsidDel="00000000" w:rsidP="00000000" w:rsidRDefault="00000000" w:rsidRPr="00000000" w14:paraId="00000009">
      <w:pPr>
        <w:spacing w:after="240" w:before="240" w:lineRule="auto"/>
        <w:jc w:val="both"/>
        <w:rPr>
          <w:b w:val="1"/>
          <w:bCs w:val="1"/>
          <w:sz w:val="24"/>
          <w:szCs w:val="24"/>
        </w:rPr>
      </w:pPr>
      <w:r w:rsidDel="00000000" w:rsidR="00000000" w:rsidRPr="00000000">
        <w:rPr>
          <w:sz w:val="24"/>
          <w:szCs w:val="24"/>
          <w:rtl w:val="0"/>
        </w:rPr>
        <w:t xml:space="preserve">Este artigo analisa a aplicação da Lei nº 11.340/2006, conhecida como Lei Maria da Penha, na proteção de mulheres trans em situação de violência doméstica e familiar. O estudo tem como objetivo compreender a aplicação da referida lei às mulheres trans, analisando a evolução do conceito jurídico de mulher, os fundamentos que asseguram essa proteção e os principais desafios enfrentados pelo Poder Judiciário e pelos órgãos de segurança pública. Trata-se de uma revisão narrativa da literatura, realizada em agosto de 2026, com pesquisas no Google Acadêmico e seleção de estudos publicados entre 2023 e 2026. Os resultados evidenciam que mulheres trans estão expostas a diferentes formas de violência, como agressões físicas, psicológicas, ameaças, humilhações e controle, apresentando elementos semelhantes aos vivenciados por mulheres cisgênero. Contudo, a transfobia, o preconceito e as barreiras institucionais ampliam sua vulnerabilidade e dificultam o acesso à justiça e à rede de proteção. A jurisprudência do Superior Tribunal de Justiça e do Supremo Tribunal Federal representa importante avanço no reconhecimento desta proteção. Conclui-se que a efetividade da Lei Maria da Penha depende da superação de interpretações biologicistas, da capacitação dos agentes públicos e do fortalecimento das políticas de proteção, garantindo dignidade, igualdade e não discriminação às mulheres trans.</w:t>
      </w:r>
      <w:r w:rsidDel="00000000" w:rsidR="00000000" w:rsidRPr="00000000">
        <w:rPr>
          <w:rtl w:val="0"/>
        </w:rPr>
      </w:r>
    </w:p>
    <w:p w:rsidR="00000000" w:rsidDel="00000000" w:rsidP="00000000" w:rsidRDefault="00000000" w:rsidRPr="00000000" w14:paraId="0000000A">
      <w:pPr>
        <w:spacing w:line="360" w:lineRule="auto"/>
        <w:rPr>
          <w:i w:val="1"/>
          <w:iCs w:val="1"/>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Lei Maria da Penha; Mulheres trans;Violência doméstica; Identidade de gênero; Direitos fundamentais.</w:t>
      </w:r>
      <w:r w:rsidDel="00000000" w:rsidR="00000000" w:rsidRPr="00000000">
        <w:rPr>
          <w:rtl w:val="0"/>
        </w:rPr>
      </w:r>
    </w:p>
    <w:p w:rsidR="00000000" w:rsidDel="00000000" w:rsidP="00000000" w:rsidRDefault="00000000" w:rsidRPr="00000000" w14:paraId="0000000B">
      <w:pPr>
        <w:spacing w:line="360" w:lineRule="auto"/>
        <w:rPr>
          <w:sz w:val="24"/>
          <w:szCs w:val="24"/>
        </w:rPr>
      </w:pPr>
      <w:r w:rsidDel="00000000" w:rsidR="00000000" w:rsidRPr="00000000">
        <w:rPr>
          <w:rtl w:val="0"/>
        </w:rPr>
      </w:r>
    </w:p>
    <w:bookmarkStart w:colFirst="0" w:colLast="0" w:name="sj5ms08slhjy" w:id="0"/>
    <w:bookmarkEnd w:id="0"/>
    <w:p w:rsidR="00000000" w:rsidDel="00000000" w:rsidP="00000000" w:rsidRDefault="00000000" w:rsidRPr="00000000" w14:paraId="0000000C">
      <w:pPr>
        <w:spacing w:line="360" w:lineRule="auto"/>
        <w:rPr>
          <w:sz w:val="24"/>
          <w:szCs w:val="24"/>
        </w:rPr>
      </w:pPr>
      <w:r w:rsidDel="00000000" w:rsidR="00000000" w:rsidRPr="00000000">
        <w:rPr>
          <w:b w:val="1"/>
          <w:bCs w:val="1"/>
          <w:sz w:val="24"/>
          <w:szCs w:val="24"/>
          <w:rtl w:val="0"/>
        </w:rPr>
        <w:t xml:space="preserve">1 INTRODUÇÃO</w:t>
      </w:r>
      <w:r w:rsidDel="00000000" w:rsidR="00000000" w:rsidRPr="00000000">
        <w:rPr>
          <w:rtl w:val="0"/>
        </w:rPr>
      </w:r>
    </w:p>
    <w:p w:rsidR="00000000" w:rsidDel="00000000" w:rsidP="00000000" w:rsidRDefault="00000000" w:rsidRPr="00000000" w14:paraId="0000000D">
      <w:pPr>
        <w:spacing w:line="360" w:lineRule="auto"/>
        <w:jc w:val="both"/>
        <w:rPr>
          <w:sz w:val="24"/>
          <w:szCs w:val="24"/>
        </w:rPr>
      </w:pPr>
      <w:r w:rsidDel="00000000" w:rsidR="00000000" w:rsidRPr="00000000">
        <w:rPr>
          <w:sz w:val="24"/>
          <w:szCs w:val="24"/>
          <w:rtl w:val="0"/>
        </w:rPr>
        <w:t xml:space="preserve">          A Lei N.º 11.340/2006, amplamente conhecida como Lei Maria da Penha, é o principal dispositivo legal no Brasil para prevenir, punir e erradicar a violência doméstica e familiar contra a mulher, tendo origem pela luta de Maria da Penha Maia Fernandes, uma farmacêutica cearense que se tornou o símbolo do combate à violência doméstica no Brasil após sobreviver a duas tentativas de feminicídio praticadas por seu então marido, em 1983. Com o passar do tempo, houve a necessidade de uma nova discussão a respeito da lei fundamentada como a proteção à mulher.</w:t>
      </w:r>
    </w:p>
    <w:p w:rsidR="00000000" w:rsidDel="00000000" w:rsidP="00000000" w:rsidRDefault="00000000" w:rsidRPr="00000000" w14:paraId="0000000E">
      <w:pPr>
        <w:spacing w:line="360" w:lineRule="auto"/>
        <w:ind w:firstLine="720"/>
        <w:jc w:val="both"/>
        <w:rPr>
          <w:sz w:val="24"/>
          <w:szCs w:val="24"/>
        </w:rPr>
      </w:pPr>
      <w:r w:rsidDel="00000000" w:rsidR="00000000" w:rsidRPr="00000000">
        <w:rPr>
          <w:sz w:val="24"/>
          <w:szCs w:val="24"/>
          <w:rtl w:val="0"/>
        </w:rPr>
        <w:t xml:space="preserve">A inclusão de mulheres trans e de pessoas transfemininas no escopo de proteção da Lei Maria da Penha ocorreu por meio da jurisprudência do Superior Tribunal de Justiça (STJ) e do Supremo Tribunal Federal (STF), estabelecendo que a proteção se baseia na identidade de gênero feminino, e não apenas no sexo biológico, culminando na decisão histórica de abril de 2022, quando a Quinta Turma do STJ aprovou por unanimidade o entendimento de que a lei se aplica às mulheres trans em casos de violência doméstica e familiar (STJ, 2023).</w:t>
      </w:r>
    </w:p>
    <w:p w:rsidR="00000000" w:rsidDel="00000000" w:rsidP="00000000" w:rsidRDefault="00000000" w:rsidRPr="00000000" w14:paraId="0000000F">
      <w:pPr>
        <w:spacing w:line="360" w:lineRule="auto"/>
        <w:jc w:val="both"/>
        <w:rPr>
          <w:sz w:val="24"/>
          <w:szCs w:val="24"/>
        </w:rPr>
      </w:pPr>
      <w:r w:rsidDel="00000000" w:rsidR="00000000" w:rsidRPr="00000000">
        <w:rPr>
          <w:sz w:val="24"/>
          <w:szCs w:val="24"/>
          <w:rtl w:val="0"/>
        </w:rPr>
        <w:t xml:space="preserve">        A alarmante realidade do país revela uma média diária de quatro feminicídios por dia  e mostra que cerca de 27% das brasileiras já sofreram agressões ao longo da vida, uma violência que se desdobra em cinco manifestações centrais: a física, a psicológica, a sexual, a patrimonial e a moral. Essa dinâmica abusiva impacta gravemente o ambiente familiar, onde ocorrem 64% dos quase 294 mil atendimentos de saúde registrados anualmente, e deixa marcas profundas nas gerações futuras, já que em 71% dos casos recentes de agressão havia crianças presentes testemunhando as violações contra as vítimas (Datasenado, 2025).</w:t>
      </w:r>
    </w:p>
    <w:p w:rsidR="00000000" w:rsidDel="00000000" w:rsidP="00000000" w:rsidRDefault="00000000" w:rsidRPr="00000000" w14:paraId="00000010">
      <w:pPr>
        <w:spacing w:line="360" w:lineRule="auto"/>
        <w:ind w:firstLine="720"/>
        <w:jc w:val="both"/>
        <w:rPr>
          <w:sz w:val="24"/>
          <w:szCs w:val="24"/>
        </w:rPr>
      </w:pPr>
      <w:r w:rsidDel="00000000" w:rsidR="00000000" w:rsidRPr="00000000">
        <w:rPr>
          <w:sz w:val="24"/>
          <w:szCs w:val="24"/>
          <w:rtl w:val="0"/>
        </w:rPr>
        <w:t xml:space="preserve">As barreiras enfrentadas por mulheres trans no acesso à justiça e à rede de proteção evidenciam as lacunas na aplicação prática da Lei Maria da Penha para essa população. Por estar no centro de múltiplos sistemas de opressão,  como a transfobia, o machismo e a violência de gênero, esse grupo vivencia uma dinâmica complexa de exclusão que alimenta a subnotificação e dificulta a busca por apoio institucional (Amorim, 2025). Nesse cenário, o enfrentamento da violência doméstica vivida por mulheres trans no Brasil consolida-se como um desafio social urgente e interseccional.</w:t>
      </w:r>
    </w:p>
    <w:p w:rsidR="00000000" w:rsidDel="00000000" w:rsidP="00000000" w:rsidRDefault="00000000" w:rsidRPr="00000000" w14:paraId="00000011">
      <w:pPr>
        <w:spacing w:line="360" w:lineRule="auto"/>
        <w:jc w:val="both"/>
        <w:rPr>
          <w:sz w:val="24"/>
          <w:szCs w:val="24"/>
        </w:rPr>
      </w:pPr>
      <w:r w:rsidDel="00000000" w:rsidR="00000000" w:rsidRPr="00000000">
        <w:rPr>
          <w:sz w:val="24"/>
          <w:szCs w:val="24"/>
          <w:rtl w:val="0"/>
        </w:rPr>
        <w:t xml:space="preserve">      No contexto contemporâneo, a proteção das mulheres contra a violência doméstica e familiar deve ultrapassar uma compreensão limitada ao sexo biológico. Nesse sentido, a Lei Maria da Penha constitui um importante instrumento de proteção às mulheres trans, uma vez que a identidade feminina não deve ser determinada exclusivamente pelas características físicas. Segundo Coura (2025), a legislação representa um marco no enfrentamento da violência doméstica, abrangendo mulheres cisgênero e transgênero, a fim de reforçar a necessidade de garantir direitos fundamentais da dignidade humana.</w:t>
      </w:r>
    </w:p>
    <w:p w:rsidR="00000000" w:rsidDel="00000000" w:rsidP="00000000" w:rsidRDefault="00000000" w:rsidRPr="00000000" w14:paraId="00000012">
      <w:pPr>
        <w:spacing w:line="360" w:lineRule="auto"/>
        <w:jc w:val="both"/>
        <w:rPr>
          <w:sz w:val="24"/>
          <w:szCs w:val="24"/>
        </w:rPr>
      </w:pPr>
      <w:r w:rsidDel="00000000" w:rsidR="00000000" w:rsidRPr="00000000">
        <w:rPr>
          <w:sz w:val="24"/>
          <w:szCs w:val="24"/>
          <w:rtl w:val="0"/>
        </w:rPr>
        <w:t xml:space="preserve">      A investigação sobre a aplicação da Lei Maria da Penha às mulheres transgêneras justifica-se pela necessidade de superar visões biológicas do Direito e combater as violências impulsionadas pelo machismo e pela transfobia estrutural no ambiente doméstico. A falta de formação adequada dos agentes públicos agrava esse cenário de vulnerabilidade. Conforme Souza (2023), as construções sociais de gênero impactam as mulheres de forma desigual, assumindo contornos singulares sobre as mulheres trans, submetidas simultaneamente à agressão doméstica e à discriminação ligada à identidade de gênero.  </w:t>
      </w:r>
    </w:p>
    <w:p w:rsidR="00000000" w:rsidDel="00000000" w:rsidP="00000000" w:rsidRDefault="00000000" w:rsidRPr="00000000" w14:paraId="00000013">
      <w:pPr>
        <w:spacing w:line="360" w:lineRule="auto"/>
        <w:jc w:val="both"/>
        <w:rPr>
          <w:sz w:val="24"/>
          <w:szCs w:val="24"/>
        </w:rPr>
      </w:pPr>
      <w:r w:rsidDel="00000000" w:rsidR="00000000" w:rsidRPr="00000000">
        <w:rPr>
          <w:sz w:val="24"/>
          <w:szCs w:val="24"/>
          <w:rtl w:val="0"/>
        </w:rPr>
        <w:t xml:space="preserve">           As consequências desse cenário de desamparo são devastadoras, desdobrando-se no isolamento social, no comprometimento grave da saúde mental das vítimas, no aprofundamento da dependência econômica e moral e, nos casos mais extremos, na escalada para o feminicídio. Ademais, o medo da discriminação nos órgãos estatais desestimula a denúncia e perpetua o ciclo de abusos. Como adverte Lima (2023), a efetividade das garantias legais exige que os profissionais da segurança pública, justiça e saúde reconheçam a identidade de gênero da vítima e a gravidade dos atos cometidos.</w:t>
      </w:r>
    </w:p>
    <w:p w:rsidR="00000000" w:rsidDel="00000000" w:rsidP="00000000" w:rsidRDefault="00000000" w:rsidRPr="00000000" w14:paraId="00000014">
      <w:pPr>
        <w:spacing w:line="360" w:lineRule="auto"/>
        <w:jc w:val="both"/>
        <w:rPr>
          <w:sz w:val="24"/>
          <w:szCs w:val="24"/>
        </w:rPr>
      </w:pPr>
      <w:r w:rsidDel="00000000" w:rsidR="00000000" w:rsidRPr="00000000">
        <w:rPr>
          <w:sz w:val="24"/>
          <w:szCs w:val="24"/>
          <w:rtl w:val="0"/>
        </w:rPr>
        <w:t xml:space="preserve">        No plano da dogmática jurídica contemporânea, a superação da visão puramente biologicista é imperativo do art. 5º da Lei nº 11.340/2006, que delimita seu âmbito de incidência às agressões fundadas nas dinâmicas de gênero. Como ensina a doutrinadora Maria Berenice Dias (2026), em suas análises sobre os avanços protetivos do diploma legal, o conceito de gênero é essencialmente sociocultural e não se confunde com o sexo anátomo-biológico. Nesse sentido, a tutela jurídica especial abrange com clareza as mulheres transgêneras.</w:t>
      </w:r>
    </w:p>
    <w:p w:rsidR="00000000" w:rsidDel="00000000" w:rsidP="00000000" w:rsidRDefault="00000000" w:rsidRPr="00000000" w14:paraId="00000015">
      <w:pPr>
        <w:spacing w:line="360" w:lineRule="auto"/>
        <w:jc w:val="both"/>
        <w:rPr>
          <w:sz w:val="24"/>
          <w:szCs w:val="24"/>
        </w:rPr>
      </w:pPr>
      <w:r w:rsidDel="00000000" w:rsidR="00000000" w:rsidRPr="00000000">
        <w:rPr>
          <w:sz w:val="24"/>
          <w:szCs w:val="24"/>
          <w:rtl w:val="0"/>
        </w:rPr>
        <w:t xml:space="preserve">         De acordo com Cavalcante (2023) ao comentar essa mudança, limitar a aplicação da lei apenas ao sexo do nascimento é um erro que ignora como a agressão realmente acontece no cotidiano. Para o autor, a palavra "mulher" contida na lei deve proteger todas as pessoas que se identificam e vivem como mulheres em sua realidade social. Dessa forma, garantir socorro rápido e medidas de proteção urgente para mulheres trans é um passo indispensável para assegurar respeito, amparo e igualdade perante a lei.</w:t>
      </w:r>
    </w:p>
    <w:p w:rsidR="00000000" w:rsidDel="00000000" w:rsidP="00000000" w:rsidRDefault="00000000" w:rsidRPr="00000000" w14:paraId="00000016">
      <w:pPr>
        <w:spacing w:line="360" w:lineRule="auto"/>
        <w:jc w:val="both"/>
        <w:rPr>
          <w:sz w:val="24"/>
          <w:szCs w:val="24"/>
        </w:rPr>
      </w:pPr>
      <w:r w:rsidDel="00000000" w:rsidR="00000000" w:rsidRPr="00000000">
        <w:rPr>
          <w:sz w:val="24"/>
          <w:szCs w:val="24"/>
          <w:rtl w:val="0"/>
        </w:rPr>
        <w:t xml:space="preserve">         Diante desse panorama de transformações jurídicas e sociais, torna-se imprescindível investigar como as garantias legais são aplicadas na prática para proteger de forma efetiva as pessoas atingidas por essas violências. Os objetivos deste projeto concentram-se em analisar a aplicabilidade da Lei Maria da Penha na tutela de mulheres trans em situação de violência doméstica e familiar no Brasil, identificando os principais obstáculos institucionais, sociais e procedimentais que impedem o acesso pleno à justiça, além de propor caminhos e estratégias para o aprimoramento da rede de proteção e do atendimento prestado por órgãos públicos.</w:t>
      </w:r>
    </w:p>
    <w:p w:rsidR="00000000" w:rsidDel="00000000" w:rsidP="00000000" w:rsidRDefault="00000000" w:rsidRPr="00000000" w14:paraId="00000017">
      <w:pPr>
        <w:spacing w:line="360" w:lineRule="auto"/>
        <w:rPr>
          <w:b w:val="1"/>
          <w:bCs w:val="1"/>
          <w:sz w:val="24"/>
          <w:szCs w:val="24"/>
        </w:rPr>
      </w:pPr>
      <w:r w:rsidDel="00000000" w:rsidR="00000000" w:rsidRPr="00000000">
        <w:rPr>
          <w:b w:val="1"/>
          <w:bCs w:val="1"/>
          <w:sz w:val="24"/>
          <w:szCs w:val="24"/>
          <w:rtl w:val="0"/>
        </w:rPr>
        <w:t xml:space="preserve">2 OBJETIVOS</w:t>
      </w:r>
    </w:p>
    <w:p w:rsidR="00000000" w:rsidDel="00000000" w:rsidP="00000000" w:rsidRDefault="00000000" w:rsidRPr="00000000" w14:paraId="00000018">
      <w:pPr>
        <w:spacing w:line="360" w:lineRule="auto"/>
        <w:ind w:firstLine="720"/>
        <w:jc w:val="both"/>
        <w:rPr>
          <w:sz w:val="24"/>
          <w:szCs w:val="24"/>
        </w:rPr>
      </w:pPr>
      <w:r w:rsidDel="00000000" w:rsidR="00000000" w:rsidRPr="00000000">
        <w:rPr>
          <w:sz w:val="24"/>
          <w:szCs w:val="24"/>
          <w:rtl w:val="0"/>
        </w:rPr>
        <w:t xml:space="preserve">O presente artigo visa entender a atuação da lei 11.340/2006, popularmente conhecida como Lei Maria da Penha, no contexto do combate à violência doméstica e familiar contra a mulher Trans no Brasil. Busca-se também compreender a evolução do conceito de mulher no âmbito da proteção contra a violência doméstica e familiar, bem como abordar os fundamentos jurídicos que respaldam a proteção da mulher trans e os principais desafios e limitações enfrentados pelo poder judiciário e pelos órgãos de segurança pública na efetivação da proteção da mulher transgênero, considerando a necessidade e a obrigação de garantir a efetivação dos direitos à dignidade da pessoa humana e o direito à não discriminação. </w:t>
      </w:r>
    </w:p>
    <w:p w:rsidR="00000000" w:rsidDel="00000000" w:rsidP="00000000" w:rsidRDefault="00000000" w:rsidRPr="00000000" w14:paraId="00000019">
      <w:pPr>
        <w:spacing w:line="360" w:lineRule="auto"/>
        <w:jc w:val="both"/>
        <w:rPr>
          <w:sz w:val="24"/>
          <w:szCs w:val="24"/>
        </w:rPr>
      </w:pPr>
      <w:r w:rsidDel="00000000" w:rsidR="00000000" w:rsidRPr="00000000">
        <w:rPr>
          <w:rtl w:val="0"/>
        </w:rPr>
      </w:r>
    </w:p>
    <w:p w:rsidR="00000000" w:rsidDel="00000000" w:rsidP="00000000" w:rsidRDefault="00000000" w:rsidRPr="00000000" w14:paraId="0000001A">
      <w:pPr>
        <w:spacing w:line="360" w:lineRule="auto"/>
        <w:rPr>
          <w:b w:val="1"/>
          <w:bCs w:val="1"/>
          <w:sz w:val="24"/>
          <w:szCs w:val="24"/>
        </w:rPr>
      </w:pPr>
      <w:r w:rsidDel="00000000" w:rsidR="00000000" w:rsidRPr="00000000">
        <w:rPr>
          <w:b w:val="1"/>
          <w:bCs w:val="1"/>
          <w:sz w:val="24"/>
          <w:szCs w:val="24"/>
          <w:rtl w:val="0"/>
        </w:rPr>
        <w:t xml:space="preserve">3 MÉTODO</w:t>
      </w:r>
    </w:p>
    <w:p w:rsidR="00000000" w:rsidDel="00000000" w:rsidP="00000000" w:rsidRDefault="00000000" w:rsidRPr="00000000" w14:paraId="0000001B">
      <w:pPr>
        <w:spacing w:line="360" w:lineRule="auto"/>
        <w:ind w:firstLine="720"/>
        <w:jc w:val="both"/>
        <w:rPr>
          <w:sz w:val="24"/>
          <w:szCs w:val="24"/>
        </w:rPr>
      </w:pPr>
      <w:r w:rsidDel="00000000" w:rsidR="00000000" w:rsidRPr="00000000">
        <w:rPr>
          <w:sz w:val="24"/>
          <w:szCs w:val="24"/>
          <w:rtl w:val="0"/>
        </w:rPr>
        <w:t xml:space="preserve">Trata-se de uma revisão narrativa da literatura, realizada no mês de agosto de 2026. Foi consultada a base Google acadêmico, sendo incluídos os artigos completos escritos em português, inglês e espanhol, compreendidos no recorte temporal de 2023 a 2026, disponíveis de maneira gratuita. Os descritores utilizados foram os seguintes termos: “</w:t>
      </w:r>
      <w:r w:rsidDel="00000000" w:rsidR="00000000" w:rsidRPr="00000000">
        <w:rPr>
          <w:i w:val="1"/>
          <w:iCs w:val="1"/>
          <w:sz w:val="24"/>
          <w:szCs w:val="24"/>
          <w:rtl w:val="0"/>
        </w:rPr>
        <w:t xml:space="preserve">violência doméstica e familiar”</w:t>
      </w:r>
      <w:r w:rsidDel="00000000" w:rsidR="00000000" w:rsidRPr="00000000">
        <w:rPr>
          <w:sz w:val="24"/>
          <w:szCs w:val="24"/>
          <w:rtl w:val="0"/>
        </w:rPr>
        <w:t xml:space="preserve"> AND </w:t>
      </w:r>
      <w:r w:rsidDel="00000000" w:rsidR="00000000" w:rsidRPr="00000000">
        <w:rPr>
          <w:i w:val="1"/>
          <w:iCs w:val="1"/>
          <w:sz w:val="24"/>
          <w:szCs w:val="24"/>
          <w:rtl w:val="0"/>
        </w:rPr>
        <w:t xml:space="preserve">“mulher trans”</w:t>
      </w:r>
      <w:r w:rsidDel="00000000" w:rsidR="00000000" w:rsidRPr="00000000">
        <w:rPr>
          <w:sz w:val="24"/>
          <w:szCs w:val="24"/>
          <w:rtl w:val="0"/>
        </w:rPr>
        <w:t xml:space="preserve"> AND </w:t>
      </w:r>
      <w:r w:rsidDel="00000000" w:rsidR="00000000" w:rsidRPr="00000000">
        <w:rPr>
          <w:i w:val="1"/>
          <w:iCs w:val="1"/>
          <w:sz w:val="24"/>
          <w:szCs w:val="24"/>
          <w:rtl w:val="0"/>
        </w:rPr>
        <w:t xml:space="preserve">“lei maria da penha”. </w:t>
      </w:r>
      <w:r w:rsidDel="00000000" w:rsidR="00000000" w:rsidRPr="00000000">
        <w:rPr>
          <w:sz w:val="24"/>
          <w:szCs w:val="24"/>
          <w:rtl w:val="0"/>
        </w:rPr>
        <w:t xml:space="preserve">Na sequência, foram selecionados para análise, a partir da aplicação do filtro de recorte temporal na base de dados mencionada e por meio das leituras dos títulos e dos resumos, os artigos científicos que citam diretamente assuntos relacionados à violência doméstica e familiar contra mulher trans, os mecanismos de atuação estatal e os desafios enfrentados pelo poder público, permitindo, dessa maneira, visualizar as perspectivas teóricas e jurídicas sobre a aplicação da Lei Maria da Penha às mulheres trans. </w:t>
      </w:r>
    </w:p>
    <w:p w:rsidR="00000000" w:rsidDel="00000000" w:rsidP="00000000" w:rsidRDefault="00000000" w:rsidRPr="00000000" w14:paraId="0000001C">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1D">
      <w:pPr>
        <w:spacing w:line="360" w:lineRule="auto"/>
        <w:rPr>
          <w:b w:val="1"/>
          <w:bCs w:val="1"/>
          <w:sz w:val="24"/>
          <w:szCs w:val="24"/>
        </w:rPr>
      </w:pPr>
      <w:r w:rsidDel="00000000" w:rsidR="00000000" w:rsidRPr="00000000">
        <w:rPr>
          <w:b w:val="1"/>
          <w:bCs w:val="1"/>
          <w:sz w:val="24"/>
          <w:szCs w:val="24"/>
          <w:rtl w:val="0"/>
        </w:rPr>
        <w:t xml:space="preserve">4 RESULTADOS E DISCUSSÃO</w:t>
      </w:r>
    </w:p>
    <w:p w:rsidR="00000000" w:rsidDel="00000000" w:rsidP="00000000" w:rsidRDefault="00000000" w:rsidRPr="00000000" w14:paraId="0000001E">
      <w:pPr>
        <w:spacing w:line="360" w:lineRule="auto"/>
        <w:rPr>
          <w:b w:val="1"/>
          <w:bCs w:val="1"/>
          <w:sz w:val="24"/>
          <w:szCs w:val="24"/>
        </w:rPr>
      </w:pPr>
      <w:r w:rsidDel="00000000" w:rsidR="00000000" w:rsidRPr="00000000">
        <w:rPr>
          <w:b w:val="1"/>
          <w:bCs w:val="1"/>
          <w:sz w:val="24"/>
          <w:szCs w:val="24"/>
          <w:rtl w:val="0"/>
        </w:rPr>
        <w:t xml:space="preserve">4.1 A proteção da Lei Maria da Penha e a similaridade das violências sofridas por mulheres cis e trans </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360" w:lineRule="auto"/>
        <w:ind w:firstLine="720"/>
        <w:jc w:val="both"/>
        <w:rPr>
          <w:sz w:val="24"/>
          <w:szCs w:val="24"/>
        </w:rPr>
      </w:pPr>
      <w:r w:rsidDel="00000000" w:rsidR="00000000" w:rsidRPr="00000000">
        <w:rPr>
          <w:sz w:val="24"/>
          <w:szCs w:val="24"/>
          <w:rtl w:val="0"/>
        </w:rPr>
        <w:t xml:space="preserve">Os resultados da pesquisa evidenciaram que a Lei Maria da Penha possui como fundamento principal  a proteção das mulheres em situação de violência doméstica e familiar. O estudo permitiu identificar que mulheres trans e travestis também estão sujeitas a ciclos de agressão, violência e controle, situações semelhantes às enfrentadas por mulheres cisgênero no âmbito das relações domésticas, familiares e afetivas. Nesse sentido, percebe-se que a violência de gênero não se limita ao corpo; ela também atinge a identidade, a dignidade e a existência das mulheres trans.</w:t>
      </w:r>
    </w:p>
    <w:p w:rsidR="00000000" w:rsidDel="00000000" w:rsidP="00000000" w:rsidRDefault="00000000" w:rsidRPr="00000000" w14:paraId="00000020">
      <w:pPr>
        <w:spacing w:line="360" w:lineRule="auto"/>
        <w:ind w:firstLine="720"/>
        <w:jc w:val="both"/>
        <w:rPr>
          <w:sz w:val="24"/>
          <w:szCs w:val="24"/>
        </w:rPr>
      </w:pPr>
      <w:r w:rsidDel="00000000" w:rsidR="00000000" w:rsidRPr="00000000">
        <w:rPr>
          <w:sz w:val="24"/>
          <w:szCs w:val="24"/>
          <w:rtl w:val="0"/>
        </w:rPr>
        <w:t xml:space="preserve">Em ambos os contextos, a violência contra a mulher podem estar presentes nas agressões físicas, violência psicológica, ameaças e humilhações. Além disso, as relações marcadas pelo exercício de poder e controle sobre a mulher, limitando sua autonomia e impondo medo ou submissão, o que enfatiza que a similaridade não significa identidade de experiências, mas a existência de elementos comuns que aproximam determinadas situações de violência. </w:t>
      </w:r>
    </w:p>
    <w:p w:rsidR="00000000" w:rsidDel="00000000" w:rsidP="00000000" w:rsidRDefault="00000000" w:rsidRPr="00000000" w14:paraId="00000021">
      <w:pPr>
        <w:spacing w:line="360" w:lineRule="auto"/>
        <w:ind w:firstLine="720"/>
        <w:jc w:val="both"/>
        <w:rPr>
          <w:sz w:val="24"/>
          <w:szCs w:val="24"/>
        </w:rPr>
      </w:pPr>
      <w:r w:rsidDel="00000000" w:rsidR="00000000" w:rsidRPr="00000000">
        <w:rPr>
          <w:sz w:val="24"/>
          <w:szCs w:val="24"/>
          <w:rtl w:val="0"/>
        </w:rPr>
        <w:t xml:space="preserve">No âmbito jurisprudencial, se faz presente a proteção da Lei Maria da Penha em criar mecanismos de prevenção e combate à violência doméstica e familiar contra as mulheres, buscando a proteção de sua integridade física, psicológica, sexual, patrimonial e moral. Com as consultas às bases de dados, foram selecionados 7 artigos científicos para análise. Os estudos selecionados foram publicados em diferentes revistas e periódicos científicos, com a abordagem dos aspectos relacionados à aplicação da Lei Maria da Penha às mulheres transexuais. </w:t>
      </w:r>
    </w:p>
    <w:p w:rsidR="00000000" w:rsidDel="00000000" w:rsidP="00000000" w:rsidRDefault="00000000" w:rsidRPr="00000000" w14:paraId="00000022">
      <w:pPr>
        <w:spacing w:line="360" w:lineRule="auto"/>
        <w:jc w:val="both"/>
        <w:rPr>
          <w:sz w:val="24"/>
          <w:szCs w:val="24"/>
        </w:rPr>
      </w:pPr>
      <w:r w:rsidDel="00000000" w:rsidR="00000000" w:rsidRPr="00000000">
        <w:rPr>
          <w:b w:val="1"/>
          <w:bCs w:val="1"/>
          <w:color w:val="010914"/>
          <w:sz w:val="24"/>
          <w:szCs w:val="24"/>
          <w:rtl w:val="0"/>
        </w:rPr>
        <w:t xml:space="preserve">Quadro 1</w:t>
      </w:r>
      <w:r w:rsidDel="00000000" w:rsidR="00000000" w:rsidRPr="00000000">
        <w:rPr>
          <w:color w:val="010914"/>
          <w:sz w:val="24"/>
          <w:szCs w:val="24"/>
          <w:rtl w:val="0"/>
        </w:rPr>
        <w:t xml:space="preserve">. Descrição resumida dos artigos selecionados e analisados na pesquisa, de acordo com o título, autores, ano, objetivos e desenho de estudo.</w:t>
      </w:r>
      <w:r w:rsidDel="00000000" w:rsidR="00000000" w:rsidRPr="00000000">
        <w:rPr>
          <w:rtl w:val="0"/>
        </w:rPr>
      </w:r>
    </w:p>
    <w:tbl>
      <w:tblPr>
        <w:tblStyle w:val="Table1"/>
        <w:tblW w:w="907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4"/>
        <w:gridCol w:w="1814"/>
        <w:gridCol w:w="1815"/>
        <w:gridCol w:w="1815"/>
        <w:gridCol w:w="1815"/>
        <w:tblGridChange w:id="0">
          <w:tblGrid>
            <w:gridCol w:w="1814"/>
            <w:gridCol w:w="1814"/>
            <w:gridCol w:w="1815"/>
            <w:gridCol w:w="1815"/>
            <w:gridCol w:w="181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23">
            <w:pPr>
              <w:widowControl w:val="0"/>
              <w:jc w:val="center"/>
              <w:rPr>
                <w:b w:val="1"/>
                <w:bCs w:val="1"/>
                <w:sz w:val="20"/>
                <w:szCs w:val="20"/>
              </w:rPr>
            </w:pPr>
            <w:r w:rsidDel="00000000" w:rsidR="00000000" w:rsidRPr="00000000">
              <w:rPr>
                <w:b w:val="1"/>
                <w:bCs w:val="1"/>
                <w:sz w:val="20"/>
                <w:szCs w:val="20"/>
                <w:rtl w:val="0"/>
              </w:rPr>
              <w:t xml:space="preserve">TÍTULO</w:t>
            </w:r>
          </w:p>
        </w:tc>
        <w:tc>
          <w:tcPr>
            <w:tcMar>
              <w:top w:w="100.0" w:type="dxa"/>
              <w:left w:w="100.0" w:type="dxa"/>
              <w:bottom w:w="100.0" w:type="dxa"/>
              <w:right w:w="100.0" w:type="dxa"/>
            </w:tcMar>
          </w:tcPr>
          <w:p w:rsidR="00000000" w:rsidDel="00000000" w:rsidP="00000000" w:rsidRDefault="00000000" w:rsidRPr="00000000" w14:paraId="00000024">
            <w:pPr>
              <w:widowControl w:val="0"/>
              <w:jc w:val="center"/>
              <w:rPr>
                <w:b w:val="1"/>
                <w:bCs w:val="1"/>
                <w:sz w:val="20"/>
                <w:szCs w:val="20"/>
              </w:rPr>
            </w:pPr>
            <w:r w:rsidDel="00000000" w:rsidR="00000000" w:rsidRPr="00000000">
              <w:rPr>
                <w:b w:val="1"/>
                <w:bCs w:val="1"/>
                <w:sz w:val="20"/>
                <w:szCs w:val="20"/>
                <w:rtl w:val="0"/>
              </w:rPr>
              <w:t xml:space="preserve">AUTORES</w:t>
            </w:r>
          </w:p>
        </w:tc>
        <w:tc>
          <w:tcPr>
            <w:tcMar>
              <w:top w:w="100.0" w:type="dxa"/>
              <w:left w:w="100.0" w:type="dxa"/>
              <w:bottom w:w="100.0" w:type="dxa"/>
              <w:right w:w="100.0" w:type="dxa"/>
            </w:tcMar>
          </w:tcPr>
          <w:p w:rsidR="00000000" w:rsidDel="00000000" w:rsidP="00000000" w:rsidRDefault="00000000" w:rsidRPr="00000000" w14:paraId="00000025">
            <w:pPr>
              <w:widowControl w:val="0"/>
              <w:jc w:val="center"/>
              <w:rPr>
                <w:b w:val="1"/>
                <w:bCs w:val="1"/>
                <w:sz w:val="20"/>
                <w:szCs w:val="20"/>
              </w:rPr>
            </w:pPr>
            <w:r w:rsidDel="00000000" w:rsidR="00000000" w:rsidRPr="00000000">
              <w:rPr>
                <w:b w:val="1"/>
                <w:bCs w:val="1"/>
                <w:sz w:val="20"/>
                <w:szCs w:val="20"/>
                <w:rtl w:val="0"/>
              </w:rPr>
              <w:t xml:space="preserve">ANO</w:t>
            </w:r>
          </w:p>
        </w:tc>
        <w:tc>
          <w:tcPr>
            <w:tcMar>
              <w:top w:w="100.0" w:type="dxa"/>
              <w:left w:w="100.0" w:type="dxa"/>
              <w:bottom w:w="100.0" w:type="dxa"/>
              <w:right w:w="100.0" w:type="dxa"/>
            </w:tcMar>
          </w:tcPr>
          <w:p w:rsidR="00000000" w:rsidDel="00000000" w:rsidP="00000000" w:rsidRDefault="00000000" w:rsidRPr="00000000" w14:paraId="00000026">
            <w:pPr>
              <w:widowControl w:val="0"/>
              <w:jc w:val="center"/>
              <w:rPr>
                <w:b w:val="1"/>
                <w:bCs w:val="1"/>
                <w:sz w:val="20"/>
                <w:szCs w:val="20"/>
              </w:rPr>
            </w:pPr>
            <w:r w:rsidDel="00000000" w:rsidR="00000000" w:rsidRPr="00000000">
              <w:rPr>
                <w:b w:val="1"/>
                <w:bCs w:val="1"/>
                <w:sz w:val="20"/>
                <w:szCs w:val="20"/>
                <w:rtl w:val="0"/>
              </w:rPr>
              <w:t xml:space="preserve">OBJETIVOS</w:t>
            </w:r>
          </w:p>
        </w:tc>
        <w:tc>
          <w:tcPr>
            <w:tcMar>
              <w:top w:w="100.0" w:type="dxa"/>
              <w:left w:w="100.0" w:type="dxa"/>
              <w:bottom w:w="100.0" w:type="dxa"/>
              <w:right w:w="100.0" w:type="dxa"/>
            </w:tcMar>
          </w:tcPr>
          <w:p w:rsidR="00000000" w:rsidDel="00000000" w:rsidP="00000000" w:rsidRDefault="00000000" w:rsidRPr="00000000" w14:paraId="00000027">
            <w:pPr>
              <w:widowControl w:val="0"/>
              <w:jc w:val="center"/>
              <w:rPr>
                <w:b w:val="1"/>
                <w:bCs w:val="1"/>
                <w:sz w:val="20"/>
                <w:szCs w:val="20"/>
              </w:rPr>
            </w:pPr>
            <w:r w:rsidDel="00000000" w:rsidR="00000000" w:rsidRPr="00000000">
              <w:rPr>
                <w:b w:val="1"/>
                <w:bCs w:val="1"/>
                <w:sz w:val="20"/>
                <w:szCs w:val="20"/>
                <w:rtl w:val="0"/>
              </w:rPr>
              <w:t xml:space="preserve">DESENHO DE ESTUDO</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8">
            <w:pPr>
              <w:widowControl w:val="0"/>
              <w:jc w:val="center"/>
              <w:rPr>
                <w:sz w:val="20"/>
                <w:szCs w:val="20"/>
              </w:rPr>
            </w:pPr>
            <w:r w:rsidDel="00000000" w:rsidR="00000000" w:rsidRPr="00000000">
              <w:rPr>
                <w:sz w:val="20"/>
                <w:szCs w:val="20"/>
                <w:rtl w:val="0"/>
              </w:rPr>
              <w:t xml:space="preserve">MULHERES TRANS EM SITUAÇÃO DE VIOLÊNCIA DOMÉSTICA E FAMILIAR: A aplicabilidade da Lei Maria da Penha </w:t>
            </w:r>
          </w:p>
        </w:tc>
        <w:tc>
          <w:tcPr>
            <w:tcMar>
              <w:top w:w="100.0" w:type="dxa"/>
              <w:left w:w="100.0" w:type="dxa"/>
              <w:bottom w:w="100.0" w:type="dxa"/>
              <w:right w:w="100.0" w:type="dxa"/>
            </w:tcMar>
          </w:tcPr>
          <w:p w:rsidR="00000000" w:rsidDel="00000000" w:rsidP="00000000" w:rsidRDefault="00000000" w:rsidRPr="00000000" w14:paraId="00000029">
            <w:pPr>
              <w:widowControl w:val="0"/>
              <w:jc w:val="center"/>
              <w:rPr>
                <w:sz w:val="20"/>
                <w:szCs w:val="20"/>
              </w:rPr>
            </w:pPr>
            <w:r w:rsidDel="00000000" w:rsidR="00000000" w:rsidRPr="00000000">
              <w:rPr>
                <w:rtl w:val="0"/>
              </w:rPr>
            </w:r>
          </w:p>
          <w:p w:rsidR="00000000" w:rsidDel="00000000" w:rsidP="00000000" w:rsidRDefault="00000000" w:rsidRPr="00000000" w14:paraId="0000002A">
            <w:pPr>
              <w:widowControl w:val="0"/>
              <w:jc w:val="center"/>
              <w:rPr>
                <w:sz w:val="20"/>
                <w:szCs w:val="20"/>
              </w:rPr>
            </w:pPr>
            <w:r w:rsidDel="00000000" w:rsidR="00000000" w:rsidRPr="00000000">
              <w:rPr>
                <w:rtl w:val="0"/>
              </w:rPr>
            </w:r>
          </w:p>
          <w:p w:rsidR="00000000" w:rsidDel="00000000" w:rsidP="00000000" w:rsidRDefault="00000000" w:rsidRPr="00000000" w14:paraId="0000002B">
            <w:pPr>
              <w:widowControl w:val="0"/>
              <w:jc w:val="center"/>
              <w:rPr>
                <w:sz w:val="20"/>
                <w:szCs w:val="20"/>
              </w:rPr>
            </w:pPr>
            <w:r w:rsidDel="00000000" w:rsidR="00000000" w:rsidRPr="00000000">
              <w:rPr>
                <w:rtl w:val="0"/>
              </w:rPr>
            </w:r>
          </w:p>
          <w:p w:rsidR="00000000" w:rsidDel="00000000" w:rsidP="00000000" w:rsidRDefault="00000000" w:rsidRPr="00000000" w14:paraId="0000002C">
            <w:pPr>
              <w:widowControl w:val="0"/>
              <w:jc w:val="center"/>
              <w:rPr>
                <w:sz w:val="20"/>
                <w:szCs w:val="20"/>
              </w:rPr>
            </w:pPr>
            <w:r w:rsidDel="00000000" w:rsidR="00000000" w:rsidRPr="00000000">
              <w:rPr>
                <w:sz w:val="20"/>
                <w:szCs w:val="20"/>
                <w:rtl w:val="0"/>
              </w:rPr>
              <w:t xml:space="preserve">AMORIM e CARVALHO</w:t>
            </w:r>
          </w:p>
        </w:tc>
        <w:tc>
          <w:tcPr>
            <w:tcMar>
              <w:top w:w="100.0" w:type="dxa"/>
              <w:left w:w="100.0" w:type="dxa"/>
              <w:bottom w:w="100.0" w:type="dxa"/>
              <w:right w:w="100.0" w:type="dxa"/>
            </w:tcMar>
          </w:tcPr>
          <w:p w:rsidR="00000000" w:rsidDel="00000000" w:rsidP="00000000" w:rsidRDefault="00000000" w:rsidRPr="00000000" w14:paraId="0000002D">
            <w:pPr>
              <w:widowControl w:val="0"/>
              <w:jc w:val="center"/>
              <w:rPr>
                <w:sz w:val="20"/>
                <w:szCs w:val="20"/>
              </w:rPr>
            </w:pPr>
            <w:r w:rsidDel="00000000" w:rsidR="00000000" w:rsidRPr="00000000">
              <w:rPr>
                <w:rtl w:val="0"/>
              </w:rPr>
            </w:r>
          </w:p>
          <w:p w:rsidR="00000000" w:rsidDel="00000000" w:rsidP="00000000" w:rsidRDefault="00000000" w:rsidRPr="00000000" w14:paraId="0000002E">
            <w:pPr>
              <w:widowControl w:val="0"/>
              <w:jc w:val="center"/>
              <w:rPr>
                <w:sz w:val="20"/>
                <w:szCs w:val="20"/>
              </w:rPr>
            </w:pPr>
            <w:r w:rsidDel="00000000" w:rsidR="00000000" w:rsidRPr="00000000">
              <w:rPr>
                <w:rtl w:val="0"/>
              </w:rPr>
            </w:r>
          </w:p>
          <w:p w:rsidR="00000000" w:rsidDel="00000000" w:rsidP="00000000" w:rsidRDefault="00000000" w:rsidRPr="00000000" w14:paraId="0000002F">
            <w:pPr>
              <w:widowControl w:val="0"/>
              <w:jc w:val="center"/>
              <w:rPr>
                <w:sz w:val="20"/>
                <w:szCs w:val="20"/>
              </w:rPr>
            </w:pPr>
            <w:r w:rsidDel="00000000" w:rsidR="00000000" w:rsidRPr="00000000">
              <w:rPr>
                <w:rtl w:val="0"/>
              </w:rPr>
            </w:r>
          </w:p>
          <w:p w:rsidR="00000000" w:rsidDel="00000000" w:rsidP="00000000" w:rsidRDefault="00000000" w:rsidRPr="00000000" w14:paraId="00000030">
            <w:pPr>
              <w:widowControl w:val="0"/>
              <w:jc w:val="center"/>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tcPr>
          <w:p w:rsidR="00000000" w:rsidDel="00000000" w:rsidP="00000000" w:rsidRDefault="00000000" w:rsidRPr="00000000" w14:paraId="00000031">
            <w:pPr>
              <w:widowControl w:val="0"/>
              <w:jc w:val="center"/>
              <w:rPr>
                <w:sz w:val="20"/>
                <w:szCs w:val="20"/>
              </w:rPr>
            </w:pPr>
            <w:r w:rsidDel="00000000" w:rsidR="00000000" w:rsidRPr="00000000">
              <w:rPr>
                <w:sz w:val="20"/>
                <w:szCs w:val="20"/>
                <w:rtl w:val="0"/>
              </w:rPr>
              <w:t xml:space="preserve">Analisar a aplicação da Lei Maria da Penha em casos de violência doméstica contra mulheres transgênero no Brasil </w:t>
            </w:r>
          </w:p>
        </w:tc>
        <w:tc>
          <w:tcPr>
            <w:tcMar>
              <w:top w:w="100.0" w:type="dxa"/>
              <w:left w:w="100.0" w:type="dxa"/>
              <w:bottom w:w="100.0" w:type="dxa"/>
              <w:right w:w="100.0" w:type="dxa"/>
            </w:tcMar>
          </w:tcPr>
          <w:p w:rsidR="00000000" w:rsidDel="00000000" w:rsidP="00000000" w:rsidRDefault="00000000" w:rsidRPr="00000000" w14:paraId="00000032">
            <w:pPr>
              <w:widowControl w:val="0"/>
              <w:jc w:val="center"/>
              <w:rPr>
                <w:sz w:val="20"/>
                <w:szCs w:val="20"/>
              </w:rPr>
            </w:pPr>
            <w:r w:rsidDel="00000000" w:rsidR="00000000" w:rsidRPr="00000000">
              <w:rPr>
                <w:rtl w:val="0"/>
              </w:rPr>
            </w:r>
          </w:p>
          <w:p w:rsidR="00000000" w:rsidDel="00000000" w:rsidP="00000000" w:rsidRDefault="00000000" w:rsidRPr="00000000" w14:paraId="00000033">
            <w:pPr>
              <w:widowControl w:val="0"/>
              <w:jc w:val="center"/>
              <w:rPr>
                <w:sz w:val="20"/>
                <w:szCs w:val="20"/>
              </w:rPr>
            </w:pPr>
            <w:r w:rsidDel="00000000" w:rsidR="00000000" w:rsidRPr="00000000">
              <w:rPr>
                <w:sz w:val="20"/>
                <w:szCs w:val="20"/>
                <w:rtl w:val="0"/>
              </w:rPr>
              <w:t xml:space="preserve">Revisão bibliográfica e jurisprudencial</w:t>
            </w:r>
          </w:p>
        </w:tc>
      </w:tr>
    </w:tbl>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2"/>
        <w:tblW w:w="907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4"/>
        <w:gridCol w:w="1814"/>
        <w:gridCol w:w="1815"/>
        <w:gridCol w:w="1815"/>
        <w:gridCol w:w="1815"/>
        <w:tblGridChange w:id="0">
          <w:tblGrid>
            <w:gridCol w:w="1814"/>
            <w:gridCol w:w="1814"/>
            <w:gridCol w:w="1815"/>
            <w:gridCol w:w="1815"/>
            <w:gridCol w:w="181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35">
            <w:pPr>
              <w:widowControl w:val="0"/>
              <w:jc w:val="center"/>
              <w:rPr>
                <w:sz w:val="20"/>
                <w:szCs w:val="20"/>
              </w:rPr>
            </w:pPr>
            <w:r w:rsidDel="00000000" w:rsidR="00000000" w:rsidRPr="00000000">
              <w:rPr>
                <w:sz w:val="20"/>
                <w:szCs w:val="20"/>
                <w:rtl w:val="0"/>
              </w:rPr>
              <w:t xml:space="preserve">GÊNERO E DIREITOS:</w:t>
            </w:r>
          </w:p>
          <w:p w:rsidR="00000000" w:rsidDel="00000000" w:rsidP="00000000" w:rsidRDefault="00000000" w:rsidRPr="00000000" w14:paraId="00000036">
            <w:pPr>
              <w:widowControl w:val="0"/>
              <w:jc w:val="center"/>
              <w:rPr>
                <w:sz w:val="20"/>
                <w:szCs w:val="20"/>
              </w:rPr>
            </w:pPr>
            <w:r w:rsidDel="00000000" w:rsidR="00000000" w:rsidRPr="00000000">
              <w:rPr>
                <w:sz w:val="20"/>
                <w:szCs w:val="20"/>
                <w:rtl w:val="0"/>
              </w:rPr>
              <w:t xml:space="preserve">um olhar sob a Lei Maria da Penha.</w:t>
            </w:r>
          </w:p>
          <w:p w:rsidR="00000000" w:rsidDel="00000000" w:rsidP="00000000" w:rsidRDefault="00000000" w:rsidRPr="00000000" w14:paraId="00000037">
            <w:pPr>
              <w:widowControl w:val="0"/>
              <w:jc w:val="center"/>
              <w:rPr>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8">
            <w:pPr>
              <w:widowControl w:val="0"/>
              <w:jc w:val="center"/>
              <w:rPr>
                <w:sz w:val="20"/>
                <w:szCs w:val="20"/>
              </w:rPr>
            </w:pPr>
            <w:r w:rsidDel="00000000" w:rsidR="00000000" w:rsidRPr="00000000">
              <w:rPr>
                <w:sz w:val="20"/>
                <w:szCs w:val="20"/>
                <w:rtl w:val="0"/>
              </w:rPr>
              <w:t xml:space="preserve">ALVES, MANOELA TEIXEIRA ALVES E WILLIAM DALDEGAN</w:t>
            </w:r>
          </w:p>
        </w:tc>
        <w:tc>
          <w:tcPr>
            <w:tcMar>
              <w:top w:w="100.0" w:type="dxa"/>
              <w:left w:w="100.0" w:type="dxa"/>
              <w:bottom w:w="100.0" w:type="dxa"/>
              <w:right w:w="100.0" w:type="dxa"/>
            </w:tcMar>
          </w:tcPr>
          <w:p w:rsidR="00000000" w:rsidDel="00000000" w:rsidP="00000000" w:rsidRDefault="00000000" w:rsidRPr="00000000" w14:paraId="00000039">
            <w:pPr>
              <w:widowControl w:val="0"/>
              <w:jc w:val="center"/>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tcPr>
          <w:p w:rsidR="00000000" w:rsidDel="00000000" w:rsidP="00000000" w:rsidRDefault="00000000" w:rsidRPr="00000000" w14:paraId="0000003A">
            <w:pPr>
              <w:widowControl w:val="0"/>
              <w:jc w:val="center"/>
              <w:rPr>
                <w:sz w:val="20"/>
                <w:szCs w:val="20"/>
              </w:rPr>
            </w:pPr>
            <w:r w:rsidDel="00000000" w:rsidR="00000000" w:rsidRPr="00000000">
              <w:rPr>
                <w:sz w:val="20"/>
                <w:szCs w:val="20"/>
                <w:rtl w:val="0"/>
              </w:rPr>
              <w:t xml:space="preserve">Analisar a Lei Maria da Penha, sua função na proteção dos direitos das mulheres trans.</w:t>
            </w:r>
          </w:p>
        </w:tc>
        <w:tc>
          <w:tcPr>
            <w:tcMar>
              <w:top w:w="100.0" w:type="dxa"/>
              <w:left w:w="100.0" w:type="dxa"/>
              <w:bottom w:w="100.0" w:type="dxa"/>
              <w:right w:w="100.0" w:type="dxa"/>
            </w:tcMar>
          </w:tcPr>
          <w:p w:rsidR="00000000" w:rsidDel="00000000" w:rsidP="00000000" w:rsidRDefault="00000000" w:rsidRPr="00000000" w14:paraId="0000003B">
            <w:pPr>
              <w:widowControl w:val="0"/>
              <w:jc w:val="center"/>
              <w:rPr>
                <w:sz w:val="20"/>
                <w:szCs w:val="20"/>
              </w:rPr>
            </w:pPr>
            <w:r w:rsidDel="00000000" w:rsidR="00000000" w:rsidRPr="00000000">
              <w:rPr>
                <w:sz w:val="20"/>
                <w:szCs w:val="20"/>
                <w:rtl w:val="0"/>
              </w:rPr>
              <w:t xml:space="preserve">Revisão bibliográfica e jurisprudencia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C">
            <w:pPr>
              <w:widowControl w:val="0"/>
              <w:jc w:val="center"/>
              <w:rPr>
                <w:sz w:val="20"/>
                <w:szCs w:val="20"/>
              </w:rPr>
            </w:pPr>
            <w:r w:rsidDel="00000000" w:rsidR="00000000" w:rsidRPr="00000000">
              <w:rPr>
                <w:rtl w:val="0"/>
              </w:rPr>
            </w:r>
          </w:p>
          <w:p w:rsidR="00000000" w:rsidDel="00000000" w:rsidP="00000000" w:rsidRDefault="00000000" w:rsidRPr="00000000" w14:paraId="0000003D">
            <w:pPr>
              <w:widowControl w:val="0"/>
              <w:jc w:val="center"/>
              <w:rPr>
                <w:sz w:val="20"/>
                <w:szCs w:val="20"/>
              </w:rPr>
            </w:pPr>
            <w:r w:rsidDel="00000000" w:rsidR="00000000" w:rsidRPr="00000000">
              <w:rPr>
                <w:rtl w:val="0"/>
              </w:rPr>
            </w:r>
          </w:p>
          <w:p w:rsidR="00000000" w:rsidDel="00000000" w:rsidP="00000000" w:rsidRDefault="00000000" w:rsidRPr="00000000" w14:paraId="0000003E">
            <w:pPr>
              <w:widowControl w:val="0"/>
              <w:jc w:val="center"/>
              <w:rPr>
                <w:sz w:val="20"/>
                <w:szCs w:val="20"/>
              </w:rPr>
            </w:pPr>
            <w:r w:rsidDel="00000000" w:rsidR="00000000" w:rsidRPr="00000000">
              <w:rPr>
                <w:rtl w:val="0"/>
              </w:rPr>
            </w:r>
          </w:p>
          <w:p w:rsidR="00000000" w:rsidDel="00000000" w:rsidP="00000000" w:rsidRDefault="00000000" w:rsidRPr="00000000" w14:paraId="0000003F">
            <w:pPr>
              <w:widowControl w:val="0"/>
              <w:jc w:val="center"/>
              <w:rPr>
                <w:sz w:val="20"/>
                <w:szCs w:val="20"/>
              </w:rPr>
            </w:pPr>
            <w:r w:rsidDel="00000000" w:rsidR="00000000" w:rsidRPr="00000000">
              <w:rPr>
                <w:rtl w:val="0"/>
              </w:rPr>
            </w:r>
          </w:p>
          <w:p w:rsidR="00000000" w:rsidDel="00000000" w:rsidP="00000000" w:rsidRDefault="00000000" w:rsidRPr="00000000" w14:paraId="00000040">
            <w:pPr>
              <w:widowControl w:val="0"/>
              <w:jc w:val="center"/>
              <w:rPr>
                <w:sz w:val="20"/>
                <w:szCs w:val="20"/>
              </w:rPr>
            </w:pPr>
            <w:r w:rsidDel="00000000" w:rsidR="00000000" w:rsidRPr="00000000">
              <w:rPr>
                <w:rtl w:val="0"/>
              </w:rPr>
            </w:r>
          </w:p>
          <w:p w:rsidR="00000000" w:rsidDel="00000000" w:rsidP="00000000" w:rsidRDefault="00000000" w:rsidRPr="00000000" w14:paraId="00000041">
            <w:pPr>
              <w:widowControl w:val="0"/>
              <w:jc w:val="center"/>
              <w:rPr>
                <w:sz w:val="20"/>
                <w:szCs w:val="20"/>
              </w:rPr>
            </w:pPr>
            <w:r w:rsidDel="00000000" w:rsidR="00000000" w:rsidRPr="00000000">
              <w:rPr>
                <w:sz w:val="20"/>
                <w:szCs w:val="20"/>
                <w:rtl w:val="0"/>
              </w:rPr>
              <w:t xml:space="preserve">A LEI MARIA DA PENHA E A HERANÇA DO COMPLEXO DE ÉDIPO: análise psicanalítica e jurídica. </w:t>
            </w:r>
          </w:p>
        </w:tc>
        <w:tc>
          <w:tcPr>
            <w:tcMar>
              <w:top w:w="100.0" w:type="dxa"/>
              <w:left w:w="100.0" w:type="dxa"/>
              <w:bottom w:w="100.0" w:type="dxa"/>
              <w:right w:w="100.0" w:type="dxa"/>
            </w:tcMar>
          </w:tcPr>
          <w:p w:rsidR="00000000" w:rsidDel="00000000" w:rsidP="00000000" w:rsidRDefault="00000000" w:rsidRPr="00000000" w14:paraId="00000042">
            <w:pPr>
              <w:widowControl w:val="0"/>
              <w:jc w:val="center"/>
              <w:rPr>
                <w:sz w:val="20"/>
                <w:szCs w:val="20"/>
              </w:rPr>
            </w:pPr>
            <w:r w:rsidDel="00000000" w:rsidR="00000000" w:rsidRPr="00000000">
              <w:rPr>
                <w:rtl w:val="0"/>
              </w:rPr>
            </w:r>
          </w:p>
          <w:p w:rsidR="00000000" w:rsidDel="00000000" w:rsidP="00000000" w:rsidRDefault="00000000" w:rsidRPr="00000000" w14:paraId="00000043">
            <w:pPr>
              <w:widowControl w:val="0"/>
              <w:jc w:val="center"/>
              <w:rPr>
                <w:sz w:val="20"/>
                <w:szCs w:val="20"/>
              </w:rPr>
            </w:pPr>
            <w:r w:rsidDel="00000000" w:rsidR="00000000" w:rsidRPr="00000000">
              <w:rPr>
                <w:rtl w:val="0"/>
              </w:rPr>
            </w:r>
          </w:p>
          <w:p w:rsidR="00000000" w:rsidDel="00000000" w:rsidP="00000000" w:rsidRDefault="00000000" w:rsidRPr="00000000" w14:paraId="00000044">
            <w:pPr>
              <w:widowControl w:val="0"/>
              <w:jc w:val="center"/>
              <w:rPr>
                <w:sz w:val="20"/>
                <w:szCs w:val="20"/>
              </w:rPr>
            </w:pPr>
            <w:r w:rsidDel="00000000" w:rsidR="00000000" w:rsidRPr="00000000">
              <w:rPr>
                <w:rtl w:val="0"/>
              </w:rPr>
            </w:r>
          </w:p>
          <w:p w:rsidR="00000000" w:rsidDel="00000000" w:rsidP="00000000" w:rsidRDefault="00000000" w:rsidRPr="00000000" w14:paraId="00000045">
            <w:pPr>
              <w:widowControl w:val="0"/>
              <w:jc w:val="center"/>
              <w:rPr>
                <w:sz w:val="20"/>
                <w:szCs w:val="20"/>
              </w:rPr>
            </w:pPr>
            <w:r w:rsidDel="00000000" w:rsidR="00000000" w:rsidRPr="00000000">
              <w:rPr>
                <w:rtl w:val="0"/>
              </w:rPr>
            </w:r>
          </w:p>
          <w:p w:rsidR="00000000" w:rsidDel="00000000" w:rsidP="00000000" w:rsidRDefault="00000000" w:rsidRPr="00000000" w14:paraId="00000046">
            <w:pPr>
              <w:widowControl w:val="0"/>
              <w:jc w:val="center"/>
              <w:rPr>
                <w:sz w:val="20"/>
                <w:szCs w:val="20"/>
              </w:rPr>
            </w:pPr>
            <w:r w:rsidDel="00000000" w:rsidR="00000000" w:rsidRPr="00000000">
              <w:rPr>
                <w:rtl w:val="0"/>
              </w:rPr>
            </w:r>
          </w:p>
          <w:p w:rsidR="00000000" w:rsidDel="00000000" w:rsidP="00000000" w:rsidRDefault="00000000" w:rsidRPr="00000000" w14:paraId="00000047">
            <w:pPr>
              <w:widowControl w:val="0"/>
              <w:jc w:val="center"/>
              <w:rPr>
                <w:sz w:val="20"/>
                <w:szCs w:val="20"/>
              </w:rPr>
            </w:pPr>
            <w:r w:rsidDel="00000000" w:rsidR="00000000" w:rsidRPr="00000000">
              <w:rPr>
                <w:rtl w:val="0"/>
              </w:rPr>
            </w:r>
          </w:p>
          <w:p w:rsidR="00000000" w:rsidDel="00000000" w:rsidP="00000000" w:rsidRDefault="00000000" w:rsidRPr="00000000" w14:paraId="00000048">
            <w:pPr>
              <w:widowControl w:val="0"/>
              <w:jc w:val="center"/>
              <w:rPr>
                <w:sz w:val="20"/>
                <w:szCs w:val="20"/>
              </w:rPr>
            </w:pPr>
            <w:r w:rsidDel="00000000" w:rsidR="00000000" w:rsidRPr="00000000">
              <w:rPr>
                <w:rtl w:val="0"/>
              </w:rPr>
            </w:r>
          </w:p>
          <w:p w:rsidR="00000000" w:rsidDel="00000000" w:rsidP="00000000" w:rsidRDefault="00000000" w:rsidRPr="00000000" w14:paraId="00000049">
            <w:pPr>
              <w:widowControl w:val="0"/>
              <w:jc w:val="center"/>
              <w:rPr>
                <w:sz w:val="20"/>
                <w:szCs w:val="20"/>
              </w:rPr>
            </w:pPr>
            <w:r w:rsidDel="00000000" w:rsidR="00000000" w:rsidRPr="00000000">
              <w:rPr>
                <w:rtl w:val="0"/>
              </w:rPr>
            </w:r>
          </w:p>
          <w:p w:rsidR="00000000" w:rsidDel="00000000" w:rsidP="00000000" w:rsidRDefault="00000000" w:rsidRPr="00000000" w14:paraId="0000004A">
            <w:pPr>
              <w:widowControl w:val="0"/>
              <w:jc w:val="center"/>
              <w:rPr>
                <w:sz w:val="20"/>
                <w:szCs w:val="20"/>
              </w:rPr>
            </w:pPr>
            <w:r w:rsidDel="00000000" w:rsidR="00000000" w:rsidRPr="00000000">
              <w:rPr>
                <w:sz w:val="20"/>
                <w:szCs w:val="20"/>
                <w:rtl w:val="0"/>
              </w:rPr>
              <w:t xml:space="preserve">COURA</w:t>
            </w:r>
          </w:p>
        </w:tc>
        <w:tc>
          <w:tcPr>
            <w:tcMar>
              <w:top w:w="100.0" w:type="dxa"/>
              <w:left w:w="100.0" w:type="dxa"/>
              <w:bottom w:w="100.0" w:type="dxa"/>
              <w:right w:w="100.0" w:type="dxa"/>
            </w:tcMar>
          </w:tcPr>
          <w:p w:rsidR="00000000" w:rsidDel="00000000" w:rsidP="00000000" w:rsidRDefault="00000000" w:rsidRPr="00000000" w14:paraId="0000004B">
            <w:pPr>
              <w:widowControl w:val="0"/>
              <w:jc w:val="center"/>
              <w:rPr>
                <w:sz w:val="20"/>
                <w:szCs w:val="20"/>
              </w:rPr>
            </w:pPr>
            <w:r w:rsidDel="00000000" w:rsidR="00000000" w:rsidRPr="00000000">
              <w:rPr>
                <w:rtl w:val="0"/>
              </w:rPr>
            </w:r>
          </w:p>
          <w:p w:rsidR="00000000" w:rsidDel="00000000" w:rsidP="00000000" w:rsidRDefault="00000000" w:rsidRPr="00000000" w14:paraId="0000004C">
            <w:pPr>
              <w:widowControl w:val="0"/>
              <w:jc w:val="center"/>
              <w:rPr>
                <w:sz w:val="20"/>
                <w:szCs w:val="20"/>
              </w:rPr>
            </w:pPr>
            <w:r w:rsidDel="00000000" w:rsidR="00000000" w:rsidRPr="00000000">
              <w:rPr>
                <w:rtl w:val="0"/>
              </w:rPr>
            </w:r>
          </w:p>
          <w:p w:rsidR="00000000" w:rsidDel="00000000" w:rsidP="00000000" w:rsidRDefault="00000000" w:rsidRPr="00000000" w14:paraId="0000004D">
            <w:pPr>
              <w:widowControl w:val="0"/>
              <w:jc w:val="center"/>
              <w:rPr>
                <w:sz w:val="20"/>
                <w:szCs w:val="20"/>
              </w:rPr>
            </w:pPr>
            <w:r w:rsidDel="00000000" w:rsidR="00000000" w:rsidRPr="00000000">
              <w:rPr>
                <w:rtl w:val="0"/>
              </w:rPr>
            </w:r>
          </w:p>
          <w:p w:rsidR="00000000" w:rsidDel="00000000" w:rsidP="00000000" w:rsidRDefault="00000000" w:rsidRPr="00000000" w14:paraId="0000004E">
            <w:pPr>
              <w:widowControl w:val="0"/>
              <w:jc w:val="center"/>
              <w:rPr>
                <w:sz w:val="20"/>
                <w:szCs w:val="20"/>
              </w:rPr>
            </w:pPr>
            <w:r w:rsidDel="00000000" w:rsidR="00000000" w:rsidRPr="00000000">
              <w:rPr>
                <w:rtl w:val="0"/>
              </w:rPr>
            </w:r>
          </w:p>
          <w:p w:rsidR="00000000" w:rsidDel="00000000" w:rsidP="00000000" w:rsidRDefault="00000000" w:rsidRPr="00000000" w14:paraId="0000004F">
            <w:pPr>
              <w:widowControl w:val="0"/>
              <w:jc w:val="center"/>
              <w:rPr>
                <w:sz w:val="20"/>
                <w:szCs w:val="20"/>
              </w:rPr>
            </w:pPr>
            <w:r w:rsidDel="00000000" w:rsidR="00000000" w:rsidRPr="00000000">
              <w:rPr>
                <w:rtl w:val="0"/>
              </w:rPr>
            </w:r>
          </w:p>
          <w:p w:rsidR="00000000" w:rsidDel="00000000" w:rsidP="00000000" w:rsidRDefault="00000000" w:rsidRPr="00000000" w14:paraId="00000050">
            <w:pPr>
              <w:widowControl w:val="0"/>
              <w:jc w:val="center"/>
              <w:rPr>
                <w:sz w:val="20"/>
                <w:szCs w:val="20"/>
              </w:rPr>
            </w:pPr>
            <w:r w:rsidDel="00000000" w:rsidR="00000000" w:rsidRPr="00000000">
              <w:rPr>
                <w:rtl w:val="0"/>
              </w:rPr>
            </w:r>
          </w:p>
          <w:p w:rsidR="00000000" w:rsidDel="00000000" w:rsidP="00000000" w:rsidRDefault="00000000" w:rsidRPr="00000000" w14:paraId="00000051">
            <w:pPr>
              <w:widowControl w:val="0"/>
              <w:jc w:val="center"/>
              <w:rPr>
                <w:sz w:val="20"/>
                <w:szCs w:val="20"/>
              </w:rPr>
            </w:pPr>
            <w:r w:rsidDel="00000000" w:rsidR="00000000" w:rsidRPr="00000000">
              <w:rPr>
                <w:rtl w:val="0"/>
              </w:rPr>
            </w:r>
          </w:p>
          <w:p w:rsidR="00000000" w:rsidDel="00000000" w:rsidP="00000000" w:rsidRDefault="00000000" w:rsidRPr="00000000" w14:paraId="00000052">
            <w:pPr>
              <w:widowControl w:val="0"/>
              <w:jc w:val="center"/>
              <w:rPr>
                <w:sz w:val="20"/>
                <w:szCs w:val="20"/>
              </w:rPr>
            </w:pPr>
            <w:r w:rsidDel="00000000" w:rsidR="00000000" w:rsidRPr="00000000">
              <w:rPr>
                <w:rtl w:val="0"/>
              </w:rPr>
            </w:r>
          </w:p>
          <w:p w:rsidR="00000000" w:rsidDel="00000000" w:rsidP="00000000" w:rsidRDefault="00000000" w:rsidRPr="00000000" w14:paraId="00000053">
            <w:pPr>
              <w:widowControl w:val="0"/>
              <w:jc w:val="center"/>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tcPr>
          <w:p w:rsidR="00000000" w:rsidDel="00000000" w:rsidP="00000000" w:rsidRDefault="00000000" w:rsidRPr="00000000" w14:paraId="00000054">
            <w:pPr>
              <w:widowControl w:val="0"/>
              <w:jc w:val="center"/>
              <w:rPr>
                <w:sz w:val="20"/>
                <w:szCs w:val="20"/>
              </w:rPr>
            </w:pPr>
            <w:r w:rsidDel="00000000" w:rsidR="00000000" w:rsidRPr="00000000">
              <w:rPr>
                <w:sz w:val="20"/>
                <w:szCs w:val="20"/>
                <w:rtl w:val="0"/>
              </w:rPr>
              <w:t xml:space="preserve">Analisar a Lei Maria da Penha, Analisar a Lei Maria da Penha, suas consequências e seu processo de criação, relacionando a questão da violência doméstica com uma perspectiva psicanalítica, especialmente a partir das teorias de Sigmund Freud e Jacques Lacan e do Complexo de Édipo.</w:t>
            </w:r>
          </w:p>
        </w:tc>
        <w:tc>
          <w:tcPr>
            <w:tcMar>
              <w:top w:w="100.0" w:type="dxa"/>
              <w:left w:w="100.0" w:type="dxa"/>
              <w:bottom w:w="100.0" w:type="dxa"/>
              <w:right w:w="100.0" w:type="dxa"/>
            </w:tcMar>
          </w:tcPr>
          <w:p w:rsidR="00000000" w:rsidDel="00000000" w:rsidP="00000000" w:rsidRDefault="00000000" w:rsidRPr="00000000" w14:paraId="00000055">
            <w:pPr>
              <w:widowControl w:val="0"/>
              <w:jc w:val="center"/>
              <w:rPr>
                <w:sz w:val="20"/>
                <w:szCs w:val="20"/>
              </w:rPr>
            </w:pPr>
            <w:r w:rsidDel="00000000" w:rsidR="00000000" w:rsidRPr="00000000">
              <w:rPr>
                <w:rtl w:val="0"/>
              </w:rPr>
            </w:r>
          </w:p>
          <w:p w:rsidR="00000000" w:rsidDel="00000000" w:rsidP="00000000" w:rsidRDefault="00000000" w:rsidRPr="00000000" w14:paraId="00000056">
            <w:pPr>
              <w:widowControl w:val="0"/>
              <w:jc w:val="center"/>
              <w:rPr>
                <w:sz w:val="20"/>
                <w:szCs w:val="20"/>
              </w:rPr>
            </w:pPr>
            <w:r w:rsidDel="00000000" w:rsidR="00000000" w:rsidRPr="00000000">
              <w:rPr>
                <w:rtl w:val="0"/>
              </w:rPr>
            </w:r>
          </w:p>
          <w:p w:rsidR="00000000" w:rsidDel="00000000" w:rsidP="00000000" w:rsidRDefault="00000000" w:rsidRPr="00000000" w14:paraId="00000057">
            <w:pPr>
              <w:widowControl w:val="0"/>
              <w:jc w:val="center"/>
              <w:rPr>
                <w:sz w:val="20"/>
                <w:szCs w:val="20"/>
              </w:rPr>
            </w:pPr>
            <w:r w:rsidDel="00000000" w:rsidR="00000000" w:rsidRPr="00000000">
              <w:rPr>
                <w:rtl w:val="0"/>
              </w:rPr>
            </w:r>
          </w:p>
          <w:p w:rsidR="00000000" w:rsidDel="00000000" w:rsidP="00000000" w:rsidRDefault="00000000" w:rsidRPr="00000000" w14:paraId="00000058">
            <w:pPr>
              <w:widowControl w:val="0"/>
              <w:jc w:val="center"/>
              <w:rPr>
                <w:sz w:val="20"/>
                <w:szCs w:val="20"/>
              </w:rPr>
            </w:pPr>
            <w:r w:rsidDel="00000000" w:rsidR="00000000" w:rsidRPr="00000000">
              <w:rPr>
                <w:rtl w:val="0"/>
              </w:rPr>
            </w:r>
          </w:p>
          <w:p w:rsidR="00000000" w:rsidDel="00000000" w:rsidP="00000000" w:rsidRDefault="00000000" w:rsidRPr="00000000" w14:paraId="00000059">
            <w:pPr>
              <w:widowControl w:val="0"/>
              <w:jc w:val="center"/>
              <w:rPr>
                <w:sz w:val="20"/>
                <w:szCs w:val="20"/>
              </w:rPr>
            </w:pPr>
            <w:r w:rsidDel="00000000" w:rsidR="00000000" w:rsidRPr="00000000">
              <w:rPr>
                <w:rtl w:val="0"/>
              </w:rPr>
            </w:r>
          </w:p>
          <w:p w:rsidR="00000000" w:rsidDel="00000000" w:rsidP="00000000" w:rsidRDefault="00000000" w:rsidRPr="00000000" w14:paraId="0000005A">
            <w:pPr>
              <w:widowControl w:val="0"/>
              <w:jc w:val="center"/>
              <w:rPr>
                <w:sz w:val="20"/>
                <w:szCs w:val="20"/>
              </w:rPr>
            </w:pPr>
            <w:r w:rsidDel="00000000" w:rsidR="00000000" w:rsidRPr="00000000">
              <w:rPr>
                <w:rtl w:val="0"/>
              </w:rPr>
            </w:r>
          </w:p>
          <w:p w:rsidR="00000000" w:rsidDel="00000000" w:rsidP="00000000" w:rsidRDefault="00000000" w:rsidRPr="00000000" w14:paraId="0000005B">
            <w:pPr>
              <w:widowControl w:val="0"/>
              <w:jc w:val="center"/>
              <w:rPr>
                <w:sz w:val="20"/>
                <w:szCs w:val="20"/>
              </w:rPr>
            </w:pPr>
            <w:r w:rsidDel="00000000" w:rsidR="00000000" w:rsidRPr="00000000">
              <w:rPr>
                <w:sz w:val="20"/>
                <w:szCs w:val="20"/>
                <w:rtl w:val="0"/>
              </w:rPr>
              <w:t xml:space="preserve">Pesquisa:</w:t>
            </w:r>
          </w:p>
          <w:p w:rsidR="00000000" w:rsidDel="00000000" w:rsidP="00000000" w:rsidRDefault="00000000" w:rsidRPr="00000000" w14:paraId="0000005C">
            <w:pPr>
              <w:widowControl w:val="0"/>
              <w:jc w:val="center"/>
              <w:rPr>
                <w:sz w:val="20"/>
                <w:szCs w:val="20"/>
              </w:rPr>
            </w:pPr>
            <w:r w:rsidDel="00000000" w:rsidR="00000000" w:rsidRPr="00000000">
              <w:rPr>
                <w:sz w:val="20"/>
                <w:szCs w:val="20"/>
                <w:rtl w:val="0"/>
              </w:rPr>
              <w:t xml:space="preserve">qualitativa;</w:t>
            </w:r>
          </w:p>
          <w:p w:rsidR="00000000" w:rsidDel="00000000" w:rsidP="00000000" w:rsidRDefault="00000000" w:rsidRPr="00000000" w14:paraId="0000005D">
            <w:pPr>
              <w:widowControl w:val="0"/>
              <w:jc w:val="center"/>
              <w:rPr>
                <w:sz w:val="20"/>
                <w:szCs w:val="20"/>
              </w:rPr>
            </w:pPr>
            <w:r w:rsidDel="00000000" w:rsidR="00000000" w:rsidRPr="00000000">
              <w:rPr>
                <w:sz w:val="20"/>
                <w:szCs w:val="20"/>
                <w:rtl w:val="0"/>
              </w:rPr>
              <w:t xml:space="preserve">bibliográfica;</w:t>
            </w:r>
          </w:p>
          <w:p w:rsidR="00000000" w:rsidDel="00000000" w:rsidP="00000000" w:rsidRDefault="00000000" w:rsidRPr="00000000" w14:paraId="0000005E">
            <w:pPr>
              <w:widowControl w:val="0"/>
              <w:jc w:val="center"/>
              <w:rPr>
                <w:sz w:val="20"/>
                <w:szCs w:val="20"/>
              </w:rPr>
            </w:pPr>
            <w:r w:rsidDel="00000000" w:rsidR="00000000" w:rsidRPr="00000000">
              <w:rPr>
                <w:sz w:val="20"/>
                <w:szCs w:val="20"/>
                <w:rtl w:val="0"/>
              </w:rPr>
              <w:t xml:space="preserve">baseada em estudo de caso</w:t>
            </w:r>
          </w:p>
          <w:p w:rsidR="00000000" w:rsidDel="00000000" w:rsidP="00000000" w:rsidRDefault="00000000" w:rsidRPr="00000000" w14:paraId="0000005F">
            <w:pPr>
              <w:widowControl w:val="0"/>
              <w:jc w:val="center"/>
              <w:rPr>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0">
            <w:pPr>
              <w:widowControl w:val="0"/>
              <w:jc w:val="center"/>
              <w:rPr>
                <w:sz w:val="20"/>
                <w:szCs w:val="20"/>
              </w:rPr>
            </w:pPr>
            <w:r w:rsidDel="00000000" w:rsidR="00000000" w:rsidRPr="00000000">
              <w:rPr>
                <w:sz w:val="20"/>
                <w:szCs w:val="20"/>
                <w:rtl w:val="0"/>
              </w:rPr>
              <w:t xml:space="preserve">VIOLÊNCIA INTERPESSOAL EM MULHERES TRANSGÊNERAS E CISGÊNERAS NOS MUNICÍPIOS BRASILEIROS:</w:t>
            </w:r>
          </w:p>
          <w:p w:rsidR="00000000" w:rsidDel="00000000" w:rsidP="00000000" w:rsidRDefault="00000000" w:rsidRPr="00000000" w14:paraId="00000061">
            <w:pPr>
              <w:widowControl w:val="0"/>
              <w:jc w:val="center"/>
              <w:rPr>
                <w:sz w:val="20"/>
                <w:szCs w:val="20"/>
              </w:rPr>
            </w:pPr>
            <w:r w:rsidDel="00000000" w:rsidR="00000000" w:rsidRPr="00000000">
              <w:rPr>
                <w:sz w:val="20"/>
                <w:szCs w:val="20"/>
                <w:rtl w:val="0"/>
              </w:rPr>
              <w:t xml:space="preserve">tendências e características.</w:t>
            </w:r>
          </w:p>
        </w:tc>
        <w:tc>
          <w:tcPr>
            <w:tcMar>
              <w:top w:w="100.0" w:type="dxa"/>
              <w:left w:w="100.0" w:type="dxa"/>
              <w:bottom w:w="100.0" w:type="dxa"/>
              <w:right w:w="100.0" w:type="dxa"/>
            </w:tcMar>
          </w:tcPr>
          <w:p w:rsidR="00000000" w:rsidDel="00000000" w:rsidP="00000000" w:rsidRDefault="00000000" w:rsidRPr="00000000" w14:paraId="00000062">
            <w:pPr>
              <w:widowControl w:val="0"/>
              <w:jc w:val="center"/>
              <w:rPr>
                <w:sz w:val="20"/>
                <w:szCs w:val="20"/>
              </w:rPr>
            </w:pPr>
            <w:r w:rsidDel="00000000" w:rsidR="00000000" w:rsidRPr="00000000">
              <w:rPr>
                <w:rtl w:val="0"/>
              </w:rPr>
            </w:r>
          </w:p>
          <w:p w:rsidR="00000000" w:rsidDel="00000000" w:rsidP="00000000" w:rsidRDefault="00000000" w:rsidRPr="00000000" w14:paraId="00000063">
            <w:pPr>
              <w:widowControl w:val="0"/>
              <w:jc w:val="center"/>
              <w:rPr>
                <w:sz w:val="20"/>
                <w:szCs w:val="20"/>
              </w:rPr>
            </w:pPr>
            <w:r w:rsidDel="00000000" w:rsidR="00000000" w:rsidRPr="00000000">
              <w:rPr>
                <w:rtl w:val="0"/>
              </w:rPr>
            </w:r>
          </w:p>
          <w:p w:rsidR="00000000" w:rsidDel="00000000" w:rsidP="00000000" w:rsidRDefault="00000000" w:rsidRPr="00000000" w14:paraId="00000064">
            <w:pPr>
              <w:widowControl w:val="0"/>
              <w:jc w:val="center"/>
              <w:rPr>
                <w:sz w:val="20"/>
                <w:szCs w:val="20"/>
              </w:rPr>
            </w:pPr>
            <w:r w:rsidDel="00000000" w:rsidR="00000000" w:rsidRPr="00000000">
              <w:rPr>
                <w:rtl w:val="0"/>
              </w:rPr>
            </w:r>
          </w:p>
          <w:p w:rsidR="00000000" w:rsidDel="00000000" w:rsidP="00000000" w:rsidRDefault="00000000" w:rsidRPr="00000000" w14:paraId="00000065">
            <w:pPr>
              <w:widowControl w:val="0"/>
              <w:jc w:val="center"/>
              <w:rPr>
                <w:sz w:val="20"/>
                <w:szCs w:val="20"/>
              </w:rPr>
            </w:pPr>
            <w:r w:rsidDel="00000000" w:rsidR="00000000" w:rsidRPr="00000000">
              <w:rPr>
                <w:sz w:val="20"/>
                <w:szCs w:val="20"/>
                <w:rtl w:val="0"/>
              </w:rPr>
              <w:t xml:space="preserve">KELLY ROBERTA ESTRELA MARINHO NETO E VANIA REIS GIRIANELLI</w:t>
            </w:r>
          </w:p>
        </w:tc>
        <w:tc>
          <w:tcPr>
            <w:tcMar>
              <w:top w:w="100.0" w:type="dxa"/>
              <w:left w:w="100.0" w:type="dxa"/>
              <w:bottom w:w="100.0" w:type="dxa"/>
              <w:right w:w="100.0" w:type="dxa"/>
            </w:tcMar>
          </w:tcPr>
          <w:p w:rsidR="00000000" w:rsidDel="00000000" w:rsidP="00000000" w:rsidRDefault="00000000" w:rsidRPr="00000000" w14:paraId="00000066">
            <w:pPr>
              <w:widowControl w:val="0"/>
              <w:jc w:val="center"/>
              <w:rPr>
                <w:sz w:val="20"/>
                <w:szCs w:val="20"/>
              </w:rPr>
            </w:pPr>
            <w:r w:rsidDel="00000000" w:rsidR="00000000" w:rsidRPr="00000000">
              <w:rPr>
                <w:rtl w:val="0"/>
              </w:rPr>
            </w:r>
          </w:p>
          <w:p w:rsidR="00000000" w:rsidDel="00000000" w:rsidP="00000000" w:rsidRDefault="00000000" w:rsidRPr="00000000" w14:paraId="00000067">
            <w:pPr>
              <w:widowControl w:val="0"/>
              <w:jc w:val="center"/>
              <w:rPr>
                <w:sz w:val="20"/>
                <w:szCs w:val="20"/>
              </w:rPr>
            </w:pPr>
            <w:r w:rsidDel="00000000" w:rsidR="00000000" w:rsidRPr="00000000">
              <w:rPr>
                <w:rtl w:val="0"/>
              </w:rPr>
            </w:r>
          </w:p>
          <w:p w:rsidR="00000000" w:rsidDel="00000000" w:rsidP="00000000" w:rsidRDefault="00000000" w:rsidRPr="00000000" w14:paraId="00000068">
            <w:pPr>
              <w:widowControl w:val="0"/>
              <w:jc w:val="center"/>
              <w:rPr>
                <w:sz w:val="20"/>
                <w:szCs w:val="20"/>
              </w:rPr>
            </w:pPr>
            <w:r w:rsidDel="00000000" w:rsidR="00000000" w:rsidRPr="00000000">
              <w:rPr>
                <w:rtl w:val="0"/>
              </w:rPr>
            </w:r>
          </w:p>
          <w:p w:rsidR="00000000" w:rsidDel="00000000" w:rsidP="00000000" w:rsidRDefault="00000000" w:rsidRPr="00000000" w14:paraId="00000069">
            <w:pPr>
              <w:widowControl w:val="0"/>
              <w:jc w:val="center"/>
              <w:rPr>
                <w:sz w:val="20"/>
                <w:szCs w:val="20"/>
              </w:rPr>
            </w:pPr>
            <w:r w:rsidDel="00000000" w:rsidR="00000000" w:rsidRPr="00000000">
              <w:rPr>
                <w:rtl w:val="0"/>
              </w:rPr>
            </w:r>
          </w:p>
          <w:p w:rsidR="00000000" w:rsidDel="00000000" w:rsidP="00000000" w:rsidRDefault="00000000" w:rsidRPr="00000000" w14:paraId="0000006A">
            <w:pPr>
              <w:widowControl w:val="0"/>
              <w:jc w:val="center"/>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tcPr>
          <w:p w:rsidR="00000000" w:rsidDel="00000000" w:rsidP="00000000" w:rsidRDefault="00000000" w:rsidRPr="00000000" w14:paraId="0000006B">
            <w:pPr>
              <w:widowControl w:val="0"/>
              <w:jc w:val="center"/>
              <w:rPr>
                <w:sz w:val="20"/>
                <w:szCs w:val="20"/>
              </w:rPr>
            </w:pPr>
            <w:r w:rsidDel="00000000" w:rsidR="00000000" w:rsidRPr="00000000">
              <w:rPr>
                <w:sz w:val="20"/>
                <w:szCs w:val="20"/>
                <w:rtl w:val="0"/>
              </w:rPr>
              <w:t xml:space="preserve">Análise da notificação de violência interpessoal em mulheres cisgêneras e transgêneras, de 20 a 59 anos, nos municípios brasileiros em 2021</w:t>
            </w:r>
          </w:p>
        </w:tc>
        <w:tc>
          <w:tcPr>
            <w:tcMar>
              <w:top w:w="100.0" w:type="dxa"/>
              <w:left w:w="100.0" w:type="dxa"/>
              <w:bottom w:w="100.0" w:type="dxa"/>
              <w:right w:w="100.0" w:type="dxa"/>
            </w:tcMar>
          </w:tcPr>
          <w:p w:rsidR="00000000" w:rsidDel="00000000" w:rsidP="00000000" w:rsidRDefault="00000000" w:rsidRPr="00000000" w14:paraId="0000006C">
            <w:pPr>
              <w:widowControl w:val="0"/>
              <w:jc w:val="center"/>
              <w:rPr>
                <w:sz w:val="20"/>
                <w:szCs w:val="20"/>
              </w:rPr>
            </w:pPr>
            <w:r w:rsidDel="00000000" w:rsidR="00000000" w:rsidRPr="00000000">
              <w:rPr>
                <w:sz w:val="20"/>
                <w:szCs w:val="20"/>
                <w:rtl w:val="0"/>
              </w:rPr>
              <w:t xml:space="preserve">Estudo do tipo painéis repetidos, utilizando dados do sistema de informação, e análise de tendência temporal pelo método Prais-Wisten.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D">
            <w:pPr>
              <w:widowControl w:val="0"/>
              <w:jc w:val="center"/>
              <w:rPr>
                <w:sz w:val="20"/>
                <w:szCs w:val="20"/>
              </w:rPr>
            </w:pPr>
            <w:r w:rsidDel="00000000" w:rsidR="00000000" w:rsidRPr="00000000">
              <w:rPr>
                <w:sz w:val="20"/>
                <w:szCs w:val="20"/>
                <w:rtl w:val="0"/>
              </w:rPr>
              <w:t xml:space="preserve">APLICAÇÃO DA LEI MARIA DA PENHA PARA MULHERES TRANS: Aportes da Teoria Crítica feminista e do Método de Posicionalidade.</w:t>
            </w:r>
          </w:p>
        </w:tc>
        <w:tc>
          <w:tcPr>
            <w:tcMar>
              <w:top w:w="100.0" w:type="dxa"/>
              <w:left w:w="100.0" w:type="dxa"/>
              <w:bottom w:w="100.0" w:type="dxa"/>
              <w:right w:w="100.0" w:type="dxa"/>
            </w:tcMar>
          </w:tcPr>
          <w:p w:rsidR="00000000" w:rsidDel="00000000" w:rsidP="00000000" w:rsidRDefault="00000000" w:rsidRPr="00000000" w14:paraId="0000006E">
            <w:pPr>
              <w:widowControl w:val="0"/>
              <w:jc w:val="center"/>
              <w:rPr>
                <w:sz w:val="20"/>
                <w:szCs w:val="20"/>
              </w:rPr>
            </w:pPr>
            <w:r w:rsidDel="00000000" w:rsidR="00000000" w:rsidRPr="00000000">
              <w:rPr>
                <w:rtl w:val="0"/>
              </w:rPr>
            </w:r>
          </w:p>
          <w:p w:rsidR="00000000" w:rsidDel="00000000" w:rsidP="00000000" w:rsidRDefault="00000000" w:rsidRPr="00000000" w14:paraId="0000006F">
            <w:pPr>
              <w:widowControl w:val="0"/>
              <w:jc w:val="center"/>
              <w:rPr>
                <w:sz w:val="20"/>
                <w:szCs w:val="20"/>
              </w:rPr>
            </w:pPr>
            <w:r w:rsidDel="00000000" w:rsidR="00000000" w:rsidRPr="00000000">
              <w:rPr>
                <w:rtl w:val="0"/>
              </w:rPr>
            </w:r>
          </w:p>
          <w:p w:rsidR="00000000" w:rsidDel="00000000" w:rsidP="00000000" w:rsidRDefault="00000000" w:rsidRPr="00000000" w14:paraId="00000070">
            <w:pPr>
              <w:widowControl w:val="0"/>
              <w:jc w:val="center"/>
              <w:rPr>
                <w:sz w:val="20"/>
                <w:szCs w:val="20"/>
              </w:rPr>
            </w:pPr>
            <w:r w:rsidDel="00000000" w:rsidR="00000000" w:rsidRPr="00000000">
              <w:rPr>
                <w:rtl w:val="0"/>
              </w:rPr>
            </w:r>
          </w:p>
          <w:p w:rsidR="00000000" w:rsidDel="00000000" w:rsidP="00000000" w:rsidRDefault="00000000" w:rsidRPr="00000000" w14:paraId="00000071">
            <w:pPr>
              <w:widowControl w:val="0"/>
              <w:jc w:val="center"/>
              <w:rPr>
                <w:sz w:val="20"/>
                <w:szCs w:val="20"/>
              </w:rPr>
            </w:pPr>
            <w:r w:rsidDel="00000000" w:rsidR="00000000" w:rsidRPr="00000000">
              <w:rPr>
                <w:rtl w:val="0"/>
              </w:rPr>
            </w:r>
          </w:p>
          <w:p w:rsidR="00000000" w:rsidDel="00000000" w:rsidP="00000000" w:rsidRDefault="00000000" w:rsidRPr="00000000" w14:paraId="00000072">
            <w:pPr>
              <w:widowControl w:val="0"/>
              <w:jc w:val="center"/>
              <w:rPr>
                <w:sz w:val="20"/>
                <w:szCs w:val="20"/>
              </w:rPr>
            </w:pPr>
            <w:r w:rsidDel="00000000" w:rsidR="00000000" w:rsidRPr="00000000">
              <w:rPr>
                <w:rtl w:val="0"/>
              </w:rPr>
            </w:r>
          </w:p>
          <w:p w:rsidR="00000000" w:rsidDel="00000000" w:rsidP="00000000" w:rsidRDefault="00000000" w:rsidRPr="00000000" w14:paraId="00000073">
            <w:pPr>
              <w:widowControl w:val="0"/>
              <w:jc w:val="center"/>
              <w:rPr>
                <w:sz w:val="20"/>
                <w:szCs w:val="20"/>
              </w:rPr>
            </w:pPr>
            <w:r w:rsidDel="00000000" w:rsidR="00000000" w:rsidRPr="00000000">
              <w:rPr>
                <w:sz w:val="20"/>
                <w:szCs w:val="20"/>
                <w:rtl w:val="0"/>
              </w:rPr>
              <w:t xml:space="preserve">SPOSATO; SILVA e ABREU</w:t>
            </w:r>
          </w:p>
        </w:tc>
        <w:tc>
          <w:tcPr>
            <w:tcMar>
              <w:top w:w="100.0" w:type="dxa"/>
              <w:left w:w="100.0" w:type="dxa"/>
              <w:bottom w:w="100.0" w:type="dxa"/>
              <w:right w:w="100.0" w:type="dxa"/>
            </w:tcMar>
          </w:tcPr>
          <w:p w:rsidR="00000000" w:rsidDel="00000000" w:rsidP="00000000" w:rsidRDefault="00000000" w:rsidRPr="00000000" w14:paraId="00000074">
            <w:pPr>
              <w:widowControl w:val="0"/>
              <w:jc w:val="center"/>
              <w:rPr>
                <w:sz w:val="20"/>
                <w:szCs w:val="20"/>
              </w:rPr>
            </w:pPr>
            <w:r w:rsidDel="00000000" w:rsidR="00000000" w:rsidRPr="00000000">
              <w:rPr>
                <w:rtl w:val="0"/>
              </w:rPr>
            </w:r>
          </w:p>
          <w:p w:rsidR="00000000" w:rsidDel="00000000" w:rsidP="00000000" w:rsidRDefault="00000000" w:rsidRPr="00000000" w14:paraId="00000075">
            <w:pPr>
              <w:widowControl w:val="0"/>
              <w:jc w:val="center"/>
              <w:rPr>
                <w:sz w:val="20"/>
                <w:szCs w:val="20"/>
              </w:rPr>
            </w:pPr>
            <w:r w:rsidDel="00000000" w:rsidR="00000000" w:rsidRPr="00000000">
              <w:rPr>
                <w:rtl w:val="0"/>
              </w:rPr>
            </w:r>
          </w:p>
          <w:p w:rsidR="00000000" w:rsidDel="00000000" w:rsidP="00000000" w:rsidRDefault="00000000" w:rsidRPr="00000000" w14:paraId="00000076">
            <w:pPr>
              <w:widowControl w:val="0"/>
              <w:jc w:val="center"/>
              <w:rPr>
                <w:sz w:val="20"/>
                <w:szCs w:val="20"/>
              </w:rPr>
            </w:pPr>
            <w:r w:rsidDel="00000000" w:rsidR="00000000" w:rsidRPr="00000000">
              <w:rPr>
                <w:rtl w:val="0"/>
              </w:rPr>
            </w:r>
          </w:p>
          <w:p w:rsidR="00000000" w:rsidDel="00000000" w:rsidP="00000000" w:rsidRDefault="00000000" w:rsidRPr="00000000" w14:paraId="00000077">
            <w:pPr>
              <w:widowControl w:val="0"/>
              <w:jc w:val="center"/>
              <w:rPr>
                <w:sz w:val="20"/>
                <w:szCs w:val="20"/>
              </w:rPr>
            </w:pPr>
            <w:r w:rsidDel="00000000" w:rsidR="00000000" w:rsidRPr="00000000">
              <w:rPr>
                <w:rtl w:val="0"/>
              </w:rPr>
            </w:r>
          </w:p>
          <w:p w:rsidR="00000000" w:rsidDel="00000000" w:rsidP="00000000" w:rsidRDefault="00000000" w:rsidRPr="00000000" w14:paraId="00000078">
            <w:pPr>
              <w:widowControl w:val="0"/>
              <w:jc w:val="center"/>
              <w:rPr>
                <w:sz w:val="20"/>
                <w:szCs w:val="20"/>
              </w:rPr>
            </w:pPr>
            <w:r w:rsidDel="00000000" w:rsidR="00000000" w:rsidRPr="00000000">
              <w:rPr>
                <w:rtl w:val="0"/>
              </w:rPr>
            </w:r>
          </w:p>
          <w:p w:rsidR="00000000" w:rsidDel="00000000" w:rsidP="00000000" w:rsidRDefault="00000000" w:rsidRPr="00000000" w14:paraId="00000079">
            <w:pPr>
              <w:widowControl w:val="0"/>
              <w:jc w:val="center"/>
              <w:rPr>
                <w:sz w:val="20"/>
                <w:szCs w:val="20"/>
              </w:rPr>
            </w:pPr>
            <w:r w:rsidDel="00000000" w:rsidR="00000000" w:rsidRPr="00000000">
              <w:rPr>
                <w:sz w:val="20"/>
                <w:szCs w:val="20"/>
                <w:rtl w:val="0"/>
              </w:rPr>
              <w:t xml:space="preserve">2023</w:t>
            </w:r>
          </w:p>
        </w:tc>
        <w:tc>
          <w:tcPr>
            <w:tcMar>
              <w:top w:w="100.0" w:type="dxa"/>
              <w:left w:w="100.0" w:type="dxa"/>
              <w:bottom w:w="100.0" w:type="dxa"/>
              <w:right w:w="100.0" w:type="dxa"/>
            </w:tcMar>
          </w:tcPr>
          <w:p w:rsidR="00000000" w:rsidDel="00000000" w:rsidP="00000000" w:rsidRDefault="00000000" w:rsidRPr="00000000" w14:paraId="0000007A">
            <w:pPr>
              <w:widowControl w:val="0"/>
              <w:jc w:val="center"/>
              <w:rPr>
                <w:sz w:val="20"/>
                <w:szCs w:val="20"/>
              </w:rPr>
            </w:pPr>
            <w:r w:rsidDel="00000000" w:rsidR="00000000" w:rsidRPr="00000000">
              <w:rPr>
                <w:sz w:val="20"/>
                <w:szCs w:val="20"/>
                <w:rtl w:val="0"/>
              </w:rPr>
              <w:t xml:space="preserve">Enfatizar um olhar crítico e desconstitutivo do discurso jurídico dominante, a fim de identificar discursos hegemônicos que provocam a marginalização e a violência contra mulheres trans.</w:t>
            </w:r>
          </w:p>
        </w:tc>
        <w:tc>
          <w:tcPr>
            <w:tcMar>
              <w:top w:w="100.0" w:type="dxa"/>
              <w:left w:w="100.0" w:type="dxa"/>
              <w:bottom w:w="100.0" w:type="dxa"/>
              <w:right w:w="100.0" w:type="dxa"/>
            </w:tcMar>
          </w:tcPr>
          <w:p w:rsidR="00000000" w:rsidDel="00000000" w:rsidP="00000000" w:rsidRDefault="00000000" w:rsidRPr="00000000" w14:paraId="0000007B">
            <w:pPr>
              <w:widowControl w:val="0"/>
              <w:jc w:val="center"/>
              <w:rPr>
                <w:sz w:val="20"/>
                <w:szCs w:val="20"/>
              </w:rPr>
            </w:pPr>
            <w:r w:rsidDel="00000000" w:rsidR="00000000" w:rsidRPr="00000000">
              <w:rPr>
                <w:rtl w:val="0"/>
              </w:rPr>
            </w:r>
          </w:p>
          <w:p w:rsidR="00000000" w:rsidDel="00000000" w:rsidP="00000000" w:rsidRDefault="00000000" w:rsidRPr="00000000" w14:paraId="0000007C">
            <w:pPr>
              <w:widowControl w:val="0"/>
              <w:jc w:val="center"/>
              <w:rPr>
                <w:sz w:val="20"/>
                <w:szCs w:val="20"/>
              </w:rPr>
            </w:pPr>
            <w:r w:rsidDel="00000000" w:rsidR="00000000" w:rsidRPr="00000000">
              <w:rPr>
                <w:rtl w:val="0"/>
              </w:rPr>
            </w:r>
          </w:p>
          <w:p w:rsidR="00000000" w:rsidDel="00000000" w:rsidP="00000000" w:rsidRDefault="00000000" w:rsidRPr="00000000" w14:paraId="0000007D">
            <w:pPr>
              <w:widowControl w:val="0"/>
              <w:jc w:val="center"/>
              <w:rPr>
                <w:sz w:val="20"/>
                <w:szCs w:val="20"/>
              </w:rPr>
            </w:pPr>
            <w:r w:rsidDel="00000000" w:rsidR="00000000" w:rsidRPr="00000000">
              <w:rPr>
                <w:rtl w:val="0"/>
              </w:rPr>
            </w:r>
          </w:p>
          <w:p w:rsidR="00000000" w:rsidDel="00000000" w:rsidP="00000000" w:rsidRDefault="00000000" w:rsidRPr="00000000" w14:paraId="0000007E">
            <w:pPr>
              <w:widowControl w:val="0"/>
              <w:jc w:val="center"/>
              <w:rPr>
                <w:sz w:val="20"/>
                <w:szCs w:val="20"/>
              </w:rPr>
            </w:pPr>
            <w:r w:rsidDel="00000000" w:rsidR="00000000" w:rsidRPr="00000000">
              <w:rPr>
                <w:rtl w:val="0"/>
              </w:rPr>
            </w:r>
          </w:p>
          <w:p w:rsidR="00000000" w:rsidDel="00000000" w:rsidP="00000000" w:rsidRDefault="00000000" w:rsidRPr="00000000" w14:paraId="0000007F">
            <w:pPr>
              <w:widowControl w:val="0"/>
              <w:jc w:val="center"/>
              <w:rPr>
                <w:sz w:val="20"/>
                <w:szCs w:val="20"/>
              </w:rPr>
            </w:pPr>
            <w:r w:rsidDel="00000000" w:rsidR="00000000" w:rsidRPr="00000000">
              <w:rPr>
                <w:sz w:val="20"/>
                <w:szCs w:val="20"/>
                <w:rtl w:val="0"/>
              </w:rPr>
              <w:t xml:space="preserve">Abordagem teórica-metodológica</w:t>
            </w:r>
          </w:p>
        </w:tc>
      </w:tr>
    </w:tbl>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3"/>
        <w:tblW w:w="907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4"/>
        <w:gridCol w:w="1814"/>
        <w:gridCol w:w="1815"/>
        <w:gridCol w:w="1815"/>
        <w:gridCol w:w="1815"/>
        <w:tblGridChange w:id="0">
          <w:tblGrid>
            <w:gridCol w:w="1814"/>
            <w:gridCol w:w="1814"/>
            <w:gridCol w:w="1815"/>
            <w:gridCol w:w="1815"/>
            <w:gridCol w:w="181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81">
            <w:pPr>
              <w:widowControl w:val="0"/>
              <w:jc w:val="center"/>
              <w:rPr>
                <w:sz w:val="20"/>
                <w:szCs w:val="20"/>
              </w:rPr>
            </w:pPr>
            <w:r w:rsidDel="00000000" w:rsidR="00000000" w:rsidRPr="00000000">
              <w:rPr>
                <w:sz w:val="20"/>
                <w:szCs w:val="20"/>
                <w:rtl w:val="0"/>
              </w:rPr>
              <w:t xml:space="preserve">Aplicação da Lei Maria da Penha às mulheres trans e às travestis nos casos de violência doméstica.</w:t>
            </w:r>
          </w:p>
        </w:tc>
        <w:tc>
          <w:tcPr>
            <w:tcMar>
              <w:top w:w="100.0" w:type="dxa"/>
              <w:left w:w="100.0" w:type="dxa"/>
              <w:bottom w:w="100.0" w:type="dxa"/>
              <w:right w:w="100.0" w:type="dxa"/>
            </w:tcMar>
          </w:tcPr>
          <w:p w:rsidR="00000000" w:rsidDel="00000000" w:rsidP="00000000" w:rsidRDefault="00000000" w:rsidRPr="00000000" w14:paraId="00000082">
            <w:pPr>
              <w:widowControl w:val="0"/>
              <w:jc w:val="center"/>
              <w:rPr>
                <w:sz w:val="20"/>
                <w:szCs w:val="20"/>
              </w:rPr>
            </w:pPr>
            <w:r w:rsidDel="00000000" w:rsidR="00000000" w:rsidRPr="00000000">
              <w:rPr>
                <w:rtl w:val="0"/>
              </w:rPr>
            </w:r>
          </w:p>
          <w:p w:rsidR="00000000" w:rsidDel="00000000" w:rsidP="00000000" w:rsidRDefault="00000000" w:rsidRPr="00000000" w14:paraId="00000083">
            <w:pPr>
              <w:widowControl w:val="0"/>
              <w:jc w:val="center"/>
              <w:rPr>
                <w:sz w:val="20"/>
                <w:szCs w:val="20"/>
              </w:rPr>
            </w:pPr>
            <w:r w:rsidDel="00000000" w:rsidR="00000000" w:rsidRPr="00000000">
              <w:rPr>
                <w:rtl w:val="0"/>
              </w:rPr>
            </w:r>
          </w:p>
          <w:p w:rsidR="00000000" w:rsidDel="00000000" w:rsidP="00000000" w:rsidRDefault="00000000" w:rsidRPr="00000000" w14:paraId="00000084">
            <w:pPr>
              <w:widowControl w:val="0"/>
              <w:jc w:val="center"/>
              <w:rPr>
                <w:sz w:val="20"/>
                <w:szCs w:val="20"/>
              </w:rPr>
            </w:pPr>
            <w:r w:rsidDel="00000000" w:rsidR="00000000" w:rsidRPr="00000000">
              <w:rPr>
                <w:rtl w:val="0"/>
              </w:rPr>
            </w:r>
          </w:p>
          <w:p w:rsidR="00000000" w:rsidDel="00000000" w:rsidP="00000000" w:rsidRDefault="00000000" w:rsidRPr="00000000" w14:paraId="00000085">
            <w:pPr>
              <w:widowControl w:val="0"/>
              <w:jc w:val="center"/>
              <w:rPr>
                <w:sz w:val="20"/>
                <w:szCs w:val="20"/>
              </w:rPr>
            </w:pPr>
            <w:r w:rsidDel="00000000" w:rsidR="00000000" w:rsidRPr="00000000">
              <w:rPr>
                <w:sz w:val="20"/>
                <w:szCs w:val="20"/>
                <w:rtl w:val="0"/>
              </w:rPr>
              <w:t xml:space="preserve">OLIVEIRA e ROCHA</w:t>
            </w:r>
          </w:p>
        </w:tc>
        <w:tc>
          <w:tcPr>
            <w:tcMar>
              <w:top w:w="100.0" w:type="dxa"/>
              <w:left w:w="100.0" w:type="dxa"/>
              <w:bottom w:w="100.0" w:type="dxa"/>
              <w:right w:w="100.0" w:type="dxa"/>
            </w:tcMar>
          </w:tcPr>
          <w:p w:rsidR="00000000" w:rsidDel="00000000" w:rsidP="00000000" w:rsidRDefault="00000000" w:rsidRPr="00000000" w14:paraId="00000086">
            <w:pPr>
              <w:widowControl w:val="0"/>
              <w:jc w:val="center"/>
              <w:rPr>
                <w:sz w:val="20"/>
                <w:szCs w:val="20"/>
              </w:rPr>
            </w:pPr>
            <w:r w:rsidDel="00000000" w:rsidR="00000000" w:rsidRPr="00000000">
              <w:rPr>
                <w:rtl w:val="0"/>
              </w:rPr>
            </w:r>
          </w:p>
          <w:p w:rsidR="00000000" w:rsidDel="00000000" w:rsidP="00000000" w:rsidRDefault="00000000" w:rsidRPr="00000000" w14:paraId="00000087">
            <w:pPr>
              <w:widowControl w:val="0"/>
              <w:jc w:val="center"/>
              <w:rPr>
                <w:sz w:val="20"/>
                <w:szCs w:val="20"/>
              </w:rPr>
            </w:pPr>
            <w:r w:rsidDel="00000000" w:rsidR="00000000" w:rsidRPr="00000000">
              <w:rPr>
                <w:rtl w:val="0"/>
              </w:rPr>
            </w:r>
          </w:p>
          <w:p w:rsidR="00000000" w:rsidDel="00000000" w:rsidP="00000000" w:rsidRDefault="00000000" w:rsidRPr="00000000" w14:paraId="00000088">
            <w:pPr>
              <w:widowControl w:val="0"/>
              <w:jc w:val="center"/>
              <w:rPr>
                <w:sz w:val="20"/>
                <w:szCs w:val="20"/>
              </w:rPr>
            </w:pPr>
            <w:r w:rsidDel="00000000" w:rsidR="00000000" w:rsidRPr="00000000">
              <w:rPr>
                <w:rtl w:val="0"/>
              </w:rPr>
            </w:r>
          </w:p>
          <w:p w:rsidR="00000000" w:rsidDel="00000000" w:rsidP="00000000" w:rsidRDefault="00000000" w:rsidRPr="00000000" w14:paraId="00000089">
            <w:pPr>
              <w:widowControl w:val="0"/>
              <w:rPr>
                <w:sz w:val="20"/>
                <w:szCs w:val="20"/>
              </w:rPr>
            </w:pPr>
            <w:r w:rsidDel="00000000" w:rsidR="00000000" w:rsidRPr="00000000">
              <w:rPr>
                <w:rtl w:val="0"/>
              </w:rPr>
            </w:r>
          </w:p>
          <w:p w:rsidR="00000000" w:rsidDel="00000000" w:rsidP="00000000" w:rsidRDefault="00000000" w:rsidRPr="00000000" w14:paraId="0000008A">
            <w:pPr>
              <w:widowControl w:val="0"/>
              <w:jc w:val="center"/>
              <w:rPr>
                <w:sz w:val="20"/>
                <w:szCs w:val="20"/>
              </w:rPr>
            </w:pPr>
            <w:r w:rsidDel="00000000" w:rsidR="00000000" w:rsidRPr="00000000">
              <w:rPr>
                <w:sz w:val="20"/>
                <w:szCs w:val="20"/>
                <w:rtl w:val="0"/>
              </w:rPr>
              <w:t xml:space="preserve">2023</w:t>
            </w:r>
          </w:p>
        </w:tc>
        <w:tc>
          <w:tcPr>
            <w:tcMar>
              <w:top w:w="100.0" w:type="dxa"/>
              <w:left w:w="100.0" w:type="dxa"/>
              <w:bottom w:w="100.0" w:type="dxa"/>
              <w:right w:w="100.0" w:type="dxa"/>
            </w:tcMar>
          </w:tcPr>
          <w:p w:rsidR="00000000" w:rsidDel="00000000" w:rsidP="00000000" w:rsidRDefault="00000000" w:rsidRPr="00000000" w14:paraId="0000008B">
            <w:pPr>
              <w:widowControl w:val="0"/>
              <w:jc w:val="center"/>
              <w:rPr>
                <w:sz w:val="20"/>
                <w:szCs w:val="20"/>
              </w:rPr>
            </w:pPr>
            <w:r w:rsidDel="00000000" w:rsidR="00000000" w:rsidRPr="00000000">
              <w:rPr>
                <w:sz w:val="20"/>
                <w:szCs w:val="20"/>
                <w:rtl w:val="0"/>
              </w:rPr>
              <w:t xml:space="preserve">Analisar a aplicação da Lei Maria da Penha às mulheres trans e a necessidade de proteção contra</w:t>
            </w:r>
          </w:p>
          <w:p w:rsidR="00000000" w:rsidDel="00000000" w:rsidP="00000000" w:rsidRDefault="00000000" w:rsidRPr="00000000" w14:paraId="0000008C">
            <w:pPr>
              <w:widowControl w:val="0"/>
              <w:jc w:val="center"/>
              <w:rPr>
                <w:sz w:val="20"/>
                <w:szCs w:val="20"/>
              </w:rPr>
            </w:pPr>
            <w:r w:rsidDel="00000000" w:rsidR="00000000" w:rsidRPr="00000000">
              <w:rPr>
                <w:sz w:val="20"/>
                <w:szCs w:val="20"/>
                <w:rtl w:val="0"/>
              </w:rPr>
              <w:t xml:space="preserve">violência doméstica.</w:t>
            </w:r>
          </w:p>
        </w:tc>
        <w:tc>
          <w:tcPr>
            <w:tcMar>
              <w:top w:w="100.0" w:type="dxa"/>
              <w:left w:w="100.0" w:type="dxa"/>
              <w:bottom w:w="100.0" w:type="dxa"/>
              <w:right w:w="100.0" w:type="dxa"/>
            </w:tcMar>
          </w:tcPr>
          <w:p w:rsidR="00000000" w:rsidDel="00000000" w:rsidP="00000000" w:rsidRDefault="00000000" w:rsidRPr="00000000" w14:paraId="0000008D">
            <w:pPr>
              <w:widowControl w:val="0"/>
              <w:jc w:val="center"/>
              <w:rPr>
                <w:sz w:val="20"/>
                <w:szCs w:val="20"/>
              </w:rPr>
            </w:pPr>
            <w:r w:rsidDel="00000000" w:rsidR="00000000" w:rsidRPr="00000000">
              <w:rPr>
                <w:rtl w:val="0"/>
              </w:rPr>
            </w:r>
          </w:p>
          <w:p w:rsidR="00000000" w:rsidDel="00000000" w:rsidP="00000000" w:rsidRDefault="00000000" w:rsidRPr="00000000" w14:paraId="0000008E">
            <w:pPr>
              <w:widowControl w:val="0"/>
              <w:jc w:val="center"/>
              <w:rPr>
                <w:sz w:val="20"/>
                <w:szCs w:val="20"/>
              </w:rPr>
            </w:pPr>
            <w:r w:rsidDel="00000000" w:rsidR="00000000" w:rsidRPr="00000000">
              <w:rPr>
                <w:rtl w:val="0"/>
              </w:rPr>
            </w:r>
          </w:p>
          <w:p w:rsidR="00000000" w:rsidDel="00000000" w:rsidP="00000000" w:rsidRDefault="00000000" w:rsidRPr="00000000" w14:paraId="0000008F">
            <w:pPr>
              <w:widowControl w:val="0"/>
              <w:jc w:val="center"/>
              <w:rPr>
                <w:sz w:val="20"/>
                <w:szCs w:val="20"/>
              </w:rPr>
            </w:pPr>
            <w:r w:rsidDel="00000000" w:rsidR="00000000" w:rsidRPr="00000000">
              <w:rPr>
                <w:sz w:val="20"/>
                <w:szCs w:val="20"/>
                <w:rtl w:val="0"/>
              </w:rPr>
              <w:t xml:space="preserve">Revisão bibliográfica e jurisprudencial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0">
            <w:pPr>
              <w:widowControl w:val="0"/>
              <w:jc w:val="center"/>
              <w:rPr>
                <w:sz w:val="20"/>
                <w:szCs w:val="20"/>
              </w:rPr>
            </w:pPr>
            <w:r w:rsidDel="00000000" w:rsidR="00000000" w:rsidRPr="00000000">
              <w:rPr>
                <w:rtl w:val="0"/>
              </w:rPr>
            </w:r>
          </w:p>
          <w:p w:rsidR="00000000" w:rsidDel="00000000" w:rsidP="00000000" w:rsidRDefault="00000000" w:rsidRPr="00000000" w14:paraId="00000091">
            <w:pPr>
              <w:widowControl w:val="0"/>
              <w:jc w:val="center"/>
              <w:rPr>
                <w:sz w:val="20"/>
                <w:szCs w:val="20"/>
              </w:rPr>
            </w:pPr>
            <w:r w:rsidDel="00000000" w:rsidR="00000000" w:rsidRPr="00000000">
              <w:rPr>
                <w:rtl w:val="0"/>
              </w:rPr>
            </w:r>
          </w:p>
          <w:p w:rsidR="00000000" w:rsidDel="00000000" w:rsidP="00000000" w:rsidRDefault="00000000" w:rsidRPr="00000000" w14:paraId="00000092">
            <w:pPr>
              <w:widowControl w:val="0"/>
              <w:jc w:val="center"/>
              <w:rPr>
                <w:sz w:val="20"/>
                <w:szCs w:val="20"/>
              </w:rPr>
            </w:pPr>
            <w:r w:rsidDel="00000000" w:rsidR="00000000" w:rsidRPr="00000000">
              <w:rPr>
                <w:rtl w:val="0"/>
              </w:rPr>
            </w:r>
          </w:p>
          <w:p w:rsidR="00000000" w:rsidDel="00000000" w:rsidP="00000000" w:rsidRDefault="00000000" w:rsidRPr="00000000" w14:paraId="00000093">
            <w:pPr>
              <w:widowControl w:val="0"/>
              <w:jc w:val="center"/>
              <w:rPr>
                <w:sz w:val="20"/>
                <w:szCs w:val="20"/>
              </w:rPr>
            </w:pPr>
            <w:r w:rsidDel="00000000" w:rsidR="00000000" w:rsidRPr="00000000">
              <w:rPr>
                <w:rtl w:val="0"/>
              </w:rPr>
            </w:r>
          </w:p>
          <w:p w:rsidR="00000000" w:rsidDel="00000000" w:rsidP="00000000" w:rsidRDefault="00000000" w:rsidRPr="00000000" w14:paraId="00000094">
            <w:pPr>
              <w:widowControl w:val="0"/>
              <w:jc w:val="center"/>
              <w:rPr>
                <w:sz w:val="20"/>
                <w:szCs w:val="20"/>
              </w:rPr>
            </w:pPr>
            <w:r w:rsidDel="00000000" w:rsidR="00000000" w:rsidRPr="00000000">
              <w:rPr>
                <w:rtl w:val="0"/>
              </w:rPr>
            </w:r>
          </w:p>
          <w:p w:rsidR="00000000" w:rsidDel="00000000" w:rsidP="00000000" w:rsidRDefault="00000000" w:rsidRPr="00000000" w14:paraId="00000095">
            <w:pPr>
              <w:widowControl w:val="0"/>
              <w:jc w:val="center"/>
              <w:rPr>
                <w:sz w:val="20"/>
                <w:szCs w:val="20"/>
              </w:rPr>
            </w:pPr>
            <w:r w:rsidDel="00000000" w:rsidR="00000000" w:rsidRPr="00000000">
              <w:rPr>
                <w:rtl w:val="0"/>
              </w:rPr>
            </w:r>
          </w:p>
          <w:p w:rsidR="00000000" w:rsidDel="00000000" w:rsidP="00000000" w:rsidRDefault="00000000" w:rsidRPr="00000000" w14:paraId="00000096">
            <w:pPr>
              <w:widowControl w:val="0"/>
              <w:jc w:val="center"/>
              <w:rPr>
                <w:sz w:val="20"/>
                <w:szCs w:val="20"/>
              </w:rPr>
            </w:pPr>
            <w:r w:rsidDel="00000000" w:rsidR="00000000" w:rsidRPr="00000000">
              <w:rPr>
                <w:rtl w:val="0"/>
              </w:rPr>
            </w:r>
          </w:p>
          <w:p w:rsidR="00000000" w:rsidDel="00000000" w:rsidP="00000000" w:rsidRDefault="00000000" w:rsidRPr="00000000" w14:paraId="00000097">
            <w:pPr>
              <w:widowControl w:val="0"/>
              <w:jc w:val="center"/>
              <w:rPr>
                <w:sz w:val="20"/>
                <w:szCs w:val="20"/>
              </w:rPr>
            </w:pPr>
            <w:r w:rsidDel="00000000" w:rsidR="00000000" w:rsidRPr="00000000">
              <w:rPr>
                <w:sz w:val="20"/>
                <w:szCs w:val="20"/>
                <w:rtl w:val="0"/>
              </w:rPr>
              <w:t xml:space="preserve">Análise da aplicação da Lei Maria da Penha à mulheres transexuais</w:t>
            </w:r>
          </w:p>
        </w:tc>
        <w:tc>
          <w:tcPr>
            <w:tcMar>
              <w:top w:w="100.0" w:type="dxa"/>
              <w:left w:w="100.0" w:type="dxa"/>
              <w:bottom w:w="100.0" w:type="dxa"/>
              <w:right w:w="100.0" w:type="dxa"/>
            </w:tcMar>
          </w:tcPr>
          <w:p w:rsidR="00000000" w:rsidDel="00000000" w:rsidP="00000000" w:rsidRDefault="00000000" w:rsidRPr="00000000" w14:paraId="00000098">
            <w:pPr>
              <w:widowControl w:val="0"/>
              <w:jc w:val="center"/>
              <w:rPr>
                <w:sz w:val="20"/>
                <w:szCs w:val="20"/>
              </w:rPr>
            </w:pPr>
            <w:r w:rsidDel="00000000" w:rsidR="00000000" w:rsidRPr="00000000">
              <w:rPr>
                <w:rtl w:val="0"/>
              </w:rPr>
            </w:r>
          </w:p>
          <w:p w:rsidR="00000000" w:rsidDel="00000000" w:rsidP="00000000" w:rsidRDefault="00000000" w:rsidRPr="00000000" w14:paraId="00000099">
            <w:pPr>
              <w:widowControl w:val="0"/>
              <w:jc w:val="center"/>
              <w:rPr>
                <w:sz w:val="20"/>
                <w:szCs w:val="20"/>
              </w:rPr>
            </w:pPr>
            <w:r w:rsidDel="00000000" w:rsidR="00000000" w:rsidRPr="00000000">
              <w:rPr>
                <w:rtl w:val="0"/>
              </w:rPr>
            </w:r>
          </w:p>
          <w:p w:rsidR="00000000" w:rsidDel="00000000" w:rsidP="00000000" w:rsidRDefault="00000000" w:rsidRPr="00000000" w14:paraId="0000009A">
            <w:pPr>
              <w:widowControl w:val="0"/>
              <w:jc w:val="center"/>
              <w:rPr>
                <w:sz w:val="20"/>
                <w:szCs w:val="20"/>
              </w:rPr>
            </w:pPr>
            <w:r w:rsidDel="00000000" w:rsidR="00000000" w:rsidRPr="00000000">
              <w:rPr>
                <w:rtl w:val="0"/>
              </w:rPr>
            </w:r>
          </w:p>
          <w:p w:rsidR="00000000" w:rsidDel="00000000" w:rsidP="00000000" w:rsidRDefault="00000000" w:rsidRPr="00000000" w14:paraId="0000009B">
            <w:pPr>
              <w:widowControl w:val="0"/>
              <w:jc w:val="center"/>
              <w:rPr>
                <w:sz w:val="20"/>
                <w:szCs w:val="20"/>
              </w:rPr>
            </w:pPr>
            <w:r w:rsidDel="00000000" w:rsidR="00000000" w:rsidRPr="00000000">
              <w:rPr>
                <w:rtl w:val="0"/>
              </w:rPr>
            </w:r>
          </w:p>
          <w:p w:rsidR="00000000" w:rsidDel="00000000" w:rsidP="00000000" w:rsidRDefault="00000000" w:rsidRPr="00000000" w14:paraId="0000009C">
            <w:pPr>
              <w:widowControl w:val="0"/>
              <w:jc w:val="center"/>
              <w:rPr>
                <w:sz w:val="20"/>
                <w:szCs w:val="20"/>
              </w:rPr>
            </w:pPr>
            <w:r w:rsidDel="00000000" w:rsidR="00000000" w:rsidRPr="00000000">
              <w:rPr>
                <w:rtl w:val="0"/>
              </w:rPr>
            </w:r>
          </w:p>
          <w:p w:rsidR="00000000" w:rsidDel="00000000" w:rsidP="00000000" w:rsidRDefault="00000000" w:rsidRPr="00000000" w14:paraId="0000009D">
            <w:pPr>
              <w:widowControl w:val="0"/>
              <w:jc w:val="center"/>
              <w:rPr>
                <w:sz w:val="20"/>
                <w:szCs w:val="20"/>
              </w:rPr>
            </w:pPr>
            <w:r w:rsidDel="00000000" w:rsidR="00000000" w:rsidRPr="00000000">
              <w:rPr>
                <w:rtl w:val="0"/>
              </w:rPr>
            </w:r>
          </w:p>
          <w:p w:rsidR="00000000" w:rsidDel="00000000" w:rsidP="00000000" w:rsidRDefault="00000000" w:rsidRPr="00000000" w14:paraId="0000009E">
            <w:pPr>
              <w:widowControl w:val="0"/>
              <w:jc w:val="center"/>
              <w:rPr>
                <w:sz w:val="20"/>
                <w:szCs w:val="20"/>
              </w:rPr>
            </w:pPr>
            <w:r w:rsidDel="00000000" w:rsidR="00000000" w:rsidRPr="00000000">
              <w:rPr>
                <w:rtl w:val="0"/>
              </w:rPr>
            </w:r>
          </w:p>
          <w:p w:rsidR="00000000" w:rsidDel="00000000" w:rsidP="00000000" w:rsidRDefault="00000000" w:rsidRPr="00000000" w14:paraId="0000009F">
            <w:pPr>
              <w:widowControl w:val="0"/>
              <w:jc w:val="center"/>
              <w:rPr>
                <w:sz w:val="20"/>
                <w:szCs w:val="20"/>
              </w:rPr>
            </w:pPr>
            <w:r w:rsidDel="00000000" w:rsidR="00000000" w:rsidRPr="00000000">
              <w:rPr>
                <w:rtl w:val="0"/>
              </w:rPr>
            </w:r>
          </w:p>
          <w:p w:rsidR="00000000" w:rsidDel="00000000" w:rsidP="00000000" w:rsidRDefault="00000000" w:rsidRPr="00000000" w14:paraId="000000A0">
            <w:pPr>
              <w:widowControl w:val="0"/>
              <w:jc w:val="center"/>
              <w:rPr>
                <w:sz w:val="20"/>
                <w:szCs w:val="20"/>
              </w:rPr>
            </w:pPr>
            <w:r w:rsidDel="00000000" w:rsidR="00000000" w:rsidRPr="00000000">
              <w:rPr>
                <w:rtl w:val="0"/>
              </w:rPr>
            </w:r>
          </w:p>
          <w:p w:rsidR="00000000" w:rsidDel="00000000" w:rsidP="00000000" w:rsidRDefault="00000000" w:rsidRPr="00000000" w14:paraId="000000A1">
            <w:pPr>
              <w:widowControl w:val="0"/>
              <w:jc w:val="center"/>
              <w:rPr>
                <w:sz w:val="20"/>
                <w:szCs w:val="20"/>
              </w:rPr>
            </w:pPr>
            <w:r w:rsidDel="00000000" w:rsidR="00000000" w:rsidRPr="00000000">
              <w:rPr>
                <w:sz w:val="20"/>
                <w:szCs w:val="20"/>
                <w:rtl w:val="0"/>
              </w:rPr>
              <w:t xml:space="preserve">SOUZA; LIMA, MYRELA; LIMA, MARÍLIA</w:t>
            </w:r>
          </w:p>
        </w:tc>
        <w:tc>
          <w:tcPr>
            <w:tcMar>
              <w:top w:w="100.0" w:type="dxa"/>
              <w:left w:w="100.0" w:type="dxa"/>
              <w:bottom w:w="100.0" w:type="dxa"/>
              <w:right w:w="100.0" w:type="dxa"/>
            </w:tcMar>
          </w:tcPr>
          <w:p w:rsidR="00000000" w:rsidDel="00000000" w:rsidP="00000000" w:rsidRDefault="00000000" w:rsidRPr="00000000" w14:paraId="000000A2">
            <w:pPr>
              <w:widowControl w:val="0"/>
              <w:jc w:val="center"/>
              <w:rPr>
                <w:sz w:val="20"/>
                <w:szCs w:val="20"/>
              </w:rPr>
            </w:pPr>
            <w:r w:rsidDel="00000000" w:rsidR="00000000" w:rsidRPr="00000000">
              <w:rPr>
                <w:rtl w:val="0"/>
              </w:rPr>
            </w:r>
          </w:p>
          <w:p w:rsidR="00000000" w:rsidDel="00000000" w:rsidP="00000000" w:rsidRDefault="00000000" w:rsidRPr="00000000" w14:paraId="000000A3">
            <w:pPr>
              <w:widowControl w:val="0"/>
              <w:jc w:val="center"/>
              <w:rPr>
                <w:sz w:val="20"/>
                <w:szCs w:val="20"/>
              </w:rPr>
            </w:pPr>
            <w:r w:rsidDel="00000000" w:rsidR="00000000" w:rsidRPr="00000000">
              <w:rPr>
                <w:rtl w:val="0"/>
              </w:rPr>
            </w:r>
          </w:p>
          <w:p w:rsidR="00000000" w:rsidDel="00000000" w:rsidP="00000000" w:rsidRDefault="00000000" w:rsidRPr="00000000" w14:paraId="000000A4">
            <w:pPr>
              <w:widowControl w:val="0"/>
              <w:jc w:val="center"/>
              <w:rPr>
                <w:sz w:val="20"/>
                <w:szCs w:val="20"/>
              </w:rPr>
            </w:pPr>
            <w:r w:rsidDel="00000000" w:rsidR="00000000" w:rsidRPr="00000000">
              <w:rPr>
                <w:rtl w:val="0"/>
              </w:rPr>
            </w:r>
          </w:p>
          <w:p w:rsidR="00000000" w:rsidDel="00000000" w:rsidP="00000000" w:rsidRDefault="00000000" w:rsidRPr="00000000" w14:paraId="000000A5">
            <w:pPr>
              <w:widowControl w:val="0"/>
              <w:jc w:val="center"/>
              <w:rPr>
                <w:sz w:val="20"/>
                <w:szCs w:val="20"/>
              </w:rPr>
            </w:pPr>
            <w:r w:rsidDel="00000000" w:rsidR="00000000" w:rsidRPr="00000000">
              <w:rPr>
                <w:rtl w:val="0"/>
              </w:rPr>
            </w:r>
          </w:p>
          <w:p w:rsidR="00000000" w:rsidDel="00000000" w:rsidP="00000000" w:rsidRDefault="00000000" w:rsidRPr="00000000" w14:paraId="000000A6">
            <w:pPr>
              <w:widowControl w:val="0"/>
              <w:jc w:val="center"/>
              <w:rPr>
                <w:sz w:val="20"/>
                <w:szCs w:val="20"/>
              </w:rPr>
            </w:pPr>
            <w:r w:rsidDel="00000000" w:rsidR="00000000" w:rsidRPr="00000000">
              <w:rPr>
                <w:rtl w:val="0"/>
              </w:rPr>
            </w:r>
          </w:p>
          <w:p w:rsidR="00000000" w:rsidDel="00000000" w:rsidP="00000000" w:rsidRDefault="00000000" w:rsidRPr="00000000" w14:paraId="000000A7">
            <w:pPr>
              <w:widowControl w:val="0"/>
              <w:jc w:val="center"/>
              <w:rPr>
                <w:sz w:val="20"/>
                <w:szCs w:val="20"/>
              </w:rPr>
            </w:pPr>
            <w:r w:rsidDel="00000000" w:rsidR="00000000" w:rsidRPr="00000000">
              <w:rPr>
                <w:rtl w:val="0"/>
              </w:rPr>
            </w:r>
          </w:p>
          <w:p w:rsidR="00000000" w:rsidDel="00000000" w:rsidP="00000000" w:rsidRDefault="00000000" w:rsidRPr="00000000" w14:paraId="000000A8">
            <w:pPr>
              <w:widowControl w:val="0"/>
              <w:jc w:val="center"/>
              <w:rPr>
                <w:sz w:val="20"/>
                <w:szCs w:val="20"/>
              </w:rPr>
            </w:pPr>
            <w:r w:rsidDel="00000000" w:rsidR="00000000" w:rsidRPr="00000000">
              <w:rPr>
                <w:rtl w:val="0"/>
              </w:rPr>
            </w:r>
          </w:p>
          <w:p w:rsidR="00000000" w:rsidDel="00000000" w:rsidP="00000000" w:rsidRDefault="00000000" w:rsidRPr="00000000" w14:paraId="000000A9">
            <w:pPr>
              <w:widowControl w:val="0"/>
              <w:jc w:val="center"/>
              <w:rPr>
                <w:sz w:val="20"/>
                <w:szCs w:val="20"/>
              </w:rPr>
            </w:pPr>
            <w:r w:rsidDel="00000000" w:rsidR="00000000" w:rsidRPr="00000000">
              <w:rPr>
                <w:rtl w:val="0"/>
              </w:rPr>
            </w:r>
          </w:p>
          <w:p w:rsidR="00000000" w:rsidDel="00000000" w:rsidP="00000000" w:rsidRDefault="00000000" w:rsidRPr="00000000" w14:paraId="000000AA">
            <w:pPr>
              <w:widowControl w:val="0"/>
              <w:jc w:val="center"/>
              <w:rPr>
                <w:sz w:val="20"/>
                <w:szCs w:val="20"/>
              </w:rPr>
            </w:pPr>
            <w:r w:rsidDel="00000000" w:rsidR="00000000" w:rsidRPr="00000000">
              <w:rPr>
                <w:rtl w:val="0"/>
              </w:rPr>
            </w:r>
          </w:p>
          <w:p w:rsidR="00000000" w:rsidDel="00000000" w:rsidP="00000000" w:rsidRDefault="00000000" w:rsidRPr="00000000" w14:paraId="000000AB">
            <w:pPr>
              <w:widowControl w:val="0"/>
              <w:jc w:val="center"/>
              <w:rPr>
                <w:sz w:val="20"/>
                <w:szCs w:val="20"/>
              </w:rPr>
            </w:pPr>
            <w:r w:rsidDel="00000000" w:rsidR="00000000" w:rsidRPr="00000000">
              <w:rPr>
                <w:rtl w:val="0"/>
              </w:rPr>
            </w:r>
          </w:p>
          <w:p w:rsidR="00000000" w:rsidDel="00000000" w:rsidP="00000000" w:rsidRDefault="00000000" w:rsidRPr="00000000" w14:paraId="000000AC">
            <w:pPr>
              <w:widowControl w:val="0"/>
              <w:jc w:val="center"/>
              <w:rPr>
                <w:sz w:val="20"/>
                <w:szCs w:val="20"/>
              </w:rPr>
            </w:pPr>
            <w:r w:rsidDel="00000000" w:rsidR="00000000" w:rsidRPr="00000000">
              <w:rPr>
                <w:sz w:val="20"/>
                <w:szCs w:val="20"/>
                <w:rtl w:val="0"/>
              </w:rPr>
              <w:t xml:space="preserve">2023</w:t>
            </w:r>
          </w:p>
        </w:tc>
        <w:tc>
          <w:tcPr>
            <w:tcMar>
              <w:top w:w="100.0" w:type="dxa"/>
              <w:left w:w="100.0" w:type="dxa"/>
              <w:bottom w:w="100.0" w:type="dxa"/>
              <w:right w:w="100.0" w:type="dxa"/>
            </w:tcMar>
          </w:tcPr>
          <w:p w:rsidR="00000000" w:rsidDel="00000000" w:rsidP="00000000" w:rsidRDefault="00000000" w:rsidRPr="00000000" w14:paraId="000000AD">
            <w:pPr>
              <w:widowControl w:val="0"/>
              <w:jc w:val="center"/>
              <w:rPr>
                <w:sz w:val="20"/>
                <w:szCs w:val="20"/>
              </w:rPr>
            </w:pPr>
            <w:r w:rsidDel="00000000" w:rsidR="00000000" w:rsidRPr="00000000">
              <w:rPr>
                <w:sz w:val="20"/>
                <w:szCs w:val="20"/>
                <w:rtl w:val="0"/>
              </w:rPr>
              <w:t xml:space="preserve">Analisar a eficácia da decisão do Superior Tribunal de Justiça (STJ) que estabeleceu a aplicação da Lei Maria da Penha às mulheres transexuais vítimas de violência doméstica ou familiar, considerando as particularidades, os desafios e a efetividade da proteção dessas mulheres no cenário jurídico brasileiro</w:t>
            </w:r>
          </w:p>
        </w:tc>
        <w:tc>
          <w:tcPr>
            <w:tcMar>
              <w:top w:w="100.0" w:type="dxa"/>
              <w:left w:w="100.0" w:type="dxa"/>
              <w:bottom w:w="100.0" w:type="dxa"/>
              <w:right w:w="100.0" w:type="dxa"/>
            </w:tcMar>
          </w:tcPr>
          <w:p w:rsidR="00000000" w:rsidDel="00000000" w:rsidP="00000000" w:rsidRDefault="00000000" w:rsidRPr="00000000" w14:paraId="000000AE">
            <w:pPr>
              <w:widowControl w:val="0"/>
              <w:jc w:val="center"/>
              <w:rPr>
                <w:sz w:val="20"/>
                <w:szCs w:val="20"/>
              </w:rPr>
            </w:pPr>
            <w:r w:rsidDel="00000000" w:rsidR="00000000" w:rsidRPr="00000000">
              <w:rPr>
                <w:rtl w:val="0"/>
              </w:rPr>
            </w:r>
          </w:p>
          <w:p w:rsidR="00000000" w:rsidDel="00000000" w:rsidP="00000000" w:rsidRDefault="00000000" w:rsidRPr="00000000" w14:paraId="000000AF">
            <w:pPr>
              <w:widowControl w:val="0"/>
              <w:jc w:val="center"/>
              <w:rPr>
                <w:sz w:val="20"/>
                <w:szCs w:val="20"/>
              </w:rPr>
            </w:pPr>
            <w:r w:rsidDel="00000000" w:rsidR="00000000" w:rsidRPr="00000000">
              <w:rPr>
                <w:rtl w:val="0"/>
              </w:rPr>
            </w:r>
          </w:p>
          <w:p w:rsidR="00000000" w:rsidDel="00000000" w:rsidP="00000000" w:rsidRDefault="00000000" w:rsidRPr="00000000" w14:paraId="000000B0">
            <w:pPr>
              <w:widowControl w:val="0"/>
              <w:jc w:val="center"/>
              <w:rPr>
                <w:sz w:val="20"/>
                <w:szCs w:val="20"/>
              </w:rPr>
            </w:pPr>
            <w:r w:rsidDel="00000000" w:rsidR="00000000" w:rsidRPr="00000000">
              <w:rPr>
                <w:rtl w:val="0"/>
              </w:rPr>
            </w:r>
          </w:p>
          <w:p w:rsidR="00000000" w:rsidDel="00000000" w:rsidP="00000000" w:rsidRDefault="00000000" w:rsidRPr="00000000" w14:paraId="000000B1">
            <w:pPr>
              <w:widowControl w:val="0"/>
              <w:jc w:val="center"/>
              <w:rPr>
                <w:sz w:val="20"/>
                <w:szCs w:val="20"/>
              </w:rPr>
            </w:pPr>
            <w:r w:rsidDel="00000000" w:rsidR="00000000" w:rsidRPr="00000000">
              <w:rPr>
                <w:rtl w:val="0"/>
              </w:rPr>
            </w:r>
          </w:p>
          <w:p w:rsidR="00000000" w:rsidDel="00000000" w:rsidP="00000000" w:rsidRDefault="00000000" w:rsidRPr="00000000" w14:paraId="000000B2">
            <w:pPr>
              <w:widowControl w:val="0"/>
              <w:jc w:val="center"/>
              <w:rPr>
                <w:sz w:val="20"/>
                <w:szCs w:val="20"/>
              </w:rPr>
            </w:pPr>
            <w:r w:rsidDel="00000000" w:rsidR="00000000" w:rsidRPr="00000000">
              <w:rPr>
                <w:rtl w:val="0"/>
              </w:rPr>
            </w:r>
          </w:p>
          <w:p w:rsidR="00000000" w:rsidDel="00000000" w:rsidP="00000000" w:rsidRDefault="00000000" w:rsidRPr="00000000" w14:paraId="000000B3">
            <w:pPr>
              <w:widowControl w:val="0"/>
              <w:jc w:val="center"/>
              <w:rPr>
                <w:sz w:val="20"/>
                <w:szCs w:val="20"/>
              </w:rPr>
            </w:pPr>
            <w:r w:rsidDel="00000000" w:rsidR="00000000" w:rsidRPr="00000000">
              <w:rPr>
                <w:rtl w:val="0"/>
              </w:rPr>
            </w:r>
          </w:p>
          <w:p w:rsidR="00000000" w:rsidDel="00000000" w:rsidP="00000000" w:rsidRDefault="00000000" w:rsidRPr="00000000" w14:paraId="000000B4">
            <w:pPr>
              <w:widowControl w:val="0"/>
              <w:jc w:val="center"/>
              <w:rPr>
                <w:sz w:val="20"/>
                <w:szCs w:val="20"/>
              </w:rPr>
            </w:pPr>
            <w:r w:rsidDel="00000000" w:rsidR="00000000" w:rsidRPr="00000000">
              <w:rPr>
                <w:rtl w:val="0"/>
              </w:rPr>
            </w:r>
          </w:p>
          <w:p w:rsidR="00000000" w:rsidDel="00000000" w:rsidP="00000000" w:rsidRDefault="00000000" w:rsidRPr="00000000" w14:paraId="000000B5">
            <w:pPr>
              <w:widowControl w:val="0"/>
              <w:jc w:val="center"/>
              <w:rPr>
                <w:sz w:val="20"/>
                <w:szCs w:val="20"/>
              </w:rPr>
            </w:pPr>
            <w:r w:rsidDel="00000000" w:rsidR="00000000" w:rsidRPr="00000000">
              <w:rPr>
                <w:sz w:val="20"/>
                <w:szCs w:val="20"/>
                <w:rtl w:val="0"/>
              </w:rPr>
              <w:t xml:space="preserve">Pesquisa exploratória, descritiva, bibliográfica e qualitativa</w:t>
            </w:r>
          </w:p>
        </w:tc>
      </w:tr>
    </w:tbl>
    <w:p w:rsidR="00000000" w:rsidDel="00000000" w:rsidP="00000000" w:rsidRDefault="00000000" w:rsidRPr="00000000" w14:paraId="000000B6">
      <w:pPr>
        <w:spacing w:line="360" w:lineRule="auto"/>
        <w:rPr>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autoria própria (2026). </w:t>
      </w:r>
    </w:p>
    <w:p w:rsidR="00000000" w:rsidDel="00000000" w:rsidP="00000000" w:rsidRDefault="00000000" w:rsidRPr="00000000" w14:paraId="000000B7">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B8">
      <w:pPr>
        <w:spacing w:line="360" w:lineRule="auto"/>
        <w:rPr>
          <w:b w:val="1"/>
          <w:bCs w:val="1"/>
          <w:sz w:val="24"/>
          <w:szCs w:val="24"/>
        </w:rPr>
      </w:pPr>
      <w:r w:rsidDel="00000000" w:rsidR="00000000" w:rsidRPr="00000000">
        <w:rPr>
          <w:b w:val="1"/>
          <w:bCs w:val="1"/>
          <w:sz w:val="24"/>
          <w:szCs w:val="24"/>
          <w:rtl w:val="0"/>
        </w:rPr>
        <w:t xml:space="preserve">2.2 Principais Achados dos Estudos Selecionados</w:t>
      </w:r>
    </w:p>
    <w:p w:rsidR="00000000" w:rsidDel="00000000" w:rsidP="00000000" w:rsidRDefault="00000000" w:rsidRPr="00000000" w14:paraId="000000B9">
      <w:pPr>
        <w:spacing w:line="360" w:lineRule="auto"/>
        <w:ind w:firstLine="720"/>
        <w:jc w:val="both"/>
        <w:rPr>
          <w:sz w:val="24"/>
          <w:szCs w:val="24"/>
        </w:rPr>
      </w:pPr>
      <w:r w:rsidDel="00000000" w:rsidR="00000000" w:rsidRPr="00000000">
        <w:rPr>
          <w:sz w:val="24"/>
          <w:szCs w:val="24"/>
          <w:rtl w:val="0"/>
        </w:rPr>
        <w:t xml:space="preserve">A análise conjunta dos sete estudos selecionados revela um panorama que, apesar de avanços significativos da Lei Maria da Penha, a sociedade ainda enfrenta desafios para garantir a proteção integral de mulheres transgêneras em situação de violência doméstica e familiar. Os inúmeros avanços sociais no tocante ao direito das mulheres e das pessoas LGBTQIA+, ainda que relevantes, não se mostram inclusivos na parcela do corpo social, tendo em vista a alienação e desinteresse que contribuem para a marginalização e constante violação dos direitos básicos das minorias sexuais e de gênero. Conforme Judith Butler (2003, p. 59), “gênero é a estilização repetida do corpo, um conjunto de atos repetidos no interior de uma estrutura reguladora altamente rígida”.</w:t>
      </w:r>
    </w:p>
    <w:p w:rsidR="00000000" w:rsidDel="00000000" w:rsidP="00000000" w:rsidRDefault="00000000" w:rsidRPr="00000000" w14:paraId="000000BA">
      <w:pPr>
        <w:spacing w:line="360" w:lineRule="auto"/>
        <w:ind w:firstLine="720"/>
        <w:jc w:val="both"/>
        <w:rPr>
          <w:sz w:val="24"/>
          <w:szCs w:val="24"/>
        </w:rPr>
      </w:pPr>
      <w:r w:rsidDel="00000000" w:rsidR="00000000" w:rsidRPr="00000000">
        <w:rPr>
          <w:sz w:val="24"/>
          <w:szCs w:val="24"/>
          <w:rtl w:val="0"/>
        </w:rPr>
        <w:t xml:space="preserve">Nesse contexto, a permanência do preconceito e da discriminação de gênero constitui um dos principais obstáculos à efetivação dos direitos das mulheres transgêneras. Essa marginalização também se evidencia pelos dados empíricos apresentados pelo DataSenado (2026), que revelam que 47% das entrevistadas relataram ter sofrido violência doméstica ou familiar. Já 56% passaram por alguma situação compatível com violência nos 12 meses anteriores, mas apenas uma pequena parcela buscou ajuda nas delegacias e apoio psicológico, o que enfatiza o medo e à  discriminação da busca por proteção junto às autoridades policiais. </w:t>
      </w:r>
    </w:p>
    <w:p w:rsidR="00000000" w:rsidDel="00000000" w:rsidP="00000000" w:rsidRDefault="00000000" w:rsidRPr="00000000" w14:paraId="000000BB">
      <w:pPr>
        <w:spacing w:line="360" w:lineRule="auto"/>
        <w:ind w:firstLine="720"/>
        <w:jc w:val="both"/>
        <w:rPr>
          <w:sz w:val="24"/>
          <w:szCs w:val="24"/>
        </w:rPr>
      </w:pPr>
      <w:r w:rsidDel="00000000" w:rsidR="00000000" w:rsidRPr="00000000">
        <w:rPr>
          <w:sz w:val="24"/>
          <w:szCs w:val="24"/>
          <w:rtl w:val="0"/>
        </w:rPr>
        <w:t xml:space="preserve">O reconhecimento dos direitos das mulheres trans está relacionado com as conjunturas históricas e culturais, como patriarcado e machismo, que interferem diretamente na vida das mulheres, colocando-as em situação de vulnerabilidade, em razão do seu gênero. Sob esse viés, o patriarcado é um sistema social e histórico onde os homens detêm o poder, e as mulheres são colocadas em posição de subordinação e obediência. </w:t>
      </w:r>
    </w:p>
    <w:p w:rsidR="00000000" w:rsidDel="00000000" w:rsidP="00000000" w:rsidRDefault="00000000" w:rsidRPr="00000000" w14:paraId="000000BC">
      <w:pPr>
        <w:spacing w:line="360" w:lineRule="auto"/>
        <w:ind w:firstLine="720"/>
        <w:jc w:val="both"/>
        <w:rPr>
          <w:sz w:val="24"/>
          <w:szCs w:val="24"/>
        </w:rPr>
      </w:pPr>
      <w:r w:rsidDel="00000000" w:rsidR="00000000" w:rsidRPr="00000000">
        <w:rPr>
          <w:sz w:val="24"/>
          <w:szCs w:val="24"/>
          <w:rtl w:val="0"/>
        </w:rPr>
        <w:t xml:space="preserve">Essa divisão de papéis remonta à própria Antiguidade: na Grécia Antiga, por exemplo, os homens detinham a participação na política, guerra e do trabalho externo, enquanto às mulheres era reservado o espaço doméstico, aos cuidados da família, sendo consideradas propriedades dos homens. Com base na cultura patriarcal, o que define uma mulher não é como ela se reconhece, mas sim as características biológicas com que nasceu, uma visão que enfatiza o sexo biológico em detrimento da identidade de gênero do próprio indivíduo. Dessa forma, nota-se que apesar dos avanços, ainda persiste na sociedade uma relação entre o padrão biologicista e rígido de feminilidade, havendo, um longo caminho a ser percorrido.</w:t>
      </w:r>
    </w:p>
    <w:p w:rsidR="00000000" w:rsidDel="00000000" w:rsidP="00000000" w:rsidRDefault="00000000" w:rsidRPr="00000000" w14:paraId="000000BD">
      <w:pPr>
        <w:spacing w:line="360" w:lineRule="auto"/>
        <w:ind w:firstLine="720"/>
        <w:jc w:val="both"/>
        <w:rPr>
          <w:sz w:val="24"/>
          <w:szCs w:val="24"/>
        </w:rPr>
      </w:pPr>
      <w:r w:rsidDel="00000000" w:rsidR="00000000" w:rsidRPr="00000000">
        <w:rPr>
          <w:sz w:val="24"/>
          <w:szCs w:val="24"/>
          <w:rtl w:val="0"/>
        </w:rPr>
        <w:t xml:space="preserve">Esse entendimento é reforçado pelo instituto “A Lei Maria da Penha e a Herança do Complexo de Édipo: análise psicanalítica jurídica”, de Coura (2025), que aborda as teorias psicanalíticas de Freud e Lacan. Sob esse viés, a Lei Maria da Penha e o Complexo de Édipo se relacionam no campo da psicanálise e do direito ao investigarem como a estrutura familiar, o poder e a falta de limites moldam comportamentos violentos nas relações sociais. </w:t>
      </w:r>
    </w:p>
    <w:p w:rsidR="00000000" w:rsidDel="00000000" w:rsidP="00000000" w:rsidRDefault="00000000" w:rsidRPr="00000000" w14:paraId="000000BE">
      <w:pPr>
        <w:spacing w:line="360" w:lineRule="auto"/>
        <w:ind w:firstLine="720"/>
        <w:jc w:val="both"/>
        <w:rPr>
          <w:sz w:val="24"/>
          <w:szCs w:val="24"/>
        </w:rPr>
      </w:pPr>
      <w:r w:rsidDel="00000000" w:rsidR="00000000" w:rsidRPr="00000000">
        <w:rPr>
          <w:sz w:val="24"/>
          <w:szCs w:val="24"/>
          <w:rtl w:val="0"/>
        </w:rPr>
        <w:t xml:space="preserve">Nesse contexto, a discussão relacionada ao Complexo de Édipo, busca compreender as bases inconscientes da herança patriarcal e do machismo estrutural que o Direito Penal atua no combate, tendo em vista, a organização da família em torno da figura de autoridade, que tradicionalmente foi ocupada pelo homem, essa figura de autoridade transformou-se em controle. </w:t>
      </w:r>
    </w:p>
    <w:p w:rsidR="00000000" w:rsidDel="00000000" w:rsidP="00000000" w:rsidRDefault="00000000" w:rsidRPr="00000000" w14:paraId="000000BF">
      <w:pPr>
        <w:spacing w:line="360" w:lineRule="auto"/>
        <w:ind w:firstLine="720"/>
        <w:jc w:val="both"/>
        <w:rPr>
          <w:sz w:val="24"/>
          <w:szCs w:val="24"/>
        </w:rPr>
      </w:pPr>
      <w:r w:rsidDel="00000000" w:rsidR="00000000" w:rsidRPr="00000000">
        <w:rPr>
          <w:sz w:val="24"/>
          <w:szCs w:val="24"/>
          <w:rtl w:val="0"/>
        </w:rPr>
        <w:t xml:space="preserve">Desse modo, a violência contra a mulher passa a ser qualquer ação, baseada em gênero, que cause sofrimento físico, psíquico, moral ou morte, seja no âmbito público ou privado. A inserção dos direitos das Lésbicas, Gays, Bissexuais, Travestis e Transexuais  (LGBTQIA +) na agenda das políticas públicas aconteceu de forma tardia, em particular para travestis e transexuais. Historicamente, muitas políticas de proteção foram construídas sem considerar explicitamente as especificidades da identidade de gênero, o que contribuiu para a invisibilidade desse grupo. </w:t>
      </w:r>
    </w:p>
    <w:p w:rsidR="00000000" w:rsidDel="00000000" w:rsidP="00000000" w:rsidRDefault="00000000" w:rsidRPr="00000000" w14:paraId="000000C0">
      <w:pPr>
        <w:spacing w:line="360" w:lineRule="auto"/>
        <w:ind w:firstLine="720"/>
        <w:jc w:val="both"/>
        <w:rPr>
          <w:sz w:val="24"/>
          <w:szCs w:val="24"/>
        </w:rPr>
      </w:pPr>
      <w:r w:rsidDel="00000000" w:rsidR="00000000" w:rsidRPr="00000000">
        <w:rPr>
          <w:sz w:val="24"/>
          <w:szCs w:val="24"/>
          <w:rtl w:val="0"/>
        </w:rPr>
        <w:t xml:space="preserve">Portanto, é necessário analisar os avanços da sociedade hodierna. Com base nisso, a inclusão de mulheres trans e travestis na Lei Maria da Penha ocorreu por meio de decisões dos tribunais superiores, e não de uma alteração direta no texto original da Lei N.º 11.340/2006. A Sexta Turma do Superior Tribunal de Justiça definiu que a lei protege mulheres trans. Dessa forma, o tribunal entendeu que a norma avalia o gênero feminino e a situação de vulnerabilidade, e não apenas o sexo biológico. </w:t>
      </w:r>
    </w:p>
    <w:p w:rsidR="00000000" w:rsidDel="00000000" w:rsidP="00000000" w:rsidRDefault="00000000" w:rsidRPr="00000000" w14:paraId="000000C1">
      <w:pPr>
        <w:spacing w:line="360" w:lineRule="auto"/>
        <w:rPr>
          <w:sz w:val="24"/>
          <w:szCs w:val="24"/>
        </w:rPr>
      </w:pPr>
      <w:r w:rsidDel="00000000" w:rsidR="00000000" w:rsidRPr="00000000">
        <w:rPr>
          <w:rtl w:val="0"/>
        </w:rPr>
      </w:r>
    </w:p>
    <w:p w:rsidR="00000000" w:rsidDel="00000000" w:rsidP="00000000" w:rsidRDefault="00000000" w:rsidRPr="00000000" w14:paraId="000000C2">
      <w:pPr>
        <w:spacing w:line="360" w:lineRule="auto"/>
        <w:rPr>
          <w:b w:val="1"/>
          <w:bCs w:val="1"/>
          <w:sz w:val="24"/>
          <w:szCs w:val="24"/>
        </w:rPr>
      </w:pPr>
      <w:r w:rsidDel="00000000" w:rsidR="00000000" w:rsidRPr="00000000">
        <w:rPr>
          <w:b w:val="1"/>
          <w:bCs w:val="1"/>
          <w:sz w:val="24"/>
          <w:szCs w:val="24"/>
          <w:rtl w:val="0"/>
        </w:rPr>
        <w:t xml:space="preserve">5 CONSIDERAÇÕES FINAIS</w:t>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line="360" w:lineRule="auto"/>
        <w:ind w:firstLine="720"/>
        <w:jc w:val="both"/>
        <w:rPr>
          <w:sz w:val="24"/>
          <w:szCs w:val="24"/>
        </w:rPr>
      </w:pPr>
      <w:r w:rsidDel="00000000" w:rsidR="00000000" w:rsidRPr="00000000">
        <w:rPr>
          <w:sz w:val="24"/>
          <w:szCs w:val="24"/>
          <w:rtl w:val="0"/>
        </w:rPr>
        <w:t xml:space="preserve"> A presente pesquisa permitiu compreender que a aplicação da Lei nº 11.340/2006, conhecida como Lei Maria da Penha, às mulheres trans representa um importante avanço na proteção dos direitos fundamentais e no enfrentamento da violência doméstica e familiar no Brasil. A análise dos estudos selecionados demonstrou que a violência baseada em gênero não pode ser compreendida exclusivamente a partir do sexo biológico, uma vez que mulheres trans também estão inseridas em relações marcadas pelo controle, discriminação, submissão, ameaças, humilhações e diferentes formas de violência.</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line="360" w:lineRule="auto"/>
        <w:ind w:firstLine="720"/>
        <w:jc w:val="both"/>
        <w:rPr>
          <w:sz w:val="24"/>
          <w:szCs w:val="24"/>
        </w:rPr>
      </w:pPr>
      <w:r w:rsidDel="00000000" w:rsidR="00000000" w:rsidRPr="00000000">
        <w:rPr>
          <w:sz w:val="24"/>
          <w:szCs w:val="24"/>
          <w:rtl w:val="0"/>
        </w:rPr>
        <w:t xml:space="preserve">Os resultados analisados também demonstraram que, embora existam avanços significativos no reconhecimento jurídico da proteção das mulheres trans, especialmente por meio das decisões dos tribunais superiores, ainda persistem diversos obstáculos para a efetivação dessa garantia na prática. .</w: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line="360" w:lineRule="auto"/>
        <w:ind w:firstLine="720"/>
        <w:jc w:val="both"/>
        <w:rPr>
          <w:sz w:val="24"/>
          <w:szCs w:val="24"/>
        </w:rPr>
      </w:pPr>
      <w:r w:rsidDel="00000000" w:rsidR="00000000" w:rsidRPr="00000000">
        <w:rPr>
          <w:sz w:val="24"/>
          <w:szCs w:val="24"/>
          <w:rtl w:val="0"/>
        </w:rPr>
        <w:t xml:space="preserve">Por fim, conclui-se que a proteção das mulheres trans contra a violência doméstica e familiar deve ser compreendida como uma garantia indispensável à efetivação dos direitos humanos e à construção de uma sociedade mais justa e igualitária. A aplicação da Lei Maria da Penha a essas mulheres demonstra que o Direito deve acompanhar as transformações sociais e reconhecer as diferentes formas de vulnerabilidade existentes na sociedade contemporânea. Portanto, assegurar a proteção das mulheres trans significa reafirmar que nenhuma pessoa deve ser privada de seus direitos em razão de sua identidade de gênero.</w:t>
      </w:r>
    </w:p>
    <w:p w:rsidR="00000000" w:rsidDel="00000000" w:rsidP="00000000" w:rsidRDefault="00000000" w:rsidRPr="00000000" w14:paraId="000000C6">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C7">
      <w:pPr>
        <w:spacing w:line="360" w:lineRule="auto"/>
        <w:jc w:val="center"/>
        <w:rPr>
          <w:b w:val="1"/>
          <w:bCs w:val="1"/>
          <w:sz w:val="24"/>
          <w:szCs w:val="24"/>
        </w:rPr>
      </w:pPr>
      <w:r w:rsidDel="00000000" w:rsidR="00000000" w:rsidRPr="00000000">
        <w:rPr>
          <w:b w:val="1"/>
          <w:bCs w:val="1"/>
          <w:sz w:val="24"/>
          <w:szCs w:val="24"/>
          <w:rtl w:val="0"/>
        </w:rPr>
        <w:t xml:space="preserve">REFERÊNCIAS</w:t>
      </w:r>
    </w:p>
    <w:p w:rsidR="00000000" w:rsidDel="00000000" w:rsidP="00000000" w:rsidRDefault="00000000" w:rsidRPr="00000000" w14:paraId="000000C8">
      <w:pPr>
        <w:rPr>
          <w:sz w:val="24"/>
          <w:szCs w:val="24"/>
        </w:rPr>
      </w:pPr>
      <w:r w:rsidDel="00000000" w:rsidR="00000000" w:rsidRPr="00000000">
        <w:rPr>
          <w:sz w:val="24"/>
          <w:szCs w:val="24"/>
          <w:rtl w:val="0"/>
        </w:rPr>
        <w:t xml:space="preserve">ALVES, Manoela Teixeira; DALDEGAN, William. Gênero e direitos: um olhar sob a Lei Maria da Penha. </w:t>
      </w:r>
      <w:r w:rsidDel="00000000" w:rsidR="00000000" w:rsidRPr="00000000">
        <w:rPr>
          <w:b w:val="1"/>
          <w:bCs w:val="1"/>
          <w:sz w:val="24"/>
          <w:szCs w:val="24"/>
          <w:rtl w:val="0"/>
        </w:rPr>
        <w:t xml:space="preserve">COR LGBTQIA+,</w:t>
      </w:r>
      <w:r w:rsidDel="00000000" w:rsidR="00000000" w:rsidRPr="00000000">
        <w:rPr>
          <w:sz w:val="24"/>
          <w:szCs w:val="24"/>
          <w:rtl w:val="0"/>
        </w:rPr>
        <w:t xml:space="preserve"> Curitiba, v. 1, n. 9, p. 40-60, jul. 2025. DOI: https://doi.org/10.56579/cor.v1i9.1972.</w:t>
      </w:r>
    </w:p>
    <w:p w:rsidR="00000000" w:rsidDel="00000000" w:rsidP="00000000" w:rsidRDefault="00000000" w:rsidRPr="00000000" w14:paraId="000000C9">
      <w:pPr>
        <w:ind w:hanging="1418"/>
        <w:rPr>
          <w:sz w:val="24"/>
          <w:szCs w:val="24"/>
        </w:rPr>
      </w:pPr>
      <w:r w:rsidDel="00000000" w:rsidR="00000000" w:rsidRPr="00000000">
        <w:rPr>
          <w:rtl w:val="0"/>
        </w:rPr>
      </w:r>
    </w:p>
    <w:p w:rsidR="00000000" w:rsidDel="00000000" w:rsidP="00000000" w:rsidRDefault="00000000" w:rsidRPr="00000000" w14:paraId="000000CA">
      <w:pPr>
        <w:rPr>
          <w:sz w:val="24"/>
          <w:szCs w:val="24"/>
        </w:rPr>
      </w:pPr>
      <w:r w:rsidDel="00000000" w:rsidR="00000000" w:rsidRPr="00000000">
        <w:rPr>
          <w:sz w:val="24"/>
          <w:szCs w:val="24"/>
          <w:rtl w:val="0"/>
        </w:rPr>
        <w:t xml:space="preserve">AMORIM, Beatriz; CARVALHO, Vanessa Cristina Moreira. Mulheres trans em situação de violência doméstica e familiar: a aplicabilidade da Lei Maria da Penha.</w:t>
      </w:r>
      <w:r w:rsidDel="00000000" w:rsidR="00000000" w:rsidRPr="00000000">
        <w:rPr>
          <w:b w:val="1"/>
          <w:bCs w:val="1"/>
          <w:sz w:val="24"/>
          <w:szCs w:val="24"/>
          <w:rtl w:val="0"/>
        </w:rPr>
        <w:t xml:space="preserve"> Revista FACISA On-Line</w:t>
      </w:r>
      <w:r w:rsidDel="00000000" w:rsidR="00000000" w:rsidRPr="00000000">
        <w:rPr>
          <w:sz w:val="24"/>
          <w:szCs w:val="24"/>
          <w:rtl w:val="0"/>
        </w:rPr>
        <w:t xml:space="preserve">, [S. l.], v. 13, n. 1, p. 85-102, 2025. Disponível em: https://periodicos.unicathedral.edu.br/index.php/revistafacisa/article/view/1040. Acesso em: 31 ago. 2026.</w:t>
      </w:r>
    </w:p>
    <w:p w:rsidR="00000000" w:rsidDel="00000000" w:rsidP="00000000" w:rsidRDefault="00000000" w:rsidRPr="00000000" w14:paraId="000000CB">
      <w:pPr>
        <w:ind w:hanging="1418"/>
        <w:rPr>
          <w:sz w:val="24"/>
          <w:szCs w:val="24"/>
        </w:rPr>
      </w:pPr>
      <w:r w:rsidDel="00000000" w:rsidR="00000000" w:rsidRPr="00000000">
        <w:rPr>
          <w:rtl w:val="0"/>
        </w:rPr>
      </w:r>
    </w:p>
    <w:p w:rsidR="00000000" w:rsidDel="00000000" w:rsidP="00000000" w:rsidRDefault="00000000" w:rsidRPr="00000000" w14:paraId="000000CC">
      <w:pPr>
        <w:rPr>
          <w:sz w:val="24"/>
          <w:szCs w:val="24"/>
        </w:rPr>
      </w:pPr>
      <w:r w:rsidDel="00000000" w:rsidR="00000000" w:rsidRPr="00000000">
        <w:rPr>
          <w:sz w:val="24"/>
          <w:szCs w:val="24"/>
          <w:rtl w:val="0"/>
        </w:rPr>
        <w:t xml:space="preserve">BRASIL. Senado Federal. Instituto de Pesquisa DataSenado. </w:t>
      </w:r>
      <w:r w:rsidDel="00000000" w:rsidR="00000000" w:rsidRPr="00000000">
        <w:rPr>
          <w:b w:val="1"/>
          <w:bCs w:val="1"/>
          <w:sz w:val="24"/>
          <w:szCs w:val="24"/>
          <w:rtl w:val="0"/>
        </w:rPr>
        <w:t xml:space="preserve">Mulheres trans e travestis sofrem violência, mas poucas buscam proteção, aponta o DataSenado</w:t>
      </w:r>
      <w:r w:rsidDel="00000000" w:rsidR="00000000" w:rsidRPr="00000000">
        <w:rPr>
          <w:sz w:val="24"/>
          <w:szCs w:val="24"/>
          <w:rtl w:val="0"/>
        </w:rPr>
        <w:t xml:space="preserve">. Brasília, DF, 26 jun. 2026. Disponível em: https://share.google/4jZECmN4c10MjrOWA. Acesso em: 31 ago. 2026.</w:t>
      </w:r>
    </w:p>
    <w:p w:rsidR="00000000" w:rsidDel="00000000" w:rsidP="00000000" w:rsidRDefault="00000000" w:rsidRPr="00000000" w14:paraId="000000CD">
      <w:pPr>
        <w:ind w:hanging="1418"/>
        <w:rPr>
          <w:sz w:val="24"/>
          <w:szCs w:val="24"/>
        </w:rPr>
      </w:pPr>
      <w:r w:rsidDel="00000000" w:rsidR="00000000" w:rsidRPr="00000000">
        <w:rPr>
          <w:rtl w:val="0"/>
        </w:rPr>
      </w:r>
    </w:p>
    <w:p w:rsidR="00000000" w:rsidDel="00000000" w:rsidP="00000000" w:rsidRDefault="00000000" w:rsidRPr="00000000" w14:paraId="000000CE">
      <w:pPr>
        <w:rPr>
          <w:sz w:val="24"/>
          <w:szCs w:val="24"/>
        </w:rPr>
      </w:pPr>
      <w:r w:rsidDel="00000000" w:rsidR="00000000" w:rsidRPr="00000000">
        <w:rPr>
          <w:sz w:val="24"/>
          <w:szCs w:val="24"/>
          <w:rtl w:val="0"/>
        </w:rPr>
        <w:t xml:space="preserve">BRASIL. Senado Federal. Instituto de Pesquisa DataSenado. </w:t>
      </w:r>
      <w:r w:rsidDel="00000000" w:rsidR="00000000" w:rsidRPr="00000000">
        <w:rPr>
          <w:b w:val="1"/>
          <w:bCs w:val="1"/>
          <w:sz w:val="24"/>
          <w:szCs w:val="24"/>
          <w:rtl w:val="0"/>
        </w:rPr>
        <w:t xml:space="preserve">Pesquisa Nacional de Violência contra a Mulher. Brasília</w:t>
      </w:r>
      <w:r w:rsidDel="00000000" w:rsidR="00000000" w:rsidRPr="00000000">
        <w:rPr>
          <w:sz w:val="24"/>
          <w:szCs w:val="24"/>
          <w:rtl w:val="0"/>
        </w:rPr>
        <w:t xml:space="preserve">, DF: Senado Federal, 2025. Disponível em: https://www.senado.leg.br/institucional/datasenado/relatorio_online/pesquisa_violencia_domestica/2025/interativo.html. Acesso em: 31 ago. 2026.</w:t>
      </w:r>
    </w:p>
    <w:p w:rsidR="00000000" w:rsidDel="00000000" w:rsidP="00000000" w:rsidRDefault="00000000" w:rsidRPr="00000000" w14:paraId="000000CF">
      <w:pPr>
        <w:ind w:hanging="1418"/>
        <w:rPr>
          <w:sz w:val="24"/>
          <w:szCs w:val="24"/>
        </w:rPr>
      </w:pPr>
      <w:r w:rsidDel="00000000" w:rsidR="00000000" w:rsidRPr="00000000">
        <w:rPr>
          <w:rtl w:val="0"/>
        </w:rPr>
      </w:r>
    </w:p>
    <w:p w:rsidR="00000000" w:rsidDel="00000000" w:rsidP="00000000" w:rsidRDefault="00000000" w:rsidRPr="00000000" w14:paraId="000000D0">
      <w:pPr>
        <w:rPr>
          <w:sz w:val="24"/>
          <w:szCs w:val="24"/>
        </w:rPr>
      </w:pPr>
      <w:r w:rsidDel="00000000" w:rsidR="00000000" w:rsidRPr="00000000">
        <w:rPr>
          <w:sz w:val="24"/>
          <w:szCs w:val="24"/>
          <w:rtl w:val="0"/>
        </w:rPr>
        <w:t xml:space="preserve">BRASIL. Superior Tribunal de Justiça. </w:t>
      </w:r>
      <w:r w:rsidDel="00000000" w:rsidR="00000000" w:rsidRPr="00000000">
        <w:rPr>
          <w:b w:val="1"/>
          <w:bCs w:val="1"/>
          <w:sz w:val="24"/>
          <w:szCs w:val="24"/>
          <w:rtl w:val="0"/>
        </w:rPr>
        <w:t xml:space="preserve">Sexta Turma estendeu proteção da Lei Maria da Penha para mulheres trans</w:t>
      </w:r>
      <w:r w:rsidDel="00000000" w:rsidR="00000000" w:rsidRPr="00000000">
        <w:rPr>
          <w:sz w:val="24"/>
          <w:szCs w:val="24"/>
          <w:rtl w:val="0"/>
        </w:rPr>
        <w:t xml:space="preserve">. Superior Tribunal de Justiça, Brasília, DF, 29 jan. 2023. Disponível em: https://www.stj.jus.br/sites/portalp/Paginas/Comunicacao/Noticias/2023/29012023-Sexta-Turma-estendeu-protecao-da-Lei-Maria-da-Penha-para-mulheres-trans.aspx. Acesso em: 31 ago. 2026.</w:t>
      </w:r>
    </w:p>
    <w:p w:rsidR="00000000" w:rsidDel="00000000" w:rsidP="00000000" w:rsidRDefault="00000000" w:rsidRPr="00000000" w14:paraId="000000D1">
      <w:pPr>
        <w:rPr>
          <w:sz w:val="24"/>
          <w:szCs w:val="24"/>
        </w:rPr>
      </w:pPr>
      <w:r w:rsidDel="00000000" w:rsidR="00000000" w:rsidRPr="00000000">
        <w:rPr>
          <w:rtl w:val="0"/>
        </w:rPr>
      </w:r>
    </w:p>
    <w:p w:rsidR="00000000" w:rsidDel="00000000" w:rsidP="00000000" w:rsidRDefault="00000000" w:rsidRPr="00000000" w14:paraId="000000D2">
      <w:pPr>
        <w:rPr>
          <w:sz w:val="24"/>
          <w:szCs w:val="24"/>
        </w:rPr>
      </w:pPr>
      <w:r w:rsidDel="00000000" w:rsidR="00000000" w:rsidRPr="00000000">
        <w:rPr>
          <w:sz w:val="24"/>
          <w:szCs w:val="24"/>
          <w:rtl w:val="0"/>
        </w:rPr>
        <w:t xml:space="preserve">BUTLER, Judith. </w:t>
      </w:r>
      <w:r w:rsidDel="00000000" w:rsidR="00000000" w:rsidRPr="00000000">
        <w:rPr>
          <w:b w:val="1"/>
          <w:bCs w:val="1"/>
          <w:sz w:val="24"/>
          <w:szCs w:val="24"/>
          <w:rtl w:val="0"/>
        </w:rPr>
        <w:t xml:space="preserve">Problemas de gênero: feminismo e subversão da identidade. Tradução de Renato Aguiar.</w:t>
      </w:r>
      <w:r w:rsidDel="00000000" w:rsidR="00000000" w:rsidRPr="00000000">
        <w:rPr>
          <w:sz w:val="24"/>
          <w:szCs w:val="24"/>
          <w:rtl w:val="0"/>
        </w:rPr>
        <w:t xml:space="preserve"> Rio de Janeiro: Civilização Brasileira, 2003.</w:t>
      </w:r>
    </w:p>
    <w:p w:rsidR="00000000" w:rsidDel="00000000" w:rsidP="00000000" w:rsidRDefault="00000000" w:rsidRPr="00000000" w14:paraId="000000D3">
      <w:pPr>
        <w:rPr>
          <w:sz w:val="24"/>
          <w:szCs w:val="24"/>
        </w:rPr>
      </w:pPr>
      <w:r w:rsidDel="00000000" w:rsidR="00000000" w:rsidRPr="00000000">
        <w:rPr>
          <w:rtl w:val="0"/>
        </w:rPr>
      </w:r>
    </w:p>
    <w:p w:rsidR="00000000" w:rsidDel="00000000" w:rsidP="00000000" w:rsidRDefault="00000000" w:rsidRPr="00000000" w14:paraId="000000D4">
      <w:pPr>
        <w:rPr>
          <w:sz w:val="24"/>
          <w:szCs w:val="24"/>
        </w:rPr>
      </w:pPr>
      <w:r w:rsidDel="00000000" w:rsidR="00000000" w:rsidRPr="00000000">
        <w:rPr>
          <w:sz w:val="24"/>
          <w:szCs w:val="24"/>
          <w:rtl w:val="0"/>
        </w:rPr>
        <w:t xml:space="preserve">COURA, Maria Clara da Nóbrega. A Lei Maria da Penha e a herança do complexo de Édipo: análise psicanalítica e jurídica. </w:t>
      </w:r>
      <w:r w:rsidDel="00000000" w:rsidR="00000000" w:rsidRPr="00000000">
        <w:rPr>
          <w:b w:val="1"/>
          <w:bCs w:val="1"/>
          <w:sz w:val="24"/>
          <w:szCs w:val="24"/>
          <w:rtl w:val="0"/>
        </w:rPr>
        <w:t xml:space="preserve">Revista Brasileira de Direito e Justiça</w:t>
      </w:r>
      <w:r w:rsidDel="00000000" w:rsidR="00000000" w:rsidRPr="00000000">
        <w:rPr>
          <w:sz w:val="24"/>
          <w:szCs w:val="24"/>
          <w:rtl w:val="0"/>
        </w:rPr>
        <w:t xml:space="preserve">, [S. l.], v. 9, p. 1-15, e2524843, 2025. DOI: https://doi.org/10.5212/RBDJ.v.9.24843.005.</w:t>
      </w:r>
    </w:p>
    <w:p w:rsidR="00000000" w:rsidDel="00000000" w:rsidP="00000000" w:rsidRDefault="00000000" w:rsidRPr="00000000" w14:paraId="000000D5">
      <w:pPr>
        <w:ind w:hanging="1418"/>
        <w:rPr>
          <w:sz w:val="24"/>
          <w:szCs w:val="24"/>
        </w:rPr>
      </w:pPr>
      <w:r w:rsidDel="00000000" w:rsidR="00000000" w:rsidRPr="00000000">
        <w:rPr>
          <w:rtl w:val="0"/>
        </w:rPr>
      </w:r>
    </w:p>
    <w:p w:rsidR="00000000" w:rsidDel="00000000" w:rsidP="00000000" w:rsidRDefault="00000000" w:rsidRPr="00000000" w14:paraId="000000D6">
      <w:pPr>
        <w:rPr>
          <w:sz w:val="24"/>
          <w:szCs w:val="24"/>
        </w:rPr>
      </w:pPr>
      <w:r w:rsidDel="00000000" w:rsidR="00000000" w:rsidRPr="00000000">
        <w:rPr>
          <w:sz w:val="24"/>
          <w:szCs w:val="24"/>
          <w:rtl w:val="0"/>
        </w:rPr>
        <w:t xml:space="preserve">MARINHO NETO, Kelly Roberta Estrela; GIRIANELLI, Vania Reis. Violência interpessoal em mulheres transgêneras e cisgêneras nos municípios brasileiros: tendências e características. </w:t>
      </w:r>
      <w:r w:rsidDel="00000000" w:rsidR="00000000" w:rsidRPr="00000000">
        <w:rPr>
          <w:b w:val="1"/>
          <w:bCs w:val="1"/>
          <w:sz w:val="24"/>
          <w:szCs w:val="24"/>
          <w:rtl w:val="0"/>
        </w:rPr>
        <w:t xml:space="preserve">Ciência &amp; Saúde Coletiva</w:t>
      </w:r>
      <w:r w:rsidDel="00000000" w:rsidR="00000000" w:rsidRPr="00000000">
        <w:rPr>
          <w:sz w:val="24"/>
          <w:szCs w:val="24"/>
          <w:rtl w:val="0"/>
        </w:rPr>
        <w:t xml:space="preserve">, Rio de Janeiro, v. 29, n. 7, e02702024, 2024. DOI: https://doi.org/10.1590/1413-81232024297.02702024.</w:t>
      </w:r>
    </w:p>
    <w:p w:rsidR="00000000" w:rsidDel="00000000" w:rsidP="00000000" w:rsidRDefault="00000000" w:rsidRPr="00000000" w14:paraId="000000D7">
      <w:pPr>
        <w:ind w:hanging="1418"/>
        <w:rPr>
          <w:sz w:val="24"/>
          <w:szCs w:val="24"/>
        </w:rPr>
      </w:pPr>
      <w:r w:rsidDel="00000000" w:rsidR="00000000" w:rsidRPr="00000000">
        <w:rPr>
          <w:rtl w:val="0"/>
        </w:rPr>
      </w:r>
    </w:p>
    <w:p w:rsidR="00000000" w:rsidDel="00000000" w:rsidP="00000000" w:rsidRDefault="00000000" w:rsidRPr="00000000" w14:paraId="000000D8">
      <w:pPr>
        <w:rPr>
          <w:sz w:val="24"/>
          <w:szCs w:val="24"/>
        </w:rPr>
      </w:pPr>
      <w:r w:rsidDel="00000000" w:rsidR="00000000" w:rsidRPr="00000000">
        <w:rPr>
          <w:sz w:val="24"/>
          <w:szCs w:val="24"/>
          <w:rtl w:val="0"/>
        </w:rPr>
        <w:t xml:space="preserve">OLIVEIRA, Isabelle Scandian; ROCHA, Patrícia Barcelos Nunes. Aplicação da Lei Maria da Penha às mulheres trans e às travestis nos casos de violência doméstica. </w:t>
      </w:r>
      <w:r w:rsidDel="00000000" w:rsidR="00000000" w:rsidRPr="00000000">
        <w:rPr>
          <w:b w:val="1"/>
          <w:bCs w:val="1"/>
          <w:sz w:val="24"/>
          <w:szCs w:val="24"/>
          <w:rtl w:val="0"/>
        </w:rPr>
        <w:t xml:space="preserve">Revista JurES</w:t>
      </w:r>
      <w:r w:rsidDel="00000000" w:rsidR="00000000" w:rsidRPr="00000000">
        <w:rPr>
          <w:sz w:val="24"/>
          <w:szCs w:val="24"/>
          <w:rtl w:val="0"/>
        </w:rPr>
        <w:t xml:space="preserve">, Vitória, v. 16, n. 30, p. 124-140, dez. 2023.</w:t>
      </w:r>
    </w:p>
    <w:p w:rsidR="00000000" w:rsidDel="00000000" w:rsidP="00000000" w:rsidRDefault="00000000" w:rsidRPr="00000000" w14:paraId="000000D9">
      <w:pPr>
        <w:ind w:hanging="1418"/>
        <w:rPr>
          <w:sz w:val="24"/>
          <w:szCs w:val="24"/>
        </w:rPr>
      </w:pPr>
      <w:r w:rsidDel="00000000" w:rsidR="00000000" w:rsidRPr="00000000">
        <w:rPr>
          <w:rtl w:val="0"/>
        </w:rPr>
      </w:r>
    </w:p>
    <w:p w:rsidR="00000000" w:rsidDel="00000000" w:rsidP="00000000" w:rsidRDefault="00000000" w:rsidRPr="00000000" w14:paraId="000000DA">
      <w:pPr>
        <w:rPr>
          <w:sz w:val="24"/>
          <w:szCs w:val="24"/>
        </w:rPr>
      </w:pPr>
      <w:r w:rsidDel="00000000" w:rsidR="00000000" w:rsidRPr="00000000">
        <w:rPr>
          <w:sz w:val="24"/>
          <w:szCs w:val="24"/>
          <w:rtl w:val="0"/>
        </w:rPr>
        <w:t xml:space="preserve">SOUZA, Bianca Caroline Luz; LIMA, Myrela Pereira; LIMA, Marília Freitas. Análise da aplicação da Lei Maria da Penha à mulheres transexuais. RECIMA21 – </w:t>
      </w:r>
      <w:r w:rsidDel="00000000" w:rsidR="00000000" w:rsidRPr="00000000">
        <w:rPr>
          <w:b w:val="1"/>
          <w:bCs w:val="1"/>
          <w:sz w:val="24"/>
          <w:szCs w:val="24"/>
          <w:rtl w:val="0"/>
        </w:rPr>
        <w:t xml:space="preserve">Revista Científica Multidisciplinar</w:t>
      </w:r>
      <w:r w:rsidDel="00000000" w:rsidR="00000000" w:rsidRPr="00000000">
        <w:rPr>
          <w:sz w:val="24"/>
          <w:szCs w:val="24"/>
          <w:rtl w:val="0"/>
        </w:rPr>
        <w:t xml:space="preserve">, [S. l.], v. 4, n. 11, e4114377, 2023. DOI:https://doi.org/10.47820/recima21.v4i11.4377.</w:t>
      </w:r>
    </w:p>
    <w:p w:rsidR="00000000" w:rsidDel="00000000" w:rsidP="00000000" w:rsidRDefault="00000000" w:rsidRPr="00000000" w14:paraId="000000DB">
      <w:pPr>
        <w:ind w:hanging="1418"/>
        <w:rPr>
          <w:sz w:val="24"/>
          <w:szCs w:val="24"/>
        </w:rPr>
      </w:pPr>
      <w:r w:rsidDel="00000000" w:rsidR="00000000" w:rsidRPr="00000000">
        <w:rPr>
          <w:rtl w:val="0"/>
        </w:rPr>
      </w:r>
    </w:p>
    <w:p w:rsidR="00000000" w:rsidDel="00000000" w:rsidP="00000000" w:rsidRDefault="00000000" w:rsidRPr="00000000" w14:paraId="000000DC">
      <w:pPr>
        <w:rPr>
          <w:color w:val="000000"/>
        </w:rPr>
      </w:pPr>
      <w:r w:rsidDel="00000000" w:rsidR="00000000" w:rsidRPr="00000000">
        <w:rPr>
          <w:sz w:val="24"/>
          <w:szCs w:val="24"/>
          <w:rtl w:val="0"/>
        </w:rPr>
        <w:t xml:space="preserve">SPOSATO, Karyna Batista; SILVA, Matheus de Souza; ABREU, Lídia Nascimento Gusmão de. A aplicação da Lei Maria da Penha para mulheres trans: aportes da teoria crítica feminista e do método da posicionalidade. </w:t>
      </w:r>
      <w:r w:rsidDel="00000000" w:rsidR="00000000" w:rsidRPr="00000000">
        <w:rPr>
          <w:b w:val="1"/>
          <w:bCs w:val="1"/>
          <w:sz w:val="24"/>
          <w:szCs w:val="24"/>
          <w:rtl w:val="0"/>
        </w:rPr>
        <w:t xml:space="preserve">Direito Público</w:t>
      </w:r>
      <w:r w:rsidDel="00000000" w:rsidR="00000000" w:rsidRPr="00000000">
        <w:rPr>
          <w:sz w:val="24"/>
          <w:szCs w:val="24"/>
          <w:rtl w:val="0"/>
        </w:rPr>
        <w:t xml:space="preserve">, Brasília, v. 20, n. 106, p. 141-160, abr./jun. 2023. DOI: https://doi.org/10.11117/rdp.v20i106.7149.</w:t>
      </w:r>
      <w:r w:rsidDel="00000000" w:rsidR="00000000" w:rsidRPr="00000000">
        <w:rPr>
          <w:rtl w:val="0"/>
        </w:rPr>
      </w:r>
    </w:p>
    <w:sectPr>
      <w:headerReference r:id="rId7" w:type="default"/>
      <w:footerReference r:id="rId8" w:type="default"/>
      <w:pgSz w:h="16840" w:w="11906" w:orient="portrait"/>
      <w:pgMar w:bottom="1134" w:top="2268" w:left="1701"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-161922</wp:posOffset>
          </wp:positionH>
          <wp:positionV relativeFrom="paragraph">
            <wp:posOffset>0</wp:posOffset>
          </wp:positionV>
          <wp:extent cx="5643037" cy="1037590"/>
          <wp:effectExtent b="0" l="0" r="0" t="0"/>
          <wp:wrapNone/>
          <wp:docPr id="2" name="image1.png"/>
          <a:graphic>
            <a:graphicData uri="http://schemas.openxmlformats.org/drawingml/2006/picture">
              <pic:pic>
                <pic:nvPicPr>
                  <pic:cNvPr id="0" name="image1.png"/>
                  <pic:cNvPicPr preferRelativeResize="0"/>
                </pic:nvPicPr>
                <pic:blipFill>
                  <a:blip r:embed="rId1"/>
                  <a:srcRect b="4411" l="0" r="0" t="4411"/>
                  <a:stretch>
                    <a:fillRect/>
                  </a:stretch>
                </pic:blipFill>
                <pic:spPr>
                  <a:xfrm>
                    <a:off x="0" y="0"/>
                    <a:ext cx="5643037" cy="1037590"/>
                  </a:xfrm>
                  <a:prstGeom prst="rect"/>
                  <a:ln/>
                </pic:spPr>
              </pic:pic>
            </a:graphicData>
          </a:graphic>
        </wp:anchor>
      </w:drawing>
    </w:r>
  </w:p>
  <w:p w:rsidR="00000000" w:rsidDel="00000000" w:rsidP="00000000" w:rsidRDefault="00000000" w:rsidRPr="00000000" w14:paraId="000000E2">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DD">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w:t>
      </w:r>
      <w:r w:rsidDel="00000000" w:rsidR="00000000" w:rsidRPr="00000000">
        <w:rPr>
          <w:sz w:val="20"/>
          <w:szCs w:val="20"/>
          <w:rtl w:val="0"/>
        </w:rPr>
        <w:t xml:space="preserve">Acadêmicas do Curso de Direito do II Bloco </w:t>
      </w:r>
      <w:r w:rsidDel="00000000" w:rsidR="00000000" w:rsidRPr="00000000">
        <w:rPr>
          <w:color w:val="000000"/>
          <w:sz w:val="20"/>
          <w:szCs w:val="20"/>
          <w:rtl w:val="0"/>
        </w:rPr>
        <w:t xml:space="preserve">– Centro Universitário Chrisfapi.</w:t>
      </w:r>
    </w:p>
  </w:footnote>
  <w:footnote w:id="1">
    <w:p w:rsidR="00000000" w:rsidDel="00000000" w:rsidP="00000000" w:rsidRDefault="00000000" w:rsidRPr="00000000" w14:paraId="000000DE">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Bacharel em Administração (IFPI). Acadêmico do Curso de Direito do II Bloco – Centro Universitário Chrisfapi.</w:t>
      </w:r>
    </w:p>
  </w:footnote>
  <w:footnote w:id="2">
    <w:p w:rsidR="00000000" w:rsidDel="00000000" w:rsidP="00000000" w:rsidRDefault="00000000" w:rsidRPr="00000000" w14:paraId="000000DF">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Doutor em Biotecnologia. Professor do curso de Direito do Centro Universitário Chrisfapi – UNICHRISFAPI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pBdr>
        <w:top w:space="0" w:sz="0" w:val="nil"/>
        <w:left w:space="0" w:sz="0" w:val="nil"/>
        <w:bottom w:space="0" w:sz="0" w:val="nil"/>
        <w:right w:space="0" w:sz="0" w:val="nil"/>
        <w:between w:space="0" w:sz="0" w:val="nil"/>
      </w:pBdr>
      <w:tabs>
        <w:tab w:val="center" w:leader="none" w:pos="4252"/>
        <w:tab w:val="right" w:leader="none" w:pos="8504"/>
        <w:tab w:val="left" w:leader="none" w:pos="2595"/>
        <w:tab w:val="left" w:leader="none" w:pos="7670"/>
      </w:tabs>
      <w:rPr>
        <w:color w:val="000000"/>
      </w:rPr>
    </w:pPr>
    <w:r w:rsidDel="00000000" w:rsidR="00000000" w:rsidRPr="00000000">
      <w:rPr>
        <w:color w:val="000000"/>
        <w:rtl w:val="0"/>
      </w:rPr>
      <w:tab/>
      <w:tab/>
    </w:r>
    <w:r w:rsidDel="00000000" w:rsidR="00000000" w:rsidRPr="00000000">
      <w:drawing>
        <wp:anchor allowOverlap="1" behindDoc="1" distB="0" distT="0" distL="0" distR="0" hidden="0" layoutInCell="1" locked="0" relativeHeight="0" simplePos="0">
          <wp:simplePos x="0" y="0"/>
          <wp:positionH relativeFrom="column">
            <wp:posOffset>-1076321</wp:posOffset>
          </wp:positionH>
          <wp:positionV relativeFrom="paragraph">
            <wp:posOffset>-449576</wp:posOffset>
          </wp:positionV>
          <wp:extent cx="7573328" cy="1400175"/>
          <wp:effectExtent b="0" l="0" r="0" t="0"/>
          <wp:wrapNone/>
          <wp:docPr id="1" name="image2.png"/>
          <a:graphic>
            <a:graphicData uri="http://schemas.openxmlformats.org/drawingml/2006/picture">
              <pic:pic>
                <pic:nvPicPr>
                  <pic:cNvPr id="0" name="image2.png"/>
                  <pic:cNvPicPr preferRelativeResize="0"/>
                </pic:nvPicPr>
                <pic:blipFill>
                  <a:blip r:embed="rId1"/>
                  <a:srcRect b="4160" l="0" r="0" t="4160"/>
                  <a:stretch>
                    <a:fillRect/>
                  </a:stretch>
                </pic:blipFill>
                <pic:spPr>
                  <a:xfrm>
                    <a:off x="0" y="0"/>
                    <a:ext cx="7573328" cy="14001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