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DAB02" w14:textId="77777777" w:rsidR="00303D2C" w:rsidRDefault="00303D2C" w:rsidP="00FD46AA">
      <w:pPr>
        <w:shd w:val="clear" w:color="auto" w:fill="FFFFFF"/>
        <w:tabs>
          <w:tab w:val="left" w:pos="2500"/>
        </w:tabs>
        <w:spacing w:line="360" w:lineRule="auto"/>
        <w:jc w:val="center"/>
        <w:rPr>
          <w:b/>
          <w:sz w:val="24"/>
          <w:szCs w:val="24"/>
        </w:rPr>
      </w:pPr>
    </w:p>
    <w:p w14:paraId="3E7D3BF7" w14:textId="77777777" w:rsidR="00C25DD4" w:rsidRPr="00C25DD4" w:rsidRDefault="00C25DD4" w:rsidP="00C25DD4">
      <w:pPr>
        <w:shd w:val="clear" w:color="auto" w:fill="FFFFFF"/>
        <w:tabs>
          <w:tab w:val="left" w:pos="2500"/>
        </w:tabs>
        <w:jc w:val="center"/>
        <w:rPr>
          <w:b/>
          <w:sz w:val="24"/>
          <w:szCs w:val="24"/>
        </w:rPr>
      </w:pPr>
      <w:r w:rsidRPr="00C25DD4">
        <w:rPr>
          <w:b/>
          <w:sz w:val="24"/>
          <w:szCs w:val="24"/>
        </w:rPr>
        <w:t>A FORMULAÇÃO E IMPLEMENTAÇÃO DE POLÍTICAS PARA O CLIMA NA</w:t>
      </w:r>
    </w:p>
    <w:p w14:paraId="39E68587" w14:textId="5AF52622" w:rsidR="007830E4" w:rsidRDefault="00C25DD4" w:rsidP="00C25DD4">
      <w:pPr>
        <w:shd w:val="clear" w:color="auto" w:fill="FFFFFF"/>
        <w:tabs>
          <w:tab w:val="left" w:pos="2500"/>
        </w:tabs>
        <w:jc w:val="center"/>
        <w:rPr>
          <w:color w:val="FF0000"/>
          <w:sz w:val="24"/>
          <w:szCs w:val="24"/>
        </w:rPr>
      </w:pPr>
      <w:r w:rsidRPr="00C25DD4">
        <w:rPr>
          <w:b/>
          <w:sz w:val="24"/>
          <w:szCs w:val="24"/>
        </w:rPr>
        <w:t>AMAZÔNIA: OS SABERES TRADICIONAIS E AS POLÍTICAS PÚBLICAS</w:t>
      </w:r>
      <w:r>
        <w:rPr>
          <w:b/>
          <w:sz w:val="24"/>
          <w:szCs w:val="24"/>
        </w:rPr>
        <w:t xml:space="preserve"> </w:t>
      </w:r>
      <w:r w:rsidRPr="00C25DD4">
        <w:rPr>
          <w:b/>
          <w:sz w:val="24"/>
          <w:szCs w:val="24"/>
        </w:rPr>
        <w:t>BASEADAS EM EVIDÊNCIAS (PPBEs)</w:t>
      </w:r>
      <w:r w:rsidRPr="00C25DD4">
        <w:rPr>
          <w:b/>
          <w:color w:val="FF0000"/>
          <w:sz w:val="24"/>
          <w:szCs w:val="24"/>
        </w:rPr>
        <w:t xml:space="preserve"> </w:t>
      </w:r>
    </w:p>
    <w:p w14:paraId="09C4C284" w14:textId="77777777" w:rsidR="00C25DD4" w:rsidRPr="00C25DD4" w:rsidRDefault="00C25DD4" w:rsidP="00C25DD4">
      <w:pPr>
        <w:shd w:val="clear" w:color="auto" w:fill="FFFFFF"/>
        <w:tabs>
          <w:tab w:val="left" w:pos="2500"/>
        </w:tabs>
        <w:jc w:val="center"/>
        <w:rPr>
          <w:b/>
          <w:sz w:val="24"/>
          <w:szCs w:val="24"/>
        </w:rPr>
      </w:pPr>
    </w:p>
    <w:p w14:paraId="5B9D6B5A" w14:textId="5922C74C" w:rsidR="007830E4" w:rsidRDefault="005B1D7D" w:rsidP="005B1D7D">
      <w:pPr>
        <w:shd w:val="clear" w:color="auto" w:fill="FFFFFF"/>
        <w:tabs>
          <w:tab w:val="left" w:pos="2500"/>
        </w:tabs>
        <w:jc w:val="center"/>
        <w:rPr>
          <w:color w:val="FF0000"/>
          <w:sz w:val="24"/>
          <w:szCs w:val="24"/>
        </w:rPr>
      </w:pPr>
      <w:r>
        <w:rPr>
          <w:sz w:val="24"/>
          <w:szCs w:val="24"/>
        </w:rPr>
        <w:t>Izabella de Souza Colino</w:t>
      </w:r>
    </w:p>
    <w:p w14:paraId="19E1A7D2" w14:textId="32CD5FC2" w:rsidR="007830E4" w:rsidRDefault="009C13EE" w:rsidP="005B1D7D">
      <w:pPr>
        <w:shd w:val="clear" w:color="auto" w:fill="FFFFFF"/>
        <w:tabs>
          <w:tab w:val="left" w:pos="2500"/>
        </w:tabs>
        <w:spacing w:after="240"/>
        <w:jc w:val="center"/>
        <w:rPr>
          <w:sz w:val="24"/>
          <w:szCs w:val="24"/>
        </w:rPr>
      </w:pPr>
      <w:r>
        <w:rPr>
          <w:sz w:val="24"/>
          <w:szCs w:val="24"/>
          <w:vertAlign w:val="superscript"/>
        </w:rPr>
        <w:t xml:space="preserve">1 </w:t>
      </w:r>
      <w:r w:rsidR="005B1D7D">
        <w:rPr>
          <w:sz w:val="24"/>
          <w:szCs w:val="24"/>
        </w:rPr>
        <w:t>Mestranda em Ciência Política – PPGCP/UFPA</w:t>
      </w:r>
      <w:r>
        <w:rPr>
          <w:sz w:val="24"/>
          <w:szCs w:val="24"/>
        </w:rPr>
        <w:t xml:space="preserve">. </w:t>
      </w:r>
      <w:r w:rsidR="005B1D7D">
        <w:rPr>
          <w:sz w:val="24"/>
          <w:szCs w:val="24"/>
        </w:rPr>
        <w:t>Universidade Federal do Pará</w:t>
      </w:r>
      <w:r>
        <w:rPr>
          <w:sz w:val="24"/>
          <w:szCs w:val="24"/>
        </w:rPr>
        <w:t xml:space="preserve">. </w:t>
      </w:r>
      <w:r w:rsidR="005B1D7D">
        <w:rPr>
          <w:sz w:val="24"/>
          <w:szCs w:val="24"/>
        </w:rPr>
        <w:t>E-mail: izabellacolino3@gmail.com</w:t>
      </w:r>
      <w:r>
        <w:rPr>
          <w:sz w:val="24"/>
          <w:szCs w:val="24"/>
        </w:rPr>
        <w:t>.</w:t>
      </w:r>
    </w:p>
    <w:p w14:paraId="17C74AF3" w14:textId="77777777" w:rsidR="007830E4" w:rsidRDefault="007830E4" w:rsidP="00FD46AA">
      <w:pPr>
        <w:tabs>
          <w:tab w:val="left" w:pos="2500"/>
        </w:tabs>
        <w:spacing w:line="360" w:lineRule="auto"/>
        <w:rPr>
          <w:color w:val="FF0000"/>
          <w:sz w:val="24"/>
          <w:szCs w:val="24"/>
          <w:u w:val="single"/>
        </w:rPr>
      </w:pPr>
    </w:p>
    <w:p w14:paraId="539310FC" w14:textId="77777777" w:rsidR="007830E4" w:rsidRDefault="009C13EE" w:rsidP="00C25DD4">
      <w:pPr>
        <w:shd w:val="clear" w:color="auto" w:fill="FFFFFF"/>
        <w:tabs>
          <w:tab w:val="left" w:pos="2500"/>
        </w:tabs>
        <w:jc w:val="center"/>
        <w:rPr>
          <w:b/>
          <w:sz w:val="24"/>
          <w:szCs w:val="24"/>
        </w:rPr>
      </w:pPr>
      <w:r>
        <w:rPr>
          <w:b/>
          <w:sz w:val="24"/>
          <w:szCs w:val="24"/>
        </w:rPr>
        <w:t>RESUMO</w:t>
      </w:r>
    </w:p>
    <w:p w14:paraId="6B91DCFA" w14:textId="3F628023" w:rsidR="00191593" w:rsidRDefault="00191593" w:rsidP="00191593">
      <w:pPr>
        <w:shd w:val="clear" w:color="auto" w:fill="FFFFFF"/>
        <w:tabs>
          <w:tab w:val="left" w:pos="0"/>
        </w:tabs>
        <w:jc w:val="both"/>
        <w:rPr>
          <w:sz w:val="24"/>
          <w:szCs w:val="24"/>
        </w:rPr>
      </w:pPr>
      <w:r w:rsidRPr="00191593">
        <w:rPr>
          <w:sz w:val="24"/>
          <w:szCs w:val="24"/>
        </w:rPr>
        <w:t xml:space="preserve">O presente trabalho tem como objeto de estudo a relação entre </w:t>
      </w:r>
      <w:r>
        <w:rPr>
          <w:sz w:val="24"/>
          <w:szCs w:val="24"/>
        </w:rPr>
        <w:t xml:space="preserve">os </w:t>
      </w:r>
      <w:r w:rsidRPr="00191593">
        <w:rPr>
          <w:sz w:val="24"/>
          <w:szCs w:val="24"/>
        </w:rPr>
        <w:t>saberes tradicionais dos povos indígenas, ribeirinhos e quilombolas da Amazônia  e o processo de formulação e implementação de políticas públicas climáticas, analisando como esses conhecimentos podem ser compreendidos e utilizados como evidências no contexto das Políticas Públicas Baseadas em Evidências (PPBEs).</w:t>
      </w:r>
    </w:p>
    <w:p w14:paraId="0589DCAA" w14:textId="2A6B25B2" w:rsidR="00191593" w:rsidRPr="00191593" w:rsidRDefault="00191593" w:rsidP="00191593">
      <w:pPr>
        <w:shd w:val="clear" w:color="auto" w:fill="FFFFFF"/>
        <w:tabs>
          <w:tab w:val="left" w:pos="0"/>
        </w:tabs>
        <w:jc w:val="both"/>
        <w:rPr>
          <w:sz w:val="24"/>
          <w:szCs w:val="24"/>
        </w:rPr>
      </w:pPr>
      <w:r w:rsidRPr="00191593">
        <w:rPr>
          <w:sz w:val="24"/>
          <w:szCs w:val="24"/>
        </w:rPr>
        <w:t>A formulação do problema parte do diagnóstico de que as mudanças climáticas afetam de modo desproporcional as populações tradicionais amazônicas, ao mesmo tempo em que seus conhecimentos são historicamente negligenciados nos processos decisórios estatais, apesar de seu comprovado papel na preservação ambiental e na adaptação climática. Assim, questiona-se: de que maneira o uso de evidências, a partir dos saberes tradicionais, pode corroborar para a formulação e implementação de políticas climáticas na Amazônia?</w:t>
      </w:r>
    </w:p>
    <w:p w14:paraId="14E31C75" w14:textId="77777777" w:rsidR="00191593" w:rsidRPr="00191593" w:rsidRDefault="00191593" w:rsidP="00191593">
      <w:pPr>
        <w:shd w:val="clear" w:color="auto" w:fill="FFFFFF"/>
        <w:tabs>
          <w:tab w:val="left" w:pos="0"/>
        </w:tabs>
        <w:jc w:val="both"/>
        <w:rPr>
          <w:sz w:val="24"/>
          <w:szCs w:val="24"/>
        </w:rPr>
      </w:pPr>
      <w:r w:rsidRPr="00191593">
        <w:rPr>
          <w:sz w:val="24"/>
          <w:szCs w:val="24"/>
        </w:rPr>
        <w:t>A justificativa fundamenta-se na urgência climática e na necessidade de políticas públicas mais eficazes, inclusivas e territorialmente sensíveis. A Amazônia, por sua relevância ecológica e sociocultural, constitui um caso estratégico. Reconhecer povos tradicionais como produtores de conhecimento torna-se fundamental para superar abordagens tecnocráticas e ampliar a legitimidade e efetividade das ações climáticas.</w:t>
      </w:r>
    </w:p>
    <w:p w14:paraId="67C77EE8" w14:textId="77777777" w:rsidR="00191593" w:rsidRPr="00191593" w:rsidRDefault="00191593" w:rsidP="00191593">
      <w:pPr>
        <w:shd w:val="clear" w:color="auto" w:fill="FFFFFF"/>
        <w:tabs>
          <w:tab w:val="left" w:pos="0"/>
        </w:tabs>
        <w:jc w:val="both"/>
        <w:rPr>
          <w:sz w:val="24"/>
          <w:szCs w:val="24"/>
        </w:rPr>
      </w:pPr>
      <w:r w:rsidRPr="00191593">
        <w:rPr>
          <w:sz w:val="24"/>
          <w:szCs w:val="24"/>
        </w:rPr>
        <w:t>O objetivo geral do estudo é analisar como os saberes tradicionais podem ser utilizados como evidências na formulação e implementação de políticas climáticas na Amazônia. A metodologia consiste em uma abordagem qualitativa de caráter exploratório, fundamentada em revisão bibliográfica interdisciplinar. As fontes foram selecionadas a partir de termos-chave como “políticas públicas”, “mudanças climáticas”, “PPBEs” e “saberes tradicionais”. A análise seguiu uma lógica interpretativa, buscando compreender como esses conhecimentos são mobilizados (ou ignorados) no ciclo da política pública.</w:t>
      </w:r>
    </w:p>
    <w:p w14:paraId="6B5C7248" w14:textId="77777777" w:rsidR="00191593" w:rsidRPr="00191593" w:rsidRDefault="00191593" w:rsidP="00191593">
      <w:pPr>
        <w:shd w:val="clear" w:color="auto" w:fill="FFFFFF"/>
        <w:tabs>
          <w:tab w:val="left" w:pos="0"/>
        </w:tabs>
        <w:jc w:val="both"/>
        <w:rPr>
          <w:sz w:val="24"/>
          <w:szCs w:val="24"/>
        </w:rPr>
      </w:pPr>
      <w:r w:rsidRPr="00191593">
        <w:rPr>
          <w:sz w:val="24"/>
          <w:szCs w:val="24"/>
        </w:rPr>
        <w:t>Os resultados apontam que os saberes tradicionais constituem formas robustas e contextualizadas de evidência, especialmente relevantes para a formulação de políticas diante da diversidade territorial amazônica. Estudos analisados (Menin, 2021; Almudi &amp; Sinclair, 2022) revelam práticas de adaptação altamente eficazes, como reorganização produtiva, moradias adaptadas às cheias, hortas flutuantes e fortalecimento de redes comunitárias, demonstrando resiliência e capacidade de resposta. Ademais, evidencia-se que os povos tradicionais atuam como coalizões de defesa, articulando visões de mundo e conhecimentos que influenciam agendas e processos decisórios, ainda que enfrentem barreiras institucionais e políticas.</w:t>
      </w:r>
    </w:p>
    <w:p w14:paraId="7BE2CAEA" w14:textId="77777777" w:rsidR="00191593" w:rsidRDefault="00191593" w:rsidP="00191593">
      <w:pPr>
        <w:shd w:val="clear" w:color="auto" w:fill="FFFFFF"/>
        <w:tabs>
          <w:tab w:val="left" w:pos="0"/>
        </w:tabs>
        <w:spacing w:after="240"/>
        <w:jc w:val="both"/>
        <w:rPr>
          <w:color w:val="FF0000"/>
          <w:sz w:val="24"/>
          <w:szCs w:val="24"/>
        </w:rPr>
      </w:pPr>
      <w:r w:rsidRPr="00191593">
        <w:rPr>
          <w:sz w:val="24"/>
          <w:szCs w:val="24"/>
        </w:rPr>
        <w:t xml:space="preserve">A conclusão reforça que políticas climáticas efetivas e justas na Amazônia exigem a incorporação ativa dos saberes tradicionais em todas as fases do ciclo das políticas públicas. O artigo demonstra que o modelo moderado de PPBEs oferece uma base conceitual adequada para </w:t>
      </w:r>
      <w:r w:rsidRPr="00191593">
        <w:rPr>
          <w:sz w:val="24"/>
          <w:szCs w:val="24"/>
        </w:rPr>
        <w:lastRenderedPageBreak/>
        <w:t>legitimar tais conhecimentos como evidências válidas, superando hierarquias rígidas que privilegiam métodos científicos em detrimento de saberes locais. Dessa forma, argumenta-se que o diálogo entre conhecimento científico e saberes tradicionais é indispensável para responder de maneira territorialmente enraizada e democraticamente orientada à crise climática no Brasil.</w:t>
      </w:r>
      <w:r w:rsidRPr="00191593">
        <w:rPr>
          <w:color w:val="FF0000"/>
          <w:sz w:val="24"/>
          <w:szCs w:val="24"/>
        </w:rPr>
        <w:t xml:space="preserve"> </w:t>
      </w:r>
    </w:p>
    <w:p w14:paraId="04E77362" w14:textId="5FCC76F0" w:rsidR="00FD46AA" w:rsidRPr="00FD46AA" w:rsidRDefault="009C13EE" w:rsidP="00191593">
      <w:pPr>
        <w:shd w:val="clear" w:color="auto" w:fill="FFFFFF"/>
        <w:tabs>
          <w:tab w:val="left" w:pos="2500"/>
        </w:tabs>
        <w:spacing w:after="240" w:line="360" w:lineRule="auto"/>
        <w:jc w:val="both"/>
        <w:rPr>
          <w:color w:val="FF0000"/>
          <w:sz w:val="24"/>
          <w:szCs w:val="24"/>
        </w:rPr>
      </w:pPr>
      <w:r>
        <w:rPr>
          <w:b/>
          <w:sz w:val="24"/>
          <w:szCs w:val="24"/>
        </w:rPr>
        <w:t xml:space="preserve">Palavras-chave: </w:t>
      </w:r>
      <w:r w:rsidR="00191593">
        <w:rPr>
          <w:sz w:val="24"/>
          <w:szCs w:val="24"/>
        </w:rPr>
        <w:t>Políticas Públicas. Mudanças Climáticas. Populações Tradicionais.</w:t>
      </w:r>
      <w:r>
        <w:rPr>
          <w:sz w:val="24"/>
          <w:szCs w:val="24"/>
        </w:rPr>
        <w:t xml:space="preserve"> </w:t>
      </w:r>
    </w:p>
    <w:p w14:paraId="4B81138D" w14:textId="119F22EC" w:rsidR="007830E4" w:rsidRDefault="0048607D" w:rsidP="005B1D7D">
      <w:pPr>
        <w:shd w:val="clear" w:color="auto" w:fill="FFFFFF"/>
        <w:tabs>
          <w:tab w:val="left" w:pos="2500"/>
        </w:tabs>
        <w:spacing w:line="360" w:lineRule="auto"/>
        <w:jc w:val="both"/>
        <w:rPr>
          <w:b/>
          <w:color w:val="0000FF"/>
          <w:sz w:val="24"/>
          <w:szCs w:val="24"/>
          <w:u w:val="single"/>
        </w:rPr>
      </w:pPr>
      <w:r>
        <w:rPr>
          <w:b/>
          <w:sz w:val="24"/>
          <w:szCs w:val="24"/>
        </w:rPr>
        <w:t xml:space="preserve">Escolha a </w:t>
      </w:r>
      <w:r w:rsidR="009C13EE">
        <w:rPr>
          <w:b/>
          <w:sz w:val="24"/>
          <w:szCs w:val="24"/>
        </w:rPr>
        <w:t>Área de Interesse do Simpósio</w:t>
      </w:r>
      <w:r w:rsidR="009C13EE">
        <w:rPr>
          <w:sz w:val="24"/>
          <w:szCs w:val="24"/>
        </w:rPr>
        <w:t>:</w:t>
      </w:r>
      <w:r>
        <w:rPr>
          <w:sz w:val="24"/>
          <w:szCs w:val="24"/>
        </w:rPr>
        <w:t xml:space="preserve"> </w:t>
      </w:r>
      <w:r w:rsidR="009C13EE">
        <w:rPr>
          <w:sz w:val="24"/>
          <w:szCs w:val="24"/>
        </w:rPr>
        <w:t>Ciências Humanas e Sociais Aplicadas</w:t>
      </w:r>
    </w:p>
    <w:p w14:paraId="31D7EA4E" w14:textId="77777777" w:rsidR="007830E4" w:rsidRDefault="007830E4" w:rsidP="00FD46AA">
      <w:pPr>
        <w:spacing w:line="360" w:lineRule="auto"/>
      </w:pPr>
    </w:p>
    <w:sectPr w:rsidR="007830E4">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67281" w14:textId="77777777" w:rsidR="000B4BF0" w:rsidRDefault="000B4BF0">
      <w:r>
        <w:separator/>
      </w:r>
    </w:p>
  </w:endnote>
  <w:endnote w:type="continuationSeparator" w:id="0">
    <w:p w14:paraId="09727FA2" w14:textId="77777777" w:rsidR="000B4BF0" w:rsidRDefault="000B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1D0C" w14:textId="77777777" w:rsidR="000B4BF0" w:rsidRDefault="000B4BF0">
      <w:r>
        <w:separator/>
      </w:r>
    </w:p>
  </w:footnote>
  <w:footnote w:type="continuationSeparator" w:id="0">
    <w:p w14:paraId="5C950EC6" w14:textId="77777777" w:rsidR="000B4BF0" w:rsidRDefault="000B4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37CE8"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0B4BF0"/>
    <w:rsid w:val="00191593"/>
    <w:rsid w:val="00303D2C"/>
    <w:rsid w:val="0048607D"/>
    <w:rsid w:val="0053681D"/>
    <w:rsid w:val="005B1D7D"/>
    <w:rsid w:val="007537DE"/>
    <w:rsid w:val="007830E4"/>
    <w:rsid w:val="009423CF"/>
    <w:rsid w:val="009C13EE"/>
    <w:rsid w:val="00A86693"/>
    <w:rsid w:val="00B26E21"/>
    <w:rsid w:val="00B826D9"/>
    <w:rsid w:val="00B83998"/>
    <w:rsid w:val="00C25DD4"/>
    <w:rsid w:val="00C64DF0"/>
    <w:rsid w:val="00CC7E1B"/>
    <w:rsid w:val="00E161EB"/>
    <w:rsid w:val="00E42F77"/>
    <w:rsid w:val="00FD4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3"/>
    </o:shapedefaults>
    <o:shapelayout v:ext="edit">
      <o:idmap v:ext="edit" data="2"/>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831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582</Words>
  <Characters>3144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Izabella Colino</cp:lastModifiedBy>
  <cp:revision>3</cp:revision>
  <dcterms:created xsi:type="dcterms:W3CDTF">2025-08-21T16:09:00Z</dcterms:created>
  <dcterms:modified xsi:type="dcterms:W3CDTF">2025-12-01T01:33:00Z</dcterms:modified>
</cp:coreProperties>
</file>