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EC66" w14:textId="77777777" w:rsidR="00B555C8" w:rsidRDefault="00B555C8">
      <w:pPr>
        <w:spacing w:line="240" w:lineRule="auto"/>
        <w:jc w:val="both"/>
        <w:rPr>
          <w:rFonts w:eastAsia="Times New Roman"/>
          <w:b/>
          <w:sz w:val="20"/>
          <w:szCs w:val="20"/>
        </w:rPr>
      </w:pPr>
      <w:bookmarkStart w:id="0" w:name="_gjdgxs" w:colFirst="0" w:colLast="0"/>
      <w:bookmarkEnd w:id="0"/>
    </w:p>
    <w:p w14:paraId="4614BAA1" w14:textId="77777777" w:rsidR="00B555C8" w:rsidRDefault="00321F99">
      <w:pPr>
        <w:spacing w:line="240" w:lineRule="auto"/>
        <w:jc w:val="both"/>
        <w:rPr>
          <w:rFonts w:eastAsia="Times New Roman"/>
          <w:b/>
          <w:sz w:val="20"/>
          <w:szCs w:val="20"/>
          <w:lang w:val="pt-BR"/>
        </w:rPr>
      </w:pPr>
      <w:r>
        <w:rPr>
          <w:rFonts w:eastAsia="Times New Roman"/>
          <w:b/>
          <w:sz w:val="20"/>
          <w:szCs w:val="20"/>
          <w:lang w:val="pt-BR"/>
        </w:rPr>
        <w:t>ARÉA TEMÁTICA:</w:t>
      </w:r>
      <w:r w:rsidR="007323BE" w:rsidRPr="007323BE">
        <w:t xml:space="preserve"> </w:t>
      </w:r>
      <w:r w:rsidR="007323BE" w:rsidRPr="00E444C9">
        <w:rPr>
          <w:rFonts w:eastAsia="Times New Roman"/>
          <w:bCs/>
          <w:sz w:val="20"/>
          <w:szCs w:val="20"/>
          <w:lang w:val="pt-BR"/>
        </w:rPr>
        <w:t>Ecologia</w:t>
      </w:r>
    </w:p>
    <w:p w14:paraId="24488775" w14:textId="77777777" w:rsidR="00B555C8" w:rsidRDefault="00321F99">
      <w:pPr>
        <w:spacing w:line="240" w:lineRule="auto"/>
        <w:jc w:val="both"/>
        <w:rPr>
          <w:rFonts w:eastAsia="Times New Roman"/>
          <w:b/>
          <w:sz w:val="20"/>
          <w:szCs w:val="20"/>
          <w:lang w:val="pt-BR"/>
        </w:rPr>
      </w:pPr>
      <w:r>
        <w:rPr>
          <w:rFonts w:eastAsia="Times New Roman"/>
          <w:b/>
          <w:sz w:val="20"/>
          <w:szCs w:val="20"/>
          <w:lang w:val="pt-BR"/>
        </w:rPr>
        <w:t>SUBÁREA TEMÁTICA:</w:t>
      </w:r>
      <w:r w:rsidR="007323BE">
        <w:rPr>
          <w:rFonts w:eastAsia="Times New Roman"/>
          <w:b/>
          <w:sz w:val="20"/>
          <w:szCs w:val="20"/>
          <w:lang w:val="pt-BR"/>
        </w:rPr>
        <w:t xml:space="preserve"> </w:t>
      </w:r>
      <w:r w:rsidR="007323BE" w:rsidRPr="00E444C9">
        <w:rPr>
          <w:rFonts w:eastAsia="Times New Roman"/>
          <w:bCs/>
          <w:sz w:val="20"/>
          <w:szCs w:val="20"/>
          <w:lang w:val="pt-BR"/>
        </w:rPr>
        <w:t>Invertebrados</w:t>
      </w:r>
    </w:p>
    <w:p w14:paraId="0D816C99" w14:textId="77777777" w:rsidR="00B555C8" w:rsidRPr="00E444C9" w:rsidRDefault="00B555C8">
      <w:pPr>
        <w:spacing w:line="240" w:lineRule="auto"/>
        <w:jc w:val="both"/>
        <w:rPr>
          <w:rFonts w:eastAsia="Times New Roman"/>
          <w:b/>
          <w:sz w:val="20"/>
          <w:szCs w:val="20"/>
          <w:lang w:val="pt-BR"/>
        </w:rPr>
      </w:pPr>
    </w:p>
    <w:p w14:paraId="392FDBEF" w14:textId="77777777" w:rsidR="00B555C8" w:rsidRDefault="00B555C8">
      <w:pPr>
        <w:spacing w:line="240" w:lineRule="auto"/>
        <w:jc w:val="center"/>
        <w:rPr>
          <w:rFonts w:eastAsia="Times New Roman"/>
          <w:b/>
          <w:sz w:val="20"/>
          <w:szCs w:val="20"/>
        </w:rPr>
      </w:pPr>
    </w:p>
    <w:p w14:paraId="7C153C0F" w14:textId="77777777" w:rsidR="00B555C8" w:rsidRPr="00412D6B" w:rsidRDefault="00412D6B">
      <w:pPr>
        <w:spacing w:line="240" w:lineRule="auto"/>
        <w:jc w:val="center"/>
        <w:rPr>
          <w:rFonts w:eastAsia="Times New Roman"/>
          <w:b/>
          <w:sz w:val="20"/>
          <w:szCs w:val="20"/>
          <w:lang w:val="pt-BR"/>
        </w:rPr>
      </w:pPr>
      <w:r w:rsidRPr="00412D6B">
        <w:rPr>
          <w:rFonts w:eastAsia="Times New Roman"/>
          <w:b/>
          <w:sz w:val="20"/>
          <w:szCs w:val="20"/>
          <w:lang w:val="pt-BR"/>
        </w:rPr>
        <w:t>AUMENTO DA MORTALIDADE DE</w:t>
      </w:r>
      <w:r w:rsidR="00D5192B">
        <w:rPr>
          <w:rFonts w:eastAsia="Times New Roman"/>
          <w:b/>
          <w:sz w:val="20"/>
          <w:szCs w:val="20"/>
          <w:lang w:val="pt-BR"/>
        </w:rPr>
        <w:t xml:space="preserve"> UM</w:t>
      </w:r>
      <w:r w:rsidRPr="00412D6B">
        <w:rPr>
          <w:rFonts w:eastAsia="Times New Roman"/>
          <w:b/>
          <w:sz w:val="20"/>
          <w:szCs w:val="20"/>
          <w:lang w:val="pt-BR"/>
        </w:rPr>
        <w:t xml:space="preserve"> ROTI</w:t>
      </w:r>
      <w:r>
        <w:rPr>
          <w:rFonts w:eastAsia="Times New Roman"/>
          <w:b/>
          <w:sz w:val="20"/>
          <w:szCs w:val="20"/>
          <w:lang w:val="pt-BR"/>
        </w:rPr>
        <w:t xml:space="preserve">FERA EXPOSTO AOS </w:t>
      </w:r>
      <w:proofErr w:type="spellStart"/>
      <w:r>
        <w:rPr>
          <w:rFonts w:eastAsia="Times New Roman"/>
          <w:b/>
          <w:sz w:val="20"/>
          <w:szCs w:val="20"/>
          <w:lang w:val="pt-BR"/>
        </w:rPr>
        <w:t>HPAs</w:t>
      </w:r>
      <w:proofErr w:type="spellEnd"/>
      <w:r>
        <w:rPr>
          <w:rFonts w:eastAsia="Times New Roman"/>
          <w:b/>
          <w:sz w:val="20"/>
          <w:szCs w:val="20"/>
          <w:lang w:val="pt-BR"/>
        </w:rPr>
        <w:t xml:space="preserve"> DE UM ÓLEO DERRAMADO NA COSTA BRASILEIRA</w:t>
      </w:r>
    </w:p>
    <w:p w14:paraId="55ADFC4A" w14:textId="77777777" w:rsidR="00B555C8" w:rsidRDefault="00B555C8">
      <w:pPr>
        <w:spacing w:line="240" w:lineRule="auto"/>
        <w:jc w:val="center"/>
        <w:rPr>
          <w:rFonts w:eastAsia="Times New Roman"/>
          <w:b/>
          <w:sz w:val="20"/>
          <w:szCs w:val="20"/>
        </w:rPr>
      </w:pPr>
    </w:p>
    <w:p w14:paraId="0EB49201" w14:textId="77777777" w:rsidR="00B555C8" w:rsidRPr="00273B9D" w:rsidRDefault="00543892">
      <w:pPr>
        <w:spacing w:line="240" w:lineRule="auto"/>
        <w:jc w:val="center"/>
        <w:rPr>
          <w:rFonts w:eastAsia="Times New Roman"/>
          <w:sz w:val="20"/>
          <w:szCs w:val="20"/>
          <w:lang w:val="pt-BR" w:eastAsia="zh-CN"/>
        </w:rPr>
      </w:pPr>
      <w:r w:rsidRPr="000E4B04">
        <w:rPr>
          <w:sz w:val="20"/>
          <w:szCs w:val="20"/>
        </w:rPr>
        <w:t>Alef Jonathan da Silva</w:t>
      </w:r>
      <w:r w:rsidRPr="00543892">
        <w:rPr>
          <w:sz w:val="20"/>
          <w:szCs w:val="20"/>
          <w:vertAlign w:val="superscript"/>
        </w:rPr>
        <w:t>1</w:t>
      </w:r>
      <w:r w:rsidR="00321F99">
        <w:rPr>
          <w:rFonts w:eastAsia="Times New Roman"/>
          <w:sz w:val="20"/>
          <w:szCs w:val="20"/>
        </w:rPr>
        <w:t xml:space="preserve">, </w:t>
      </w:r>
      <w:r w:rsidR="00273B9D" w:rsidRPr="000E4B04">
        <w:rPr>
          <w:sz w:val="20"/>
          <w:szCs w:val="20"/>
        </w:rPr>
        <w:t xml:space="preserve">Mauro de Melo Júnior </w:t>
      </w:r>
      <w:r w:rsidR="00273B9D" w:rsidRPr="009549E7">
        <w:rPr>
          <w:sz w:val="20"/>
          <w:szCs w:val="20"/>
          <w:vertAlign w:val="superscript"/>
        </w:rPr>
        <w:t>2</w:t>
      </w:r>
      <w:r w:rsidR="00273B9D" w:rsidRPr="00273B9D">
        <w:rPr>
          <w:sz w:val="20"/>
          <w:szCs w:val="20"/>
          <w:lang w:val="pt-BR"/>
        </w:rPr>
        <w:t xml:space="preserve">, </w:t>
      </w:r>
      <w:r w:rsidR="00273B9D" w:rsidRPr="000E4B04">
        <w:rPr>
          <w:sz w:val="20"/>
          <w:szCs w:val="20"/>
        </w:rPr>
        <w:t xml:space="preserve">Felipe Antonio dos Santos </w:t>
      </w:r>
      <w:r w:rsidR="00273B9D" w:rsidRPr="009549E7">
        <w:rPr>
          <w:sz w:val="20"/>
          <w:szCs w:val="20"/>
          <w:vertAlign w:val="superscript"/>
        </w:rPr>
        <w:t>1</w:t>
      </w:r>
      <w:r w:rsidR="00273B9D" w:rsidRPr="00273B9D">
        <w:rPr>
          <w:sz w:val="20"/>
          <w:szCs w:val="20"/>
          <w:lang w:val="pt-BR"/>
        </w:rPr>
        <w:t>,</w:t>
      </w:r>
      <w:r w:rsidR="00273B9D" w:rsidRPr="00273B9D">
        <w:rPr>
          <w:sz w:val="20"/>
          <w:szCs w:val="20"/>
        </w:rPr>
        <w:t xml:space="preserve"> </w:t>
      </w:r>
      <w:r w:rsidR="00273B9D" w:rsidRPr="000E4B04">
        <w:rPr>
          <w:sz w:val="20"/>
          <w:szCs w:val="20"/>
        </w:rPr>
        <w:t xml:space="preserve">Pedro Augusto Mendes de Castro Melo </w:t>
      </w:r>
      <w:r w:rsidR="00273B9D" w:rsidRPr="009549E7">
        <w:rPr>
          <w:sz w:val="20"/>
          <w:szCs w:val="20"/>
          <w:vertAlign w:val="superscript"/>
        </w:rPr>
        <w:t>3</w:t>
      </w:r>
      <w:r w:rsidR="00273B9D" w:rsidRPr="000E4B04">
        <w:rPr>
          <w:sz w:val="20"/>
          <w:szCs w:val="20"/>
        </w:rPr>
        <w:t>,</w:t>
      </w:r>
      <w:r w:rsidR="00273B9D" w:rsidRPr="00273B9D">
        <w:rPr>
          <w:sz w:val="20"/>
          <w:szCs w:val="20"/>
          <w:lang w:val="pt-BR"/>
        </w:rPr>
        <w:t xml:space="preserve"> Gilvan </w:t>
      </w:r>
      <w:proofErr w:type="spellStart"/>
      <w:r w:rsidR="00273B9D" w:rsidRPr="00273B9D">
        <w:rPr>
          <w:sz w:val="20"/>
          <w:szCs w:val="20"/>
          <w:lang w:val="pt-BR"/>
        </w:rPr>
        <w:t>Takeshi</w:t>
      </w:r>
      <w:proofErr w:type="spellEnd"/>
      <w:r w:rsidR="00273B9D" w:rsidRPr="00273B9D">
        <w:rPr>
          <w:sz w:val="20"/>
          <w:szCs w:val="20"/>
          <w:lang w:val="pt-BR"/>
        </w:rPr>
        <w:t xml:space="preserve"> </w:t>
      </w:r>
      <w:proofErr w:type="spellStart"/>
      <w:r w:rsidR="00273B9D" w:rsidRPr="00273B9D">
        <w:rPr>
          <w:sz w:val="20"/>
          <w:szCs w:val="20"/>
          <w:lang w:val="pt-BR"/>
        </w:rPr>
        <w:t>Yogui</w:t>
      </w:r>
      <w:proofErr w:type="spellEnd"/>
      <w:r w:rsidR="00273B9D" w:rsidRPr="00273B9D">
        <w:rPr>
          <w:sz w:val="20"/>
          <w:szCs w:val="20"/>
          <w:lang w:val="pt-BR"/>
        </w:rPr>
        <w:t xml:space="preserve"> </w:t>
      </w:r>
      <w:r w:rsidR="00273B9D" w:rsidRPr="009549E7">
        <w:rPr>
          <w:sz w:val="20"/>
          <w:szCs w:val="20"/>
          <w:vertAlign w:val="superscript"/>
          <w:lang w:val="pt-BR"/>
        </w:rPr>
        <w:t>3</w:t>
      </w:r>
      <w:r w:rsidR="00273B9D" w:rsidRPr="00273B9D">
        <w:rPr>
          <w:sz w:val="20"/>
          <w:szCs w:val="20"/>
          <w:lang w:val="pt-BR"/>
        </w:rPr>
        <w:t>,</w:t>
      </w:r>
      <w:r w:rsidR="00273B9D">
        <w:rPr>
          <w:sz w:val="20"/>
          <w:szCs w:val="20"/>
          <w:lang w:val="pt-BR"/>
        </w:rPr>
        <w:t xml:space="preserve"> </w:t>
      </w:r>
      <w:r w:rsidR="009549E7" w:rsidRPr="000E4B04">
        <w:rPr>
          <w:sz w:val="20"/>
          <w:szCs w:val="20"/>
        </w:rPr>
        <w:t xml:space="preserve">Beatrice Padovani Ferreira </w:t>
      </w:r>
      <w:r w:rsidR="009549E7" w:rsidRPr="009549E7">
        <w:rPr>
          <w:sz w:val="20"/>
          <w:szCs w:val="20"/>
          <w:vertAlign w:val="superscript"/>
        </w:rPr>
        <w:t>3</w:t>
      </w:r>
      <w:r w:rsidR="009549E7" w:rsidRPr="009549E7">
        <w:rPr>
          <w:sz w:val="20"/>
          <w:szCs w:val="20"/>
          <w:lang w:val="pt-BR"/>
        </w:rPr>
        <w:t xml:space="preserve">, </w:t>
      </w:r>
      <w:r w:rsidR="00273B9D" w:rsidRPr="000E4B04">
        <w:rPr>
          <w:sz w:val="20"/>
          <w:szCs w:val="20"/>
        </w:rPr>
        <w:t>Maria da Graça Gama Melão</w:t>
      </w:r>
      <w:r w:rsidR="00273B9D" w:rsidRPr="000E4B04">
        <w:rPr>
          <w:position w:val="4"/>
          <w:sz w:val="20"/>
          <w:szCs w:val="20"/>
        </w:rPr>
        <w:t xml:space="preserve"> </w:t>
      </w:r>
      <w:r w:rsidR="00273B9D" w:rsidRPr="009549E7">
        <w:rPr>
          <w:sz w:val="20"/>
          <w:szCs w:val="20"/>
          <w:vertAlign w:val="superscript"/>
        </w:rPr>
        <w:t>1</w:t>
      </w:r>
    </w:p>
    <w:p w14:paraId="4051F227" w14:textId="77777777" w:rsidR="00B555C8" w:rsidRPr="00DF0CD0" w:rsidRDefault="00321F99">
      <w:pPr>
        <w:spacing w:line="240" w:lineRule="auto"/>
        <w:jc w:val="center"/>
        <w:rPr>
          <w:rFonts w:eastAsia="Times New Roman"/>
          <w:sz w:val="20"/>
          <w:szCs w:val="20"/>
          <w:lang w:val="pt-BR" w:eastAsia="zh-CN"/>
        </w:rPr>
      </w:pPr>
      <w:r>
        <w:rPr>
          <w:rFonts w:eastAsia="Times New Roman"/>
          <w:sz w:val="20"/>
          <w:szCs w:val="20"/>
        </w:rPr>
        <w:t xml:space="preserve">¹ </w:t>
      </w:r>
      <w:r w:rsidR="00E57622" w:rsidRPr="00E57622">
        <w:rPr>
          <w:rFonts w:eastAsia="Times New Roman"/>
          <w:sz w:val="20"/>
          <w:szCs w:val="20"/>
          <w:lang w:val="pt-BR"/>
        </w:rPr>
        <w:t>Universidade Federal de São Carlos</w:t>
      </w:r>
      <w:r>
        <w:rPr>
          <w:rFonts w:eastAsia="Times New Roman"/>
          <w:sz w:val="20"/>
          <w:szCs w:val="20"/>
          <w:lang w:val="pt-BR"/>
        </w:rPr>
        <w:t xml:space="preserve"> </w:t>
      </w:r>
      <w:r>
        <w:rPr>
          <w:rFonts w:eastAsia="Times New Roman"/>
          <w:sz w:val="20"/>
          <w:szCs w:val="20"/>
        </w:rPr>
        <w:t>(</w:t>
      </w:r>
      <w:r w:rsidR="006D2983">
        <w:rPr>
          <w:rFonts w:eastAsia="Times New Roman"/>
          <w:sz w:val="20"/>
          <w:szCs w:val="20"/>
          <w:lang w:val="pt-BR"/>
        </w:rPr>
        <w:t>UFSCar</w:t>
      </w:r>
      <w:r>
        <w:rPr>
          <w:rFonts w:eastAsia="Times New Roman"/>
          <w:sz w:val="20"/>
          <w:szCs w:val="20"/>
        </w:rPr>
        <w:t xml:space="preserve">), </w:t>
      </w:r>
      <w:r w:rsidR="00E57622">
        <w:rPr>
          <w:rFonts w:eastAsia="Times New Roman"/>
          <w:iCs/>
          <w:sz w:val="20"/>
          <w:szCs w:val="20"/>
        </w:rPr>
        <w:t xml:space="preserve">Campus </w:t>
      </w:r>
      <w:r w:rsidR="00E57622" w:rsidRPr="00DF0CD0">
        <w:rPr>
          <w:rFonts w:eastAsia="Times New Roman"/>
          <w:iCs/>
          <w:sz w:val="20"/>
          <w:szCs w:val="20"/>
          <w:lang w:val="pt-BR"/>
        </w:rPr>
        <w:t>São Carlos</w:t>
      </w:r>
      <w:r>
        <w:rPr>
          <w:rFonts w:eastAsia="Times New Roman"/>
          <w:iCs/>
          <w:sz w:val="20"/>
          <w:szCs w:val="20"/>
        </w:rPr>
        <w:t>.</w:t>
      </w:r>
      <w:r>
        <w:rPr>
          <w:rFonts w:eastAsia="Times New Roman"/>
          <w:sz w:val="20"/>
          <w:szCs w:val="20"/>
        </w:rPr>
        <w:t xml:space="preserve"> E-mail (</w:t>
      </w:r>
      <w:r w:rsidR="00DF0CD0" w:rsidRPr="00DF0CD0">
        <w:rPr>
          <w:rFonts w:eastAsia="Times New Roman"/>
          <w:sz w:val="20"/>
          <w:szCs w:val="20"/>
          <w:lang w:val="pt-BR"/>
        </w:rPr>
        <w:t>AJS</w:t>
      </w:r>
      <w:r>
        <w:rPr>
          <w:rFonts w:eastAsia="Times New Roman"/>
          <w:sz w:val="20"/>
          <w:szCs w:val="20"/>
        </w:rPr>
        <w:t xml:space="preserve">): </w:t>
      </w:r>
      <w:r w:rsidR="00DF0CD0" w:rsidRPr="00DF0CD0">
        <w:rPr>
          <w:rFonts w:eastAsia="Times New Roman"/>
          <w:sz w:val="20"/>
          <w:szCs w:val="20"/>
          <w:lang w:val="pt-BR"/>
        </w:rPr>
        <w:t>a</w:t>
      </w:r>
      <w:r w:rsidR="00DF0CD0">
        <w:rPr>
          <w:rFonts w:eastAsia="Times New Roman"/>
          <w:sz w:val="20"/>
          <w:szCs w:val="20"/>
          <w:lang w:val="pt-BR"/>
        </w:rPr>
        <w:t>.lef93@hotmail.com</w:t>
      </w:r>
    </w:p>
    <w:p w14:paraId="22C38814" w14:textId="77777777" w:rsidR="00E57622" w:rsidRDefault="00DF0CD0" w:rsidP="009549E7">
      <w:pPr>
        <w:spacing w:line="240" w:lineRule="auto"/>
        <w:jc w:val="center"/>
        <w:rPr>
          <w:sz w:val="20"/>
          <w:szCs w:val="20"/>
        </w:rPr>
      </w:pPr>
      <w:r w:rsidRPr="00DF0CD0">
        <w:rPr>
          <w:rFonts w:eastAsia="Times New Roman"/>
          <w:sz w:val="20"/>
          <w:szCs w:val="20"/>
          <w:vertAlign w:val="superscript"/>
          <w:lang w:val="pt-BR"/>
        </w:rPr>
        <w:t>2</w:t>
      </w:r>
      <w:r w:rsidR="00E57622">
        <w:rPr>
          <w:rFonts w:eastAsia="Times New Roman"/>
          <w:sz w:val="20"/>
          <w:szCs w:val="20"/>
        </w:rPr>
        <w:t xml:space="preserve"> Universidade Federal </w:t>
      </w:r>
      <w:r w:rsidR="009549E7" w:rsidRPr="009549E7">
        <w:rPr>
          <w:rFonts w:eastAsia="Times New Roman"/>
          <w:sz w:val="20"/>
          <w:szCs w:val="20"/>
          <w:lang w:val="pt-BR"/>
        </w:rPr>
        <w:t xml:space="preserve">Rural </w:t>
      </w:r>
      <w:r w:rsidR="00E57622">
        <w:rPr>
          <w:rFonts w:eastAsia="Times New Roman"/>
          <w:sz w:val="20"/>
          <w:szCs w:val="20"/>
        </w:rPr>
        <w:t xml:space="preserve">de </w:t>
      </w:r>
      <w:r w:rsidR="00E57622">
        <w:rPr>
          <w:rFonts w:eastAsia="Times New Roman"/>
          <w:sz w:val="20"/>
          <w:szCs w:val="20"/>
          <w:lang w:val="pt-BR"/>
        </w:rPr>
        <w:t xml:space="preserve">Pernambuco </w:t>
      </w:r>
      <w:r w:rsidR="00E57622">
        <w:rPr>
          <w:rFonts w:eastAsia="Times New Roman"/>
          <w:sz w:val="20"/>
          <w:szCs w:val="20"/>
        </w:rPr>
        <w:t>(</w:t>
      </w:r>
      <w:r w:rsidR="006D2983">
        <w:rPr>
          <w:rFonts w:eastAsia="Times New Roman"/>
          <w:sz w:val="20"/>
          <w:szCs w:val="20"/>
          <w:lang w:val="pt-BR"/>
        </w:rPr>
        <w:t>UFRPE</w:t>
      </w:r>
      <w:r w:rsidR="00E57622">
        <w:rPr>
          <w:rFonts w:eastAsia="Times New Roman"/>
          <w:sz w:val="20"/>
          <w:szCs w:val="20"/>
        </w:rPr>
        <w:t xml:space="preserve">), </w:t>
      </w:r>
      <w:r w:rsidR="00E57622">
        <w:rPr>
          <w:rFonts w:eastAsia="Times New Roman"/>
          <w:iCs/>
          <w:sz w:val="20"/>
          <w:szCs w:val="20"/>
        </w:rPr>
        <w:t xml:space="preserve">Campus </w:t>
      </w:r>
      <w:r w:rsidR="00E57622">
        <w:rPr>
          <w:rFonts w:eastAsia="Times New Roman"/>
          <w:iCs/>
          <w:sz w:val="20"/>
          <w:szCs w:val="20"/>
          <w:lang w:val="pt-BR"/>
        </w:rPr>
        <w:t>Recife</w:t>
      </w:r>
      <w:r w:rsidR="00E57622">
        <w:rPr>
          <w:rFonts w:eastAsia="Times New Roman"/>
          <w:iCs/>
          <w:sz w:val="20"/>
          <w:szCs w:val="20"/>
        </w:rPr>
        <w:t>.</w:t>
      </w:r>
      <w:r w:rsidR="00E57622">
        <w:rPr>
          <w:rFonts w:eastAsia="Times New Roman"/>
          <w:sz w:val="20"/>
          <w:szCs w:val="20"/>
        </w:rPr>
        <w:t xml:space="preserve"> E-mail (</w:t>
      </w:r>
      <w:r w:rsidR="00611960" w:rsidRPr="006D2983">
        <w:rPr>
          <w:rFonts w:eastAsia="Times New Roman"/>
          <w:sz w:val="20"/>
          <w:szCs w:val="20"/>
          <w:lang w:val="pt-BR"/>
        </w:rPr>
        <w:t>MMJ</w:t>
      </w:r>
      <w:r w:rsidR="00E57622">
        <w:rPr>
          <w:rFonts w:eastAsia="Times New Roman"/>
          <w:sz w:val="20"/>
          <w:szCs w:val="20"/>
        </w:rPr>
        <w:t xml:space="preserve">): </w:t>
      </w:r>
      <w:r w:rsidR="009549E7" w:rsidRPr="00611960">
        <w:rPr>
          <w:sz w:val="20"/>
          <w:szCs w:val="20"/>
        </w:rPr>
        <w:t>mauro.melojr@ufrpe.br</w:t>
      </w:r>
    </w:p>
    <w:p w14:paraId="42482CCD" w14:textId="77777777" w:rsidR="009549E7" w:rsidRPr="009549E7" w:rsidRDefault="009549E7" w:rsidP="009549E7">
      <w:pPr>
        <w:spacing w:line="240" w:lineRule="auto"/>
        <w:jc w:val="center"/>
        <w:rPr>
          <w:rFonts w:eastAsia="Times New Roman"/>
          <w:sz w:val="20"/>
          <w:szCs w:val="20"/>
          <w:lang w:val="pt-BR" w:eastAsia="zh-CN"/>
        </w:rPr>
      </w:pPr>
      <w:r>
        <w:rPr>
          <w:rFonts w:eastAsia="Times New Roman"/>
          <w:sz w:val="20"/>
          <w:szCs w:val="20"/>
        </w:rPr>
        <w:t xml:space="preserve">¹ </w:t>
      </w:r>
      <w:r w:rsidRPr="00E57622">
        <w:rPr>
          <w:rFonts w:eastAsia="Times New Roman"/>
          <w:sz w:val="20"/>
          <w:szCs w:val="20"/>
          <w:lang w:val="pt-BR"/>
        </w:rPr>
        <w:t>Universidade Federal de São Carlos</w:t>
      </w:r>
      <w:r>
        <w:rPr>
          <w:rFonts w:eastAsia="Times New Roman"/>
          <w:sz w:val="20"/>
          <w:szCs w:val="20"/>
          <w:lang w:val="pt-BR"/>
        </w:rPr>
        <w:t xml:space="preserve"> </w:t>
      </w:r>
      <w:r>
        <w:rPr>
          <w:rFonts w:eastAsia="Times New Roman"/>
          <w:sz w:val="20"/>
          <w:szCs w:val="20"/>
        </w:rPr>
        <w:t>(</w:t>
      </w:r>
      <w:r w:rsidR="006D2983">
        <w:rPr>
          <w:rFonts w:eastAsia="Times New Roman"/>
          <w:sz w:val="20"/>
          <w:szCs w:val="20"/>
          <w:lang w:val="pt-BR"/>
        </w:rPr>
        <w:t>UFSCar</w:t>
      </w:r>
      <w:r>
        <w:rPr>
          <w:rFonts w:eastAsia="Times New Roman"/>
          <w:sz w:val="20"/>
          <w:szCs w:val="20"/>
        </w:rPr>
        <w:t xml:space="preserve">), </w:t>
      </w:r>
      <w:r>
        <w:rPr>
          <w:rFonts w:eastAsia="Times New Roman"/>
          <w:iCs/>
          <w:sz w:val="20"/>
          <w:szCs w:val="20"/>
        </w:rPr>
        <w:t xml:space="preserve">Campus </w:t>
      </w:r>
      <w:r w:rsidRPr="00DF0CD0">
        <w:rPr>
          <w:rFonts w:eastAsia="Times New Roman"/>
          <w:iCs/>
          <w:sz w:val="20"/>
          <w:szCs w:val="20"/>
          <w:lang w:val="pt-BR"/>
        </w:rPr>
        <w:t>São Carlos</w:t>
      </w:r>
      <w:r>
        <w:rPr>
          <w:rFonts w:eastAsia="Times New Roman"/>
          <w:iCs/>
          <w:sz w:val="20"/>
          <w:szCs w:val="20"/>
        </w:rPr>
        <w:t>.</w:t>
      </w:r>
      <w:r>
        <w:rPr>
          <w:rFonts w:eastAsia="Times New Roman"/>
          <w:sz w:val="20"/>
          <w:szCs w:val="20"/>
        </w:rPr>
        <w:t xml:space="preserve"> E-mail (</w:t>
      </w:r>
      <w:r w:rsidR="00611960">
        <w:rPr>
          <w:rFonts w:eastAsia="Times New Roman"/>
          <w:sz w:val="20"/>
          <w:szCs w:val="20"/>
          <w:lang w:val="pt-BR"/>
        </w:rPr>
        <w:t>FAS</w:t>
      </w:r>
      <w:r>
        <w:rPr>
          <w:rFonts w:eastAsia="Times New Roman"/>
          <w:sz w:val="20"/>
          <w:szCs w:val="20"/>
        </w:rPr>
        <w:t xml:space="preserve">): </w:t>
      </w:r>
      <w:r w:rsidRPr="000E4B04">
        <w:rPr>
          <w:sz w:val="20"/>
          <w:szCs w:val="20"/>
        </w:rPr>
        <w:t>felipe_ozzy19@hotmail.com</w:t>
      </w:r>
    </w:p>
    <w:p w14:paraId="65EB7D87" w14:textId="77777777" w:rsidR="00E57622" w:rsidRDefault="009549E7" w:rsidP="009549E7">
      <w:pPr>
        <w:spacing w:line="240" w:lineRule="auto"/>
        <w:jc w:val="center"/>
        <w:rPr>
          <w:rFonts w:eastAsia="Times New Roman"/>
          <w:sz w:val="20"/>
          <w:szCs w:val="20"/>
          <w:lang w:eastAsia="zh-CN"/>
        </w:rPr>
      </w:pPr>
      <w:r w:rsidRPr="009549E7">
        <w:rPr>
          <w:rFonts w:eastAsia="Times New Roman"/>
          <w:sz w:val="20"/>
          <w:szCs w:val="20"/>
          <w:vertAlign w:val="superscript"/>
          <w:lang w:val="pt-BR"/>
        </w:rPr>
        <w:t>3</w:t>
      </w:r>
      <w:r w:rsidR="00E57622">
        <w:rPr>
          <w:rFonts w:eastAsia="Times New Roman"/>
          <w:sz w:val="20"/>
          <w:szCs w:val="20"/>
        </w:rPr>
        <w:t xml:space="preserve"> Universidade Federal de </w:t>
      </w:r>
      <w:r w:rsidR="00E57622">
        <w:rPr>
          <w:rFonts w:eastAsia="Times New Roman"/>
          <w:sz w:val="20"/>
          <w:szCs w:val="20"/>
          <w:lang w:val="pt-BR"/>
        </w:rPr>
        <w:t xml:space="preserve">Pernambuco </w:t>
      </w:r>
      <w:r w:rsidR="00E57622">
        <w:rPr>
          <w:rFonts w:eastAsia="Times New Roman"/>
          <w:sz w:val="20"/>
          <w:szCs w:val="20"/>
        </w:rPr>
        <w:t>(</w:t>
      </w:r>
      <w:r w:rsidR="00E57622">
        <w:rPr>
          <w:rFonts w:eastAsia="Times New Roman"/>
          <w:sz w:val="20"/>
          <w:szCs w:val="20"/>
          <w:lang w:val="pt-BR"/>
        </w:rPr>
        <w:t>UFPE</w:t>
      </w:r>
      <w:r w:rsidR="00E57622">
        <w:rPr>
          <w:rFonts w:eastAsia="Times New Roman"/>
          <w:sz w:val="20"/>
          <w:szCs w:val="20"/>
        </w:rPr>
        <w:t xml:space="preserve">), </w:t>
      </w:r>
      <w:r w:rsidR="00E57622">
        <w:rPr>
          <w:rFonts w:eastAsia="Times New Roman"/>
          <w:iCs/>
          <w:sz w:val="20"/>
          <w:szCs w:val="20"/>
        </w:rPr>
        <w:t xml:space="preserve">Campus </w:t>
      </w:r>
      <w:r w:rsidR="00E57622">
        <w:rPr>
          <w:rFonts w:eastAsia="Times New Roman"/>
          <w:iCs/>
          <w:sz w:val="20"/>
          <w:szCs w:val="20"/>
          <w:lang w:val="pt-BR"/>
        </w:rPr>
        <w:t>Recife</w:t>
      </w:r>
      <w:r w:rsidR="00E57622">
        <w:rPr>
          <w:rFonts w:eastAsia="Times New Roman"/>
          <w:iCs/>
          <w:sz w:val="20"/>
          <w:szCs w:val="20"/>
        </w:rPr>
        <w:t>.</w:t>
      </w:r>
      <w:r w:rsidR="00E57622">
        <w:rPr>
          <w:rFonts w:eastAsia="Times New Roman"/>
          <w:sz w:val="20"/>
          <w:szCs w:val="20"/>
        </w:rPr>
        <w:t xml:space="preserve"> E-mail (</w:t>
      </w:r>
      <w:r w:rsidR="00611960" w:rsidRPr="00611960">
        <w:rPr>
          <w:rFonts w:eastAsia="Times New Roman"/>
          <w:sz w:val="20"/>
          <w:szCs w:val="20"/>
          <w:lang w:val="pt-BR"/>
        </w:rPr>
        <w:t>PAMCM</w:t>
      </w:r>
      <w:r w:rsidR="00E57622">
        <w:rPr>
          <w:rFonts w:eastAsia="Times New Roman"/>
          <w:sz w:val="20"/>
          <w:szCs w:val="20"/>
        </w:rPr>
        <w:t xml:space="preserve">): </w:t>
      </w:r>
      <w:r w:rsidRPr="000E4B04">
        <w:rPr>
          <w:sz w:val="20"/>
          <w:szCs w:val="20"/>
        </w:rPr>
        <w:t>pedroamcm@gmail.com</w:t>
      </w:r>
    </w:p>
    <w:p w14:paraId="163B81B5" w14:textId="77777777" w:rsidR="00E57622" w:rsidRDefault="002C3AF4" w:rsidP="009549E7">
      <w:pPr>
        <w:spacing w:line="240" w:lineRule="auto"/>
        <w:jc w:val="center"/>
        <w:rPr>
          <w:sz w:val="20"/>
          <w:szCs w:val="20"/>
          <w:lang w:val="pt-BR"/>
        </w:rPr>
      </w:pPr>
      <w:r w:rsidRPr="009549E7">
        <w:rPr>
          <w:rFonts w:eastAsia="Times New Roman"/>
          <w:sz w:val="20"/>
          <w:szCs w:val="20"/>
          <w:vertAlign w:val="superscript"/>
          <w:lang w:val="pt-BR"/>
        </w:rPr>
        <w:t>3</w:t>
      </w:r>
      <w:r w:rsidR="00E57622">
        <w:rPr>
          <w:rFonts w:eastAsia="Times New Roman"/>
          <w:sz w:val="20"/>
          <w:szCs w:val="20"/>
        </w:rPr>
        <w:t xml:space="preserve"> Universidade Federal de </w:t>
      </w:r>
      <w:r w:rsidR="00E57622">
        <w:rPr>
          <w:rFonts w:eastAsia="Times New Roman"/>
          <w:sz w:val="20"/>
          <w:szCs w:val="20"/>
          <w:lang w:val="pt-BR"/>
        </w:rPr>
        <w:t xml:space="preserve">Pernambuco </w:t>
      </w:r>
      <w:r w:rsidR="00E57622">
        <w:rPr>
          <w:rFonts w:eastAsia="Times New Roman"/>
          <w:sz w:val="20"/>
          <w:szCs w:val="20"/>
        </w:rPr>
        <w:t>(</w:t>
      </w:r>
      <w:r w:rsidR="00E57622">
        <w:rPr>
          <w:rFonts w:eastAsia="Times New Roman"/>
          <w:sz w:val="20"/>
          <w:szCs w:val="20"/>
          <w:lang w:val="pt-BR"/>
        </w:rPr>
        <w:t>UFPE</w:t>
      </w:r>
      <w:r w:rsidR="00E57622">
        <w:rPr>
          <w:rFonts w:eastAsia="Times New Roman"/>
          <w:sz w:val="20"/>
          <w:szCs w:val="20"/>
        </w:rPr>
        <w:t xml:space="preserve">), </w:t>
      </w:r>
      <w:r w:rsidR="00E57622">
        <w:rPr>
          <w:rFonts w:eastAsia="Times New Roman"/>
          <w:iCs/>
          <w:sz w:val="20"/>
          <w:szCs w:val="20"/>
        </w:rPr>
        <w:t xml:space="preserve">Campus </w:t>
      </w:r>
      <w:r w:rsidR="00E57622">
        <w:rPr>
          <w:rFonts w:eastAsia="Times New Roman"/>
          <w:iCs/>
          <w:sz w:val="20"/>
          <w:szCs w:val="20"/>
          <w:lang w:val="pt-BR"/>
        </w:rPr>
        <w:t>Recife</w:t>
      </w:r>
      <w:r w:rsidR="00E57622">
        <w:rPr>
          <w:rFonts w:eastAsia="Times New Roman"/>
          <w:iCs/>
          <w:sz w:val="20"/>
          <w:szCs w:val="20"/>
        </w:rPr>
        <w:t>.</w:t>
      </w:r>
      <w:r w:rsidR="00E57622">
        <w:rPr>
          <w:rFonts w:eastAsia="Times New Roman"/>
          <w:sz w:val="20"/>
          <w:szCs w:val="20"/>
        </w:rPr>
        <w:t xml:space="preserve"> E-mail (</w:t>
      </w:r>
      <w:r w:rsidR="00611960" w:rsidRPr="00611960">
        <w:rPr>
          <w:rFonts w:eastAsia="Times New Roman"/>
          <w:sz w:val="20"/>
          <w:szCs w:val="20"/>
          <w:lang w:val="pt-BR"/>
        </w:rPr>
        <w:t>GTY</w:t>
      </w:r>
      <w:r w:rsidR="00E57622">
        <w:rPr>
          <w:rFonts w:eastAsia="Times New Roman"/>
          <w:sz w:val="20"/>
          <w:szCs w:val="20"/>
        </w:rPr>
        <w:t xml:space="preserve">): </w:t>
      </w:r>
      <w:r w:rsidRPr="00611960">
        <w:rPr>
          <w:sz w:val="20"/>
          <w:szCs w:val="20"/>
          <w:lang w:val="pt-BR"/>
        </w:rPr>
        <w:t>gilvan.yogui@ufpe.br</w:t>
      </w:r>
    </w:p>
    <w:p w14:paraId="03EBB22F" w14:textId="77777777" w:rsidR="002C3AF4" w:rsidRPr="002C3AF4" w:rsidRDefault="002C3AF4" w:rsidP="002C3AF4">
      <w:pPr>
        <w:spacing w:line="240" w:lineRule="auto"/>
        <w:jc w:val="center"/>
        <w:rPr>
          <w:rFonts w:eastAsia="Times New Roman"/>
          <w:sz w:val="20"/>
          <w:szCs w:val="20"/>
          <w:lang w:eastAsia="zh-CN"/>
        </w:rPr>
      </w:pPr>
      <w:r w:rsidRPr="009549E7">
        <w:rPr>
          <w:rFonts w:eastAsia="Times New Roman"/>
          <w:sz w:val="20"/>
          <w:szCs w:val="20"/>
          <w:vertAlign w:val="superscript"/>
          <w:lang w:val="pt-BR"/>
        </w:rPr>
        <w:t>3</w:t>
      </w:r>
      <w:r>
        <w:rPr>
          <w:rFonts w:eastAsia="Times New Roman"/>
          <w:sz w:val="20"/>
          <w:szCs w:val="20"/>
        </w:rPr>
        <w:t xml:space="preserve"> Universidade Federal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Cs/>
          <w:sz w:val="20"/>
          <w:szCs w:val="20"/>
        </w:rPr>
        <w:t>.</w:t>
      </w:r>
      <w:r>
        <w:rPr>
          <w:rFonts w:eastAsia="Times New Roman"/>
          <w:sz w:val="20"/>
          <w:szCs w:val="20"/>
        </w:rPr>
        <w:t xml:space="preserve"> E-mail (</w:t>
      </w:r>
      <w:r w:rsidR="00611960" w:rsidRPr="00611960">
        <w:rPr>
          <w:rFonts w:eastAsia="Times New Roman"/>
          <w:sz w:val="20"/>
          <w:szCs w:val="20"/>
          <w:lang w:val="pt-BR"/>
        </w:rPr>
        <w:t>BPF</w:t>
      </w:r>
      <w:r>
        <w:rPr>
          <w:rFonts w:eastAsia="Times New Roman"/>
          <w:sz w:val="20"/>
          <w:szCs w:val="20"/>
        </w:rPr>
        <w:t xml:space="preserve">): </w:t>
      </w:r>
      <w:r w:rsidRPr="000E4B04">
        <w:rPr>
          <w:sz w:val="20"/>
          <w:szCs w:val="20"/>
        </w:rPr>
        <w:t>beatricepadovaniferreira@gmail.com</w:t>
      </w:r>
    </w:p>
    <w:p w14:paraId="041F55BF" w14:textId="77777777" w:rsidR="009549E7" w:rsidRPr="009549E7" w:rsidRDefault="009549E7" w:rsidP="009549E7">
      <w:pPr>
        <w:spacing w:line="240" w:lineRule="auto"/>
        <w:jc w:val="center"/>
        <w:rPr>
          <w:rFonts w:eastAsia="Times New Roman"/>
          <w:sz w:val="20"/>
          <w:szCs w:val="20"/>
          <w:lang w:val="pt-BR" w:eastAsia="zh-CN"/>
        </w:rPr>
      </w:pPr>
      <w:r>
        <w:rPr>
          <w:rFonts w:eastAsia="Times New Roman"/>
          <w:sz w:val="20"/>
          <w:szCs w:val="20"/>
        </w:rPr>
        <w:t xml:space="preserve">¹ </w:t>
      </w:r>
      <w:r w:rsidRPr="00E57622">
        <w:rPr>
          <w:rFonts w:eastAsia="Times New Roman"/>
          <w:sz w:val="20"/>
          <w:szCs w:val="20"/>
          <w:lang w:val="pt-BR"/>
        </w:rPr>
        <w:t>Universidade Federal de São Carlos</w:t>
      </w:r>
      <w:r>
        <w:rPr>
          <w:rFonts w:eastAsia="Times New Roman"/>
          <w:sz w:val="20"/>
          <w:szCs w:val="20"/>
          <w:lang w:val="pt-BR"/>
        </w:rPr>
        <w:t xml:space="preserve"> </w:t>
      </w:r>
      <w:r>
        <w:rPr>
          <w:rFonts w:eastAsia="Times New Roman"/>
          <w:sz w:val="20"/>
          <w:szCs w:val="20"/>
        </w:rPr>
        <w:t>(</w:t>
      </w:r>
      <w:r w:rsidR="006D2983">
        <w:rPr>
          <w:rFonts w:eastAsia="Times New Roman"/>
          <w:sz w:val="20"/>
          <w:szCs w:val="20"/>
          <w:lang w:val="pt-BR"/>
        </w:rPr>
        <w:t>UFSCar</w:t>
      </w:r>
      <w:r>
        <w:rPr>
          <w:rFonts w:eastAsia="Times New Roman"/>
          <w:sz w:val="20"/>
          <w:szCs w:val="20"/>
        </w:rPr>
        <w:t xml:space="preserve">), </w:t>
      </w:r>
      <w:r>
        <w:rPr>
          <w:rFonts w:eastAsia="Times New Roman"/>
          <w:iCs/>
          <w:sz w:val="20"/>
          <w:szCs w:val="20"/>
        </w:rPr>
        <w:t xml:space="preserve">Campus </w:t>
      </w:r>
      <w:r w:rsidRPr="00DF0CD0">
        <w:rPr>
          <w:rFonts w:eastAsia="Times New Roman"/>
          <w:iCs/>
          <w:sz w:val="20"/>
          <w:szCs w:val="20"/>
          <w:lang w:val="pt-BR"/>
        </w:rPr>
        <w:t>São Carlos</w:t>
      </w:r>
      <w:r>
        <w:rPr>
          <w:rFonts w:eastAsia="Times New Roman"/>
          <w:iCs/>
          <w:sz w:val="20"/>
          <w:szCs w:val="20"/>
        </w:rPr>
        <w:t>.</w:t>
      </w:r>
      <w:r>
        <w:rPr>
          <w:rFonts w:eastAsia="Times New Roman"/>
          <w:sz w:val="20"/>
          <w:szCs w:val="20"/>
        </w:rPr>
        <w:t xml:space="preserve"> E-mail (</w:t>
      </w:r>
      <w:r w:rsidR="00611960">
        <w:rPr>
          <w:rFonts w:eastAsia="Times New Roman"/>
          <w:sz w:val="20"/>
          <w:szCs w:val="20"/>
          <w:lang w:val="pt-BR"/>
        </w:rPr>
        <w:t>MGGM</w:t>
      </w:r>
      <w:r>
        <w:rPr>
          <w:rFonts w:eastAsia="Times New Roman"/>
          <w:sz w:val="20"/>
          <w:szCs w:val="20"/>
        </w:rPr>
        <w:t xml:space="preserve">): </w:t>
      </w:r>
      <w:r w:rsidR="001E1890" w:rsidRPr="000E4B04">
        <w:rPr>
          <w:sz w:val="20"/>
          <w:szCs w:val="20"/>
        </w:rPr>
        <w:t>dmgm@ufscar.br</w:t>
      </w:r>
    </w:p>
    <w:p w14:paraId="41293B5B" w14:textId="77777777" w:rsidR="00B555C8" w:rsidRDefault="00B555C8">
      <w:pPr>
        <w:spacing w:line="240" w:lineRule="auto"/>
        <w:rPr>
          <w:rFonts w:eastAsia="Times New Roman"/>
          <w:b/>
          <w:sz w:val="20"/>
          <w:szCs w:val="20"/>
        </w:rPr>
      </w:pPr>
    </w:p>
    <w:p w14:paraId="65D6EA06" w14:textId="77777777" w:rsidR="00B555C8" w:rsidRDefault="00321F99">
      <w:pPr>
        <w:spacing w:line="240" w:lineRule="auto"/>
        <w:rPr>
          <w:rFonts w:eastAsia="Times New Roman"/>
          <w:b/>
          <w:sz w:val="20"/>
          <w:szCs w:val="20"/>
        </w:rPr>
      </w:pPr>
      <w:r>
        <w:rPr>
          <w:rFonts w:eastAsia="Times New Roman"/>
          <w:b/>
          <w:sz w:val="20"/>
          <w:szCs w:val="20"/>
        </w:rPr>
        <w:t>INTRODUÇÃO</w:t>
      </w:r>
    </w:p>
    <w:p w14:paraId="717500CE" w14:textId="63675CFD" w:rsidR="00DB1EDC" w:rsidRPr="005C2878" w:rsidRDefault="00DB1EDC" w:rsidP="00DB1EDC">
      <w:pPr>
        <w:spacing w:line="240" w:lineRule="auto"/>
        <w:ind w:firstLine="720"/>
        <w:jc w:val="both"/>
        <w:rPr>
          <w:sz w:val="20"/>
          <w:szCs w:val="20"/>
          <w:lang w:eastAsia="zh-CN"/>
        </w:rPr>
      </w:pPr>
      <w:r w:rsidRPr="00DB1EDC">
        <w:rPr>
          <w:sz w:val="20"/>
          <w:szCs w:val="20"/>
          <w:lang w:val="pt-BR"/>
        </w:rPr>
        <w:t>Eventos de derramamentos de óleo podem resultar em impactos para os organismos dos primeiros níveis da cadeia alimentar devido à exposição aos compostos tóxicos deste material (Sun et al., 2018). Considerados altamente tóxicos para a biota, os hidrocarbonetos policíclicos aromáticos (</w:t>
      </w:r>
      <w:proofErr w:type="spellStart"/>
      <w:r w:rsidRPr="00DB1EDC">
        <w:rPr>
          <w:sz w:val="20"/>
          <w:szCs w:val="20"/>
          <w:lang w:val="pt-BR"/>
        </w:rPr>
        <w:t>HPAs</w:t>
      </w:r>
      <w:proofErr w:type="spellEnd"/>
      <w:r w:rsidRPr="00DB1EDC">
        <w:rPr>
          <w:sz w:val="20"/>
          <w:szCs w:val="20"/>
          <w:lang w:val="pt-BR"/>
        </w:rPr>
        <w:t>) são capazes de causar efeitos negativos nos organismos zooplanctônicos, que desempenham um papel crucial na transferência de energia dos produtores primários para os níveis tróficos superiores (</w:t>
      </w:r>
      <w:proofErr w:type="spellStart"/>
      <w:r w:rsidRPr="00DB1EDC">
        <w:rPr>
          <w:sz w:val="20"/>
          <w:szCs w:val="20"/>
          <w:lang w:val="pt-BR"/>
        </w:rPr>
        <w:t>Almeda</w:t>
      </w:r>
      <w:proofErr w:type="spellEnd"/>
      <w:r w:rsidRPr="00DB1EDC">
        <w:rPr>
          <w:sz w:val="20"/>
          <w:szCs w:val="20"/>
          <w:lang w:val="pt-BR"/>
        </w:rPr>
        <w:t xml:space="preserve"> et al., 2013). Isso resulta no aumento da mortalidade, diminuição na taxa de alimentação e ingestão de organismos expostos aos compostos tóxicos do óleo (Hansen et al., 2017; Williams et al., 2016; </w:t>
      </w:r>
      <w:proofErr w:type="spellStart"/>
      <w:r w:rsidRPr="00DB1EDC">
        <w:rPr>
          <w:sz w:val="20"/>
          <w:szCs w:val="20"/>
          <w:lang w:val="pt-BR"/>
        </w:rPr>
        <w:t>Zheng</w:t>
      </w:r>
      <w:proofErr w:type="spellEnd"/>
      <w:r w:rsidRPr="00DB1EDC">
        <w:rPr>
          <w:sz w:val="20"/>
          <w:szCs w:val="20"/>
          <w:lang w:val="pt-BR"/>
        </w:rPr>
        <w:t xml:space="preserve"> et al., 2017). No ambiente natural, foi demonstrada a ingestão de óleo pelo zooplâncton e o declínio da estrutura da comunidade após o derramamento de óleo do Atlântico em 2019 (Campelo et al., 2021; De Souza et al., 2023).</w:t>
      </w:r>
    </w:p>
    <w:p w14:paraId="1FC9B207" w14:textId="2C2F2CFE" w:rsidR="00B1255B" w:rsidRDefault="00DB1EDC" w:rsidP="00B1255B">
      <w:pPr>
        <w:spacing w:line="240" w:lineRule="auto"/>
        <w:ind w:firstLine="720"/>
        <w:jc w:val="both"/>
        <w:rPr>
          <w:sz w:val="20"/>
          <w:szCs w:val="20"/>
        </w:rPr>
      </w:pPr>
      <w:r w:rsidRPr="00DB1EDC">
        <w:rPr>
          <w:sz w:val="20"/>
          <w:szCs w:val="20"/>
        </w:rPr>
        <w:t>Este estudo teve como objetivo avaliar os efeitos tóxicos dos compostos (HPAs) de um óleo derramado no Atlântico Sul, que chegou aos ecossistemas costeiros do Brasil, sobre a sobrevivência de um consumidor primário zooplanctônico (</w:t>
      </w:r>
      <w:r w:rsidRPr="00DB1EDC">
        <w:rPr>
          <w:i/>
          <w:iCs/>
          <w:sz w:val="20"/>
          <w:szCs w:val="20"/>
        </w:rPr>
        <w:t>Brachionus plicatilis</w:t>
      </w:r>
      <w:r w:rsidRPr="00DB1EDC">
        <w:rPr>
          <w:sz w:val="20"/>
          <w:szCs w:val="20"/>
        </w:rPr>
        <w:t xml:space="preserve">). O </w:t>
      </w:r>
      <w:r w:rsidRPr="00DB1EDC">
        <w:rPr>
          <w:i/>
          <w:iCs/>
          <w:sz w:val="20"/>
          <w:szCs w:val="20"/>
        </w:rPr>
        <w:t>B. plicatilis</w:t>
      </w:r>
      <w:r w:rsidRPr="00DB1EDC">
        <w:rPr>
          <w:sz w:val="20"/>
          <w:szCs w:val="20"/>
        </w:rPr>
        <w:t xml:space="preserve"> foi selecionado como espécie modelo devido à sua alta importância ecológica, uma vez que contribui significativamente para a produção secundária de diversos ecossistemas, incluindo aqueles impactados pelo derramamento de 2019 (Eskinazi-Sant’Anna e Tundist, 1996).</w:t>
      </w:r>
    </w:p>
    <w:p w14:paraId="28DDE358" w14:textId="77777777" w:rsidR="00DB1EDC" w:rsidRPr="005C2878" w:rsidRDefault="00DB1EDC" w:rsidP="00B1255B">
      <w:pPr>
        <w:spacing w:line="240" w:lineRule="auto"/>
        <w:ind w:firstLine="720"/>
        <w:jc w:val="both"/>
        <w:rPr>
          <w:rFonts w:eastAsia="Times New Roman"/>
          <w:b/>
          <w:sz w:val="20"/>
          <w:szCs w:val="20"/>
        </w:rPr>
      </w:pPr>
    </w:p>
    <w:p w14:paraId="17BF72C0" w14:textId="77777777" w:rsidR="00B555C8" w:rsidRPr="005C2878" w:rsidRDefault="00321F99">
      <w:pPr>
        <w:spacing w:line="240" w:lineRule="auto"/>
        <w:jc w:val="both"/>
        <w:rPr>
          <w:rFonts w:eastAsia="Times New Roman"/>
          <w:b/>
          <w:sz w:val="20"/>
          <w:szCs w:val="20"/>
          <w:lang w:val="pt-BR"/>
        </w:rPr>
      </w:pPr>
      <w:r w:rsidRPr="005C2878">
        <w:rPr>
          <w:rFonts w:eastAsia="Times New Roman"/>
          <w:b/>
          <w:sz w:val="20"/>
          <w:szCs w:val="20"/>
        </w:rPr>
        <w:t>MATERIAL E MÉTODOS</w:t>
      </w:r>
    </w:p>
    <w:p w14:paraId="2E2AAC10" w14:textId="1EF9BC36" w:rsidR="00B555C8" w:rsidRDefault="007F28CD" w:rsidP="007F28CD">
      <w:pPr>
        <w:spacing w:line="240" w:lineRule="auto"/>
        <w:ind w:firstLine="720"/>
        <w:jc w:val="both"/>
        <w:rPr>
          <w:sz w:val="20"/>
          <w:szCs w:val="20"/>
          <w:lang w:val="pt-BR"/>
        </w:rPr>
      </w:pPr>
      <w:r w:rsidRPr="007F28CD">
        <w:rPr>
          <w:sz w:val="20"/>
          <w:szCs w:val="20"/>
          <w:lang w:val="pt-BR"/>
        </w:rPr>
        <w:t xml:space="preserve">Para avaliar os efeitos dos </w:t>
      </w:r>
      <w:proofErr w:type="spellStart"/>
      <w:r w:rsidRPr="007F28CD">
        <w:rPr>
          <w:sz w:val="20"/>
          <w:szCs w:val="20"/>
          <w:lang w:val="pt-BR"/>
        </w:rPr>
        <w:t>HPAs</w:t>
      </w:r>
      <w:proofErr w:type="spellEnd"/>
      <w:r w:rsidRPr="007F28CD">
        <w:rPr>
          <w:sz w:val="20"/>
          <w:szCs w:val="20"/>
          <w:lang w:val="pt-BR"/>
        </w:rPr>
        <w:t xml:space="preserve"> sobre a sobrevivência do </w:t>
      </w:r>
      <w:r w:rsidRPr="007F28CD">
        <w:rPr>
          <w:i/>
          <w:iCs/>
          <w:sz w:val="20"/>
          <w:szCs w:val="20"/>
          <w:lang w:val="pt-BR"/>
        </w:rPr>
        <w:t xml:space="preserve">B. </w:t>
      </w:r>
      <w:proofErr w:type="spellStart"/>
      <w:r w:rsidRPr="007F28CD">
        <w:rPr>
          <w:i/>
          <w:iCs/>
          <w:sz w:val="20"/>
          <w:szCs w:val="20"/>
          <w:lang w:val="pt-BR"/>
        </w:rPr>
        <w:t>plicatilis</w:t>
      </w:r>
      <w:proofErr w:type="spellEnd"/>
      <w:r w:rsidRPr="007F28CD">
        <w:rPr>
          <w:sz w:val="20"/>
          <w:szCs w:val="20"/>
          <w:lang w:val="pt-BR"/>
        </w:rPr>
        <w:t xml:space="preserve">, foi conduzido um experimento de exposição, conforme sugerido anteriormente (ASTM, 1991) e adaptado para um período de exposição mais prolongado (72 horas), conforme previamente realizado (Snell et al., 1991). O experimento foi conduzido nas mesmas condições de cultivo, com base nas características naturais dos ambientes afetados (Campelo et al., 2019; Santos et al., 2017; Silva et al., 2020). Em resumo, o teste consistiu na exposição do </w:t>
      </w:r>
      <w:r w:rsidRPr="007F28CD">
        <w:rPr>
          <w:i/>
          <w:iCs/>
          <w:sz w:val="20"/>
          <w:szCs w:val="20"/>
          <w:lang w:val="pt-BR"/>
        </w:rPr>
        <w:t xml:space="preserve">B. </w:t>
      </w:r>
      <w:proofErr w:type="spellStart"/>
      <w:r w:rsidRPr="007F28CD">
        <w:rPr>
          <w:i/>
          <w:iCs/>
          <w:sz w:val="20"/>
          <w:szCs w:val="20"/>
          <w:lang w:val="pt-BR"/>
        </w:rPr>
        <w:t>plicatilis</w:t>
      </w:r>
      <w:proofErr w:type="spellEnd"/>
      <w:r w:rsidRPr="007F28CD">
        <w:rPr>
          <w:sz w:val="20"/>
          <w:szCs w:val="20"/>
          <w:lang w:val="pt-BR"/>
        </w:rPr>
        <w:t xml:space="preserve"> a diferentes concentrações de </w:t>
      </w:r>
      <w:proofErr w:type="spellStart"/>
      <w:r w:rsidRPr="007F28CD">
        <w:rPr>
          <w:sz w:val="20"/>
          <w:szCs w:val="20"/>
          <w:lang w:val="pt-BR"/>
        </w:rPr>
        <w:t>HPAs</w:t>
      </w:r>
      <w:proofErr w:type="spellEnd"/>
      <w:r w:rsidRPr="007F28CD">
        <w:rPr>
          <w:sz w:val="20"/>
          <w:szCs w:val="20"/>
          <w:lang w:val="pt-BR"/>
        </w:rPr>
        <w:t xml:space="preserve">, obtidas a partir do óleo derramado no Atlântico em 2019, que alcançou a região costeira do Brasil. O teste incluiu cinco tratamentos com concentrações de </w:t>
      </w:r>
      <w:proofErr w:type="spellStart"/>
      <w:r w:rsidRPr="007F28CD">
        <w:rPr>
          <w:sz w:val="20"/>
          <w:szCs w:val="20"/>
          <w:lang w:val="pt-BR"/>
        </w:rPr>
        <w:t>HPAs</w:t>
      </w:r>
      <w:proofErr w:type="spellEnd"/>
      <w:r w:rsidRPr="007F28CD">
        <w:rPr>
          <w:sz w:val="20"/>
          <w:szCs w:val="20"/>
          <w:lang w:val="pt-BR"/>
        </w:rPr>
        <w:t xml:space="preserve"> (248, 496, 992, 1984 e 3968 </w:t>
      </w:r>
      <w:proofErr w:type="spellStart"/>
      <w:r w:rsidRPr="007F28CD">
        <w:rPr>
          <w:sz w:val="20"/>
          <w:szCs w:val="20"/>
          <w:lang w:val="pt-BR"/>
        </w:rPr>
        <w:t>ng</w:t>
      </w:r>
      <w:proofErr w:type="spellEnd"/>
      <w:r w:rsidRPr="007F28CD">
        <w:rPr>
          <w:sz w:val="20"/>
          <w:szCs w:val="20"/>
          <w:lang w:val="pt-BR"/>
        </w:rPr>
        <w:t xml:space="preserve"> L-1), além de um tratamento controle sem </w:t>
      </w:r>
      <w:proofErr w:type="spellStart"/>
      <w:r w:rsidRPr="007F28CD">
        <w:rPr>
          <w:sz w:val="20"/>
          <w:szCs w:val="20"/>
          <w:lang w:val="pt-BR"/>
        </w:rPr>
        <w:t>HPAs</w:t>
      </w:r>
      <w:proofErr w:type="spellEnd"/>
      <w:r w:rsidRPr="007F28CD">
        <w:rPr>
          <w:sz w:val="20"/>
          <w:szCs w:val="20"/>
          <w:lang w:val="pt-BR"/>
        </w:rPr>
        <w:t xml:space="preserve">, cada um com quatro réplicas. Os recipientes foram enriquecidos com nutrientes e vitaminas nas concentrações do meio F/2 para garantir as condições ideais para o </w:t>
      </w:r>
      <w:r w:rsidRPr="007F28CD">
        <w:rPr>
          <w:i/>
          <w:iCs/>
          <w:sz w:val="20"/>
          <w:szCs w:val="20"/>
          <w:lang w:val="pt-BR"/>
        </w:rPr>
        <w:t xml:space="preserve">B. </w:t>
      </w:r>
      <w:proofErr w:type="spellStart"/>
      <w:r w:rsidRPr="007F28CD">
        <w:rPr>
          <w:i/>
          <w:iCs/>
          <w:sz w:val="20"/>
          <w:szCs w:val="20"/>
          <w:lang w:val="pt-BR"/>
        </w:rPr>
        <w:t>plicatilis</w:t>
      </w:r>
      <w:proofErr w:type="spellEnd"/>
      <w:r w:rsidRPr="007F28CD">
        <w:rPr>
          <w:sz w:val="20"/>
          <w:szCs w:val="20"/>
          <w:lang w:val="pt-BR"/>
        </w:rPr>
        <w:t xml:space="preserve">. Cada recipiente de teste, com capacidade de 7 </w:t>
      </w:r>
      <w:proofErr w:type="spellStart"/>
      <w:r w:rsidRPr="007F28CD">
        <w:rPr>
          <w:sz w:val="20"/>
          <w:szCs w:val="20"/>
          <w:lang w:val="pt-BR"/>
        </w:rPr>
        <w:t>mL</w:t>
      </w:r>
      <w:proofErr w:type="spellEnd"/>
      <w:r w:rsidRPr="007F28CD">
        <w:rPr>
          <w:sz w:val="20"/>
          <w:szCs w:val="20"/>
          <w:lang w:val="pt-BR"/>
        </w:rPr>
        <w:t xml:space="preserve">, recebeu 4 </w:t>
      </w:r>
      <w:proofErr w:type="spellStart"/>
      <w:r w:rsidRPr="007F28CD">
        <w:rPr>
          <w:sz w:val="20"/>
          <w:szCs w:val="20"/>
          <w:lang w:val="pt-BR"/>
        </w:rPr>
        <w:t>mL</w:t>
      </w:r>
      <w:proofErr w:type="spellEnd"/>
      <w:r w:rsidRPr="007F28CD">
        <w:rPr>
          <w:sz w:val="20"/>
          <w:szCs w:val="20"/>
          <w:lang w:val="pt-BR"/>
        </w:rPr>
        <w:t xml:space="preserve"> da solução teste e 10 rotíferos recém-</w:t>
      </w:r>
      <w:r w:rsidRPr="007F28CD">
        <w:rPr>
          <w:sz w:val="20"/>
          <w:szCs w:val="20"/>
          <w:lang w:val="pt-BR"/>
        </w:rPr>
        <w:lastRenderedPageBreak/>
        <w:t xml:space="preserve">nascidos (&lt;4 horas). A mortalidade foi monitorada após 72 horas, considerando-se como mortos os indivíduos que não apresentavam mobilidade corporal ou de suas partes (por exemplo, </w:t>
      </w:r>
      <w:proofErr w:type="spellStart"/>
      <w:r w:rsidRPr="007F28CD">
        <w:rPr>
          <w:sz w:val="20"/>
          <w:szCs w:val="20"/>
          <w:lang w:val="pt-BR"/>
        </w:rPr>
        <w:t>mastax</w:t>
      </w:r>
      <w:proofErr w:type="spellEnd"/>
      <w:r w:rsidRPr="007F28CD">
        <w:rPr>
          <w:sz w:val="20"/>
          <w:szCs w:val="20"/>
          <w:lang w:val="pt-BR"/>
        </w:rPr>
        <w:t>) por 5 segundos.</w:t>
      </w:r>
    </w:p>
    <w:p w14:paraId="6DB6203B" w14:textId="77777777" w:rsidR="007F28CD" w:rsidRPr="005C2878" w:rsidRDefault="007F28CD">
      <w:pPr>
        <w:spacing w:line="240" w:lineRule="auto"/>
        <w:jc w:val="both"/>
        <w:rPr>
          <w:rFonts w:eastAsia="Times New Roman"/>
          <w:b/>
          <w:sz w:val="20"/>
          <w:szCs w:val="20"/>
        </w:rPr>
      </w:pPr>
    </w:p>
    <w:p w14:paraId="3617B552" w14:textId="77777777" w:rsidR="00B555C8" w:rsidRPr="005C2878" w:rsidRDefault="00321F99">
      <w:pPr>
        <w:spacing w:line="240" w:lineRule="auto"/>
        <w:jc w:val="both"/>
        <w:rPr>
          <w:rFonts w:eastAsia="Times New Roman"/>
          <w:b/>
          <w:sz w:val="20"/>
          <w:szCs w:val="20"/>
        </w:rPr>
      </w:pPr>
      <w:r w:rsidRPr="005C2878">
        <w:rPr>
          <w:rFonts w:eastAsia="Times New Roman"/>
          <w:b/>
          <w:sz w:val="20"/>
          <w:szCs w:val="20"/>
        </w:rPr>
        <w:t>RESULTADOS E DISCUSSÃO</w:t>
      </w:r>
    </w:p>
    <w:p w14:paraId="325C3A33" w14:textId="196F7418" w:rsidR="00845ADB" w:rsidRPr="007C33CB" w:rsidRDefault="007F52AA" w:rsidP="007F52AA">
      <w:pPr>
        <w:spacing w:line="240" w:lineRule="auto"/>
        <w:ind w:firstLine="708"/>
        <w:jc w:val="both"/>
        <w:rPr>
          <w:sz w:val="20"/>
          <w:szCs w:val="20"/>
        </w:rPr>
      </w:pPr>
      <w:r w:rsidRPr="007F52AA">
        <w:rPr>
          <w:sz w:val="20"/>
          <w:szCs w:val="20"/>
        </w:rPr>
        <w:t>Ao final do período de teste (74 horas), apenas o tratamento com 248 ng L-1 de HPAs não apresentou diferença significativa em relação ao tratamento controle (controle = 18,3 ± 10,3%, 248 ng L-1 = 28,3 ± 18,0%)</w:t>
      </w:r>
      <w:r>
        <w:rPr>
          <w:sz w:val="20"/>
          <w:szCs w:val="20"/>
          <w:lang w:val="pt-BR"/>
        </w:rPr>
        <w:t>.</w:t>
      </w:r>
      <w:r w:rsidRPr="007F52AA">
        <w:rPr>
          <w:sz w:val="20"/>
          <w:szCs w:val="20"/>
        </w:rPr>
        <w:t xml:space="preserve"> </w:t>
      </w:r>
      <w:r>
        <w:rPr>
          <w:sz w:val="20"/>
          <w:szCs w:val="20"/>
          <w:lang w:val="pt-BR"/>
        </w:rPr>
        <w:t>E</w:t>
      </w:r>
      <w:r w:rsidRPr="007F52AA">
        <w:rPr>
          <w:sz w:val="20"/>
          <w:szCs w:val="20"/>
        </w:rPr>
        <w:t xml:space="preserve">nquanto isso, as concentrações de 496, 992, 1984 e 3968 demonstraram níveis mais elevados de mortalidade (50 ± 16,0%, 73,3 ± 13,0%, 86,7 ± 17,8%, 91,7 ± 10,3%, respectivamente; Kruskal-Wallis/Dunn, p &lt; 0,05). Esses resultados estão em concordância com uma revisão recente que destacou o risco da poluição por óleo para a saúde do </w:t>
      </w:r>
      <w:r w:rsidRPr="007F52AA">
        <w:rPr>
          <w:i/>
          <w:iCs/>
          <w:sz w:val="20"/>
          <w:szCs w:val="20"/>
        </w:rPr>
        <w:t>B. plicatilis</w:t>
      </w:r>
      <w:r w:rsidRPr="007F52AA">
        <w:rPr>
          <w:sz w:val="20"/>
          <w:szCs w:val="20"/>
        </w:rPr>
        <w:t xml:space="preserve"> (Li et al., 2020).</w:t>
      </w:r>
      <w:r w:rsidRPr="007F52AA">
        <w:rPr>
          <w:sz w:val="20"/>
          <w:szCs w:val="20"/>
          <w:lang w:val="pt-BR"/>
        </w:rPr>
        <w:t xml:space="preserve"> </w:t>
      </w:r>
      <w:r w:rsidRPr="007F52AA">
        <w:rPr>
          <w:sz w:val="20"/>
          <w:szCs w:val="20"/>
        </w:rPr>
        <w:t xml:space="preserve">Além disso, já foi demonstrado em outros invertebrados que esses compostos podem causar efeitos narcóticos (Lotufo, 1997) e neurotóxicos, afetando negativamente a atividade de neurotransmissores (Hansen et al., 2017). O modelo dose-resposta confirmou a relação entre o aumento das concentrações de HPAs e o aumento da mortalidade do Rotífero </w:t>
      </w:r>
      <w:r w:rsidRPr="007F52AA">
        <w:rPr>
          <w:i/>
          <w:iCs/>
          <w:sz w:val="20"/>
          <w:szCs w:val="20"/>
        </w:rPr>
        <w:t>B. plicatilis</w:t>
      </w:r>
      <w:r w:rsidRPr="007F52AA">
        <w:rPr>
          <w:sz w:val="20"/>
          <w:szCs w:val="20"/>
        </w:rPr>
        <w:t>. A concentração letal para causar a mortalidade de metade da população (CL50) foi de 456 ng L-1 (Figura 1). Rico-Martínez et al. (2013) também observaram uma relação semelhante entre o aumento da mortalidade e o aumento das concentrações de compostos do óleo.</w:t>
      </w:r>
    </w:p>
    <w:p w14:paraId="173174CC" w14:textId="77777777" w:rsidR="00B555C8" w:rsidRPr="005C2878" w:rsidRDefault="003A6E8E">
      <w:pPr>
        <w:spacing w:line="240" w:lineRule="auto"/>
        <w:ind w:firstLine="567"/>
        <w:jc w:val="center"/>
        <w:rPr>
          <w:rFonts w:eastAsia="Times New Roman"/>
          <w:b/>
          <w:sz w:val="20"/>
          <w:szCs w:val="20"/>
          <w:lang w:val="pt-BR"/>
        </w:rPr>
      </w:pPr>
      <w:r w:rsidRPr="007C33CB">
        <w:rPr>
          <w:noProof/>
          <w:sz w:val="20"/>
          <w:szCs w:val="20"/>
        </w:rPr>
        <w:drawing>
          <wp:inline distT="0" distB="0" distL="0" distR="0" wp14:anchorId="341E489D" wp14:editId="08D48BA6">
            <wp:extent cx="3373755" cy="2487930"/>
            <wp:effectExtent l="0" t="0" r="0" b="0"/>
            <wp:docPr id="1" name="Image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9"/>
                    <pic:cNvPicPr>
                      <a:picLocks/>
                    </pic:cNvPicPr>
                  </pic:nvPicPr>
                  <pic:blipFill>
                    <a:blip r:embed="rId7">
                      <a:extLst>
                        <a:ext uri="{28A0092B-C50C-407E-A947-70E740481C1C}">
                          <a14:useLocalDpi xmlns:a14="http://schemas.microsoft.com/office/drawing/2010/main" val="0"/>
                        </a:ext>
                      </a:extLst>
                    </a:blip>
                    <a:srcRect t="3090"/>
                    <a:stretch>
                      <a:fillRect/>
                    </a:stretch>
                  </pic:blipFill>
                  <pic:spPr bwMode="auto">
                    <a:xfrm>
                      <a:off x="0" y="0"/>
                      <a:ext cx="3373755" cy="2487930"/>
                    </a:xfrm>
                    <a:prstGeom prst="rect">
                      <a:avLst/>
                    </a:prstGeom>
                    <a:noFill/>
                    <a:ln>
                      <a:noFill/>
                    </a:ln>
                  </pic:spPr>
                </pic:pic>
              </a:graphicData>
            </a:graphic>
          </wp:inline>
        </w:drawing>
      </w:r>
    </w:p>
    <w:p w14:paraId="5F5A6769" w14:textId="77777777" w:rsidR="00B555C8" w:rsidRPr="005C2878" w:rsidRDefault="00321F99">
      <w:pPr>
        <w:spacing w:line="240" w:lineRule="auto"/>
        <w:jc w:val="center"/>
        <w:rPr>
          <w:rFonts w:eastAsia="Times New Roman"/>
          <w:sz w:val="20"/>
          <w:szCs w:val="20"/>
        </w:rPr>
      </w:pPr>
      <w:r w:rsidRPr="005C2878">
        <w:rPr>
          <w:rFonts w:eastAsia="Times New Roman"/>
          <w:sz w:val="20"/>
          <w:szCs w:val="20"/>
        </w:rPr>
        <w:t xml:space="preserve">Figura 1. </w:t>
      </w:r>
      <w:r w:rsidR="00845ADB" w:rsidRPr="005C2878">
        <w:rPr>
          <w:sz w:val="20"/>
          <w:szCs w:val="20"/>
        </w:rPr>
        <w:t xml:space="preserve">Curva de dose-resposta parar a mortalidade (%) do Rotifera </w:t>
      </w:r>
      <w:r w:rsidR="00845ADB" w:rsidRPr="005C2878">
        <w:rPr>
          <w:i/>
          <w:iCs/>
          <w:sz w:val="20"/>
          <w:szCs w:val="20"/>
        </w:rPr>
        <w:t xml:space="preserve">B. plicatilis </w:t>
      </w:r>
      <w:r w:rsidR="00845ADB" w:rsidRPr="005C2878">
        <w:rPr>
          <w:sz w:val="20"/>
          <w:szCs w:val="20"/>
        </w:rPr>
        <w:t>exposto durante 72h a diferentes concentrações de HPAs proveniente do óleo derramado no atlântico em 2019.</w:t>
      </w:r>
    </w:p>
    <w:p w14:paraId="2A3E14EB" w14:textId="77777777" w:rsidR="00B555C8" w:rsidRPr="005C2878" w:rsidRDefault="00B555C8">
      <w:pPr>
        <w:spacing w:line="240" w:lineRule="auto"/>
        <w:jc w:val="both"/>
        <w:rPr>
          <w:rFonts w:eastAsia="Times New Roman"/>
          <w:b/>
          <w:sz w:val="20"/>
          <w:szCs w:val="20"/>
        </w:rPr>
      </w:pPr>
    </w:p>
    <w:p w14:paraId="2AB532D2" w14:textId="77777777" w:rsidR="00B555C8" w:rsidRPr="005C2878" w:rsidRDefault="00321F99">
      <w:pPr>
        <w:spacing w:line="240" w:lineRule="auto"/>
        <w:jc w:val="both"/>
        <w:rPr>
          <w:rFonts w:eastAsia="Times New Roman"/>
          <w:b/>
          <w:sz w:val="20"/>
          <w:szCs w:val="20"/>
        </w:rPr>
      </w:pPr>
      <w:r w:rsidRPr="005C2878">
        <w:rPr>
          <w:rFonts w:eastAsia="Times New Roman"/>
          <w:b/>
          <w:sz w:val="20"/>
          <w:szCs w:val="20"/>
        </w:rPr>
        <w:t>CONCLUSÕES</w:t>
      </w:r>
    </w:p>
    <w:p w14:paraId="35BE60F7" w14:textId="77777777" w:rsidR="00FB47A8" w:rsidRDefault="00FB47A8">
      <w:pPr>
        <w:spacing w:line="240" w:lineRule="auto"/>
        <w:ind w:firstLine="567"/>
        <w:jc w:val="both"/>
        <w:rPr>
          <w:sz w:val="20"/>
          <w:szCs w:val="20"/>
          <w:lang w:val="pt-BR"/>
        </w:rPr>
      </w:pPr>
      <w:r w:rsidRPr="00FB47A8">
        <w:rPr>
          <w:sz w:val="20"/>
          <w:szCs w:val="20"/>
          <w:lang w:val="pt-BR"/>
        </w:rPr>
        <w:t>As</w:t>
      </w:r>
      <w:r w:rsidR="005C2878" w:rsidRPr="005C2878">
        <w:rPr>
          <w:sz w:val="20"/>
          <w:szCs w:val="20"/>
        </w:rPr>
        <w:t xml:space="preserve"> concentrações mais elevadas de óleo acarretaram maior mortalidade do rotífero</w:t>
      </w:r>
      <w:r w:rsidR="005C2878" w:rsidRPr="005C2878">
        <w:rPr>
          <w:sz w:val="20"/>
          <w:szCs w:val="20"/>
          <w:lang w:val="pt-BR"/>
        </w:rPr>
        <w:t xml:space="preserve">. </w:t>
      </w:r>
    </w:p>
    <w:p w14:paraId="0A5614C3" w14:textId="77777777" w:rsidR="00FB47A8" w:rsidRDefault="00FB47A8">
      <w:pPr>
        <w:spacing w:line="240" w:lineRule="auto"/>
        <w:ind w:firstLine="567"/>
        <w:jc w:val="both"/>
        <w:rPr>
          <w:sz w:val="20"/>
          <w:szCs w:val="20"/>
          <w:lang w:val="pt-BR"/>
        </w:rPr>
      </w:pPr>
      <w:r>
        <w:rPr>
          <w:sz w:val="20"/>
          <w:szCs w:val="20"/>
          <w:lang w:val="pt-BR"/>
        </w:rPr>
        <w:t xml:space="preserve">Existe uma relação dose-resposta entre o aumento da concentração de </w:t>
      </w:r>
      <w:proofErr w:type="spellStart"/>
      <w:r>
        <w:rPr>
          <w:sz w:val="20"/>
          <w:szCs w:val="20"/>
          <w:lang w:val="pt-BR"/>
        </w:rPr>
        <w:t>HPAs</w:t>
      </w:r>
      <w:proofErr w:type="spellEnd"/>
      <w:r>
        <w:rPr>
          <w:sz w:val="20"/>
          <w:szCs w:val="20"/>
          <w:lang w:val="pt-BR"/>
        </w:rPr>
        <w:t xml:space="preserve"> e aumento da mortalidade. </w:t>
      </w:r>
    </w:p>
    <w:p w14:paraId="046B65A7" w14:textId="6F308575" w:rsidR="00B555C8" w:rsidRPr="0092367E" w:rsidRDefault="00FB47A8">
      <w:pPr>
        <w:spacing w:line="240" w:lineRule="auto"/>
        <w:ind w:firstLine="567"/>
        <w:jc w:val="both"/>
        <w:rPr>
          <w:sz w:val="20"/>
          <w:szCs w:val="20"/>
          <w:lang w:val="pt-BR" w:eastAsia="zh-CN"/>
        </w:rPr>
      </w:pPr>
      <w:r w:rsidRPr="00FB47A8">
        <w:rPr>
          <w:sz w:val="20"/>
          <w:szCs w:val="20"/>
          <w:lang w:val="pt-BR"/>
        </w:rPr>
        <w:t>Os</w:t>
      </w:r>
      <w:r w:rsidR="005C2878" w:rsidRPr="005C2878">
        <w:rPr>
          <w:sz w:val="20"/>
          <w:szCs w:val="20"/>
        </w:rPr>
        <w:t xml:space="preserve"> efeitos de derrames de óleo e a presença de HPAs nos ambientes podem resultar em </w:t>
      </w:r>
      <w:r w:rsidR="0092367E">
        <w:rPr>
          <w:sz w:val="20"/>
          <w:szCs w:val="20"/>
          <w:lang w:val="pt-BR"/>
        </w:rPr>
        <w:t>impactos para organismos planctônicos.</w:t>
      </w:r>
    </w:p>
    <w:p w14:paraId="27277676" w14:textId="77777777" w:rsidR="00C7599F" w:rsidRPr="00C7599F" w:rsidRDefault="00C7599F">
      <w:pPr>
        <w:spacing w:line="240" w:lineRule="auto"/>
        <w:ind w:firstLine="567"/>
        <w:jc w:val="both"/>
        <w:rPr>
          <w:rFonts w:eastAsia="Times New Roman"/>
          <w:sz w:val="20"/>
          <w:szCs w:val="20"/>
          <w:lang w:val="pt-BR"/>
        </w:rPr>
      </w:pPr>
    </w:p>
    <w:p w14:paraId="2FF84896" w14:textId="77777777" w:rsidR="00B555C8" w:rsidRDefault="00321F99">
      <w:pPr>
        <w:spacing w:line="240" w:lineRule="auto"/>
        <w:jc w:val="both"/>
        <w:rPr>
          <w:rFonts w:eastAsia="Times New Roman"/>
          <w:b/>
          <w:sz w:val="20"/>
          <w:szCs w:val="20"/>
        </w:rPr>
      </w:pPr>
      <w:r>
        <w:rPr>
          <w:rFonts w:eastAsia="Times New Roman"/>
          <w:b/>
          <w:sz w:val="20"/>
          <w:szCs w:val="20"/>
        </w:rPr>
        <w:t xml:space="preserve">REFERÊNCIAS </w:t>
      </w:r>
    </w:p>
    <w:p w14:paraId="6305736A"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Almeda, R., Wambaugh, Z., Wang, Z., Hyatt, C., Liu, Z., Buskey, E.J., 2013. Interactions between Zooplankton and Crude Oil: Toxic Effects and Bioaccumulation of Polycyclic Aromatic Hydrocarbons. PLoS One 8, e67212. https://doi.org/10.1371/journal.pone.0067212</w:t>
      </w:r>
    </w:p>
    <w:p w14:paraId="632989F0"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ASTM, 1991. Standard Guide for Acute Toxicity Test with the Rotifer Brachionus. Annu. B. ASTM Stand. 91, 4555–4562.</w:t>
      </w:r>
    </w:p>
    <w:p w14:paraId="4B9DB39F"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Campelo, R.P. de S., Bonou, F.K., de Melo Júnior, M., Diaz, X.F.G., Bezerra, L.E.A., Neumann-Leitão, S., 2019. Zooplankton biomass around marine protected islands in the tropical Atlantic Ocean. J. Sea Res. 154, 101810. https://doi.org/10.1016/j.seares.2019.101810</w:t>
      </w:r>
    </w:p>
    <w:p w14:paraId="7C00C921"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 xml:space="preserve">Campelo, R.P. de S., Lima, C.D.M. de, Santana, C.S. de, Silva, A.J. da, Neumann-Leitao, S., </w:t>
      </w:r>
      <w:r w:rsidRPr="00611960">
        <w:rPr>
          <w:noProof/>
          <w:sz w:val="20"/>
        </w:rPr>
        <w:lastRenderedPageBreak/>
        <w:t>Ferreira, B.P., Soares, M. de O., Junior, M. de M., Melo, P.A.M. de C., 2021. Oil spills: The invisible impact on the base of tropical marine food webs. Mar. Pollut. Bull. 167. https://doi.org/10.1016/j.marpolbul.2021.112281</w:t>
      </w:r>
    </w:p>
    <w:p w14:paraId="4530E62F"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De Souza, C.S., De Oliveira Mafalda Junior, P., Da Conceição, L.R., De Kikuchi, R.K.P., Dominguez, J.M.L., 2023. The impact of Brazilian coast oil spill on the mesozooplankton of the tropical narrowest continental shelf. Aquat. Ecol. 57, 481–498. https://doi.org/10.1007/s10452-023-10024-y</w:t>
      </w:r>
    </w:p>
    <w:p w14:paraId="7FFB61D3"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Eskinazi-Sant’Anna, E.M., Tundist, J.G., 1996. Zooplâncton do estuário do Pina (Recife-Pernambuco-Brasil): composição e distribuição temporal. Rev. Bras. Oceanogr. 44, 23–33. https://doi.org/10.1590/s1413-77391996000100003</w:t>
      </w:r>
    </w:p>
    <w:p w14:paraId="69E4EA2A"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Hansen, B.H., Altin, D., Nordtug, T., Øverjordet, I.B., Olsen, A.J., Krause, D., Størdal, I., Størseth, T.R., 2017. Exposure to crude oil micro-droplets causes reduced food uptake in copepods associated with alteration in their metabolic profiles. Aquat. Toxicol. 184, 94–102. https://doi.org/10.1016/j.aquatox.2017.01.007</w:t>
      </w:r>
    </w:p>
    <w:p w14:paraId="0DF839AF"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Li, X.D., Wang, X.Y., Xu, M.E., Jiang, Y., Yan, T., Wang, X.C., 2020. Progress on the usage of the rotifer Brachionus plicatilis in marine ecotoxicology: A review. Aquat. Toxicol. 229, 105678. https://doi.org/10.1016/j.aquatox.2020.105678</w:t>
      </w:r>
    </w:p>
    <w:p w14:paraId="06C99BAF"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Lotufo, G.R., 1997. Toxicity of sediment-associated PAHs to an estuarine copepod: Effects on survival, feeding, reproduction and behavior. Mar. Environ. Res. 44, 149–166. https://doi.org/10.1016/S0141-1136(96)00108-0</w:t>
      </w:r>
    </w:p>
    <w:p w14:paraId="7F664962"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Rico-Martínez, R., Snell, T.W., Shearer, T.L., 2013. Synergistic toxicity of Macondo crude oil and dispersant Corexit 9500A ® to the Brachionus plicatilis species complex (Rotifera). Environ. Pollut. 173, 5–10. https://doi.org/10.1016/j.envpol.2012.09.024</w:t>
      </w:r>
    </w:p>
    <w:p w14:paraId="121A3961"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Santos, G.S., Brito-Lolaia, M., Schwamborn, R., 2017. Two new methods for sampling zooplankton and larval assemblages in tropical reef ecosystems. J. Exp. Mar. Bio. Ecol. 491, 27–37. https://doi.org/10.1016/j.jembe.2017.03.008</w:t>
      </w:r>
    </w:p>
    <w:p w14:paraId="1317EC9F"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Silva, A.J. da, Melo, P.A.M. de C., Neumann-Leitão, S., Melo Júnior, M. de, 2020. Non-predatory mortality of planktonic copepods in a reef area influenced by estuarine plume. Mar. Environ. Res. 159, 105024. https://doi.org/10.1016/j.marenvres.2020.105024</w:t>
      </w:r>
    </w:p>
    <w:p w14:paraId="17DD53F3"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Snell, T.W., Moffat, B.D., Janssen, C., Persoone, G., 1991. Acute toxicity tests using rotifers. III. Effects of temperature, strain, and exposure time on the sensitivity ofBrachionus plicatilis. Environ. Toxicol. Water Qual. 6, 63–75. https://doi.org/10.1002/tox.2530060106</w:t>
      </w:r>
    </w:p>
    <w:p w14:paraId="20EA4FFF"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Sun, Y., Wang, Y., Lei, J., Qian, C., Zhu, X., Akbar, S., Huang, Y., Yang, Z., 2018. Temperature-dependent elimination efficiency on Phaeocystis globosa by different initial population sizes of rotifer Brachionus plicatilis. Chemosphere 203, 474–481. https://doi.org/10.1016/j.chemosphere.2018.04.008</w:t>
      </w:r>
    </w:p>
    <w:p w14:paraId="580B9E63"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Williams, M.B., Powell, M.L., Watts, S.A., 2016. Combined effects of Corexit EC 9500A with secondary abiotic and biotic factors in the rotifer Brachionus plicatilis. Comp. Biochem. Physiol. Part C Toxicol. Pharmacol. 188, 39–44. https://doi.org/10.1016/j.cbpc.2016.06.005</w:t>
      </w:r>
    </w:p>
    <w:p w14:paraId="50C81102" w14:textId="77777777" w:rsidR="00611960" w:rsidRPr="00611960" w:rsidRDefault="00611960" w:rsidP="00B33D9D">
      <w:pPr>
        <w:widowControl w:val="0"/>
        <w:autoSpaceDE w:val="0"/>
        <w:autoSpaceDN w:val="0"/>
        <w:adjustRightInd w:val="0"/>
        <w:spacing w:line="240" w:lineRule="auto"/>
        <w:rPr>
          <w:noProof/>
          <w:sz w:val="20"/>
        </w:rPr>
      </w:pPr>
      <w:r w:rsidRPr="00611960">
        <w:rPr>
          <w:noProof/>
          <w:sz w:val="20"/>
        </w:rPr>
        <w:t>Zheng, L., Pan, L., Lin, P., Miao, J., Wang, X., Lin, Y., Wu, J., 2017. Evaluating the toxic effects of three priority hazardous and noxious substances (HNS) to rotifer Brachionus plicatilis. Environ. Sci. Pollut. Res. 24, 27277–27287. https://doi.org/10.1007/s11356-017-0298-2</w:t>
      </w:r>
    </w:p>
    <w:p w14:paraId="264159C9" w14:textId="77777777" w:rsidR="00B555C8" w:rsidRDefault="00B555C8" w:rsidP="00611960">
      <w:pPr>
        <w:widowControl w:val="0"/>
        <w:autoSpaceDE w:val="0"/>
        <w:autoSpaceDN w:val="0"/>
        <w:adjustRightInd w:val="0"/>
        <w:spacing w:line="240" w:lineRule="auto"/>
        <w:rPr>
          <w:sz w:val="20"/>
          <w:szCs w:val="20"/>
        </w:rPr>
      </w:pPr>
    </w:p>
    <w:sectPr w:rsidR="00B555C8">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464E" w14:textId="77777777" w:rsidR="00413C12" w:rsidRDefault="00413C12">
      <w:pPr>
        <w:spacing w:line="240" w:lineRule="auto"/>
      </w:pPr>
      <w:r>
        <w:separator/>
      </w:r>
    </w:p>
  </w:endnote>
  <w:endnote w:type="continuationSeparator" w:id="0">
    <w:p w14:paraId="64C96E06" w14:textId="77777777" w:rsidR="00413C12" w:rsidRDefault="00413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7EFE1" w14:textId="77777777" w:rsidR="00413C12" w:rsidRDefault="00413C12">
      <w:r>
        <w:separator/>
      </w:r>
    </w:p>
  </w:footnote>
  <w:footnote w:type="continuationSeparator" w:id="0">
    <w:p w14:paraId="4D11C56A" w14:textId="77777777" w:rsidR="00413C12" w:rsidRDefault="0041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8B6D" w14:textId="77777777" w:rsidR="00B555C8" w:rsidRDefault="003A6E8E">
    <w:pPr>
      <w:tabs>
        <w:tab w:val="center" w:pos="4252"/>
        <w:tab w:val="right" w:pos="8504"/>
      </w:tabs>
      <w:spacing w:before="708" w:line="240" w:lineRule="auto"/>
      <w:jc w:val="both"/>
    </w:pPr>
    <w:r w:rsidRPr="007C33CB">
      <w:rPr>
        <w:rFonts w:ascii="Calibri" w:eastAsia="Calibri" w:hAnsi="Calibri" w:cs="Calibri"/>
        <w:noProof/>
        <w:color w:val="FFFFFF"/>
      </w:rPr>
      <w:drawing>
        <wp:inline distT="0" distB="0" distL="0" distR="0" wp14:anchorId="0B4FFE90" wp14:editId="16E59788">
          <wp:extent cx="1772285" cy="800735"/>
          <wp:effectExtent l="0" t="0" r="0" b="0"/>
          <wp:docPr id="2" name="Imagem 5" descr="Logo_COR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descr="Logo_CORR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285" cy="800735"/>
                  </a:xfrm>
                  <a:prstGeom prst="rect">
                    <a:avLst/>
                  </a:prstGeom>
                  <a:noFill/>
                  <a:ln>
                    <a:noFill/>
                  </a:ln>
                </pic:spPr>
              </pic:pic>
            </a:graphicData>
          </a:graphic>
        </wp:inline>
      </w:drawing>
    </w:r>
    <w:r w:rsidR="00321F99">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C8"/>
    <w:rsid w:val="000033F4"/>
    <w:rsid w:val="0002153A"/>
    <w:rsid w:val="000A1E3F"/>
    <w:rsid w:val="000C5300"/>
    <w:rsid w:val="000D5CEB"/>
    <w:rsid w:val="00153215"/>
    <w:rsid w:val="001E1890"/>
    <w:rsid w:val="00222C17"/>
    <w:rsid w:val="00246BCD"/>
    <w:rsid w:val="00273B9D"/>
    <w:rsid w:val="002C3AF4"/>
    <w:rsid w:val="00321F99"/>
    <w:rsid w:val="00326BB4"/>
    <w:rsid w:val="003A6E8E"/>
    <w:rsid w:val="00412D6B"/>
    <w:rsid w:val="00413C12"/>
    <w:rsid w:val="005062B8"/>
    <w:rsid w:val="00543892"/>
    <w:rsid w:val="005500BC"/>
    <w:rsid w:val="005507B4"/>
    <w:rsid w:val="00580B3C"/>
    <w:rsid w:val="005C2878"/>
    <w:rsid w:val="005D2B08"/>
    <w:rsid w:val="00611960"/>
    <w:rsid w:val="00660B28"/>
    <w:rsid w:val="006955F1"/>
    <w:rsid w:val="006D2983"/>
    <w:rsid w:val="006D3B96"/>
    <w:rsid w:val="007323BE"/>
    <w:rsid w:val="00785E76"/>
    <w:rsid w:val="007A45C4"/>
    <w:rsid w:val="007C33CB"/>
    <w:rsid w:val="007F28CD"/>
    <w:rsid w:val="007F52AA"/>
    <w:rsid w:val="00803B0B"/>
    <w:rsid w:val="00823CD3"/>
    <w:rsid w:val="008410ED"/>
    <w:rsid w:val="00845ADB"/>
    <w:rsid w:val="008E2815"/>
    <w:rsid w:val="0092367E"/>
    <w:rsid w:val="009549E7"/>
    <w:rsid w:val="00967172"/>
    <w:rsid w:val="009C6573"/>
    <w:rsid w:val="009E7015"/>
    <w:rsid w:val="00A70C04"/>
    <w:rsid w:val="00AB7892"/>
    <w:rsid w:val="00AF7481"/>
    <w:rsid w:val="00B1255B"/>
    <w:rsid w:val="00B33D9D"/>
    <w:rsid w:val="00B555C8"/>
    <w:rsid w:val="00C033FF"/>
    <w:rsid w:val="00C7599F"/>
    <w:rsid w:val="00D26A61"/>
    <w:rsid w:val="00D34424"/>
    <w:rsid w:val="00D45230"/>
    <w:rsid w:val="00D5192B"/>
    <w:rsid w:val="00DB1EDC"/>
    <w:rsid w:val="00DB34DA"/>
    <w:rsid w:val="00DB447F"/>
    <w:rsid w:val="00DF0CD0"/>
    <w:rsid w:val="00E1011C"/>
    <w:rsid w:val="00E26383"/>
    <w:rsid w:val="00E444C9"/>
    <w:rsid w:val="00E57622"/>
    <w:rsid w:val="00F12E74"/>
    <w:rsid w:val="00F75FB0"/>
    <w:rsid w:val="00FB3649"/>
    <w:rsid w:val="00FB47A8"/>
    <w:rsid w:val="00FC175E"/>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C844"/>
  <w15:docId w15:val="{55AEAA0A-E896-C648-815A-85E9B205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rsid w:val="00E57622"/>
    <w:rPr>
      <w:color w:val="0000FF"/>
      <w:u w:val="single"/>
    </w:rPr>
  </w:style>
  <w:style w:type="character" w:styleId="MenoPendente">
    <w:name w:val="Unresolved Mention"/>
    <w:uiPriority w:val="99"/>
    <w:semiHidden/>
    <w:unhideWhenUsed/>
    <w:rsid w:val="00E57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5740">
      <w:bodyDiv w:val="1"/>
      <w:marLeft w:val="0"/>
      <w:marRight w:val="0"/>
      <w:marTop w:val="0"/>
      <w:marBottom w:val="0"/>
      <w:divBdr>
        <w:top w:val="none" w:sz="0" w:space="0" w:color="auto"/>
        <w:left w:val="none" w:sz="0" w:space="0" w:color="auto"/>
        <w:bottom w:val="none" w:sz="0" w:space="0" w:color="auto"/>
        <w:right w:val="none" w:sz="0" w:space="0" w:color="auto"/>
      </w:divBdr>
    </w:div>
    <w:div w:id="274823751">
      <w:bodyDiv w:val="1"/>
      <w:marLeft w:val="0"/>
      <w:marRight w:val="0"/>
      <w:marTop w:val="0"/>
      <w:marBottom w:val="0"/>
      <w:divBdr>
        <w:top w:val="none" w:sz="0" w:space="0" w:color="auto"/>
        <w:left w:val="none" w:sz="0" w:space="0" w:color="auto"/>
        <w:bottom w:val="none" w:sz="0" w:space="0" w:color="auto"/>
        <w:right w:val="none" w:sz="0" w:space="0" w:color="auto"/>
      </w:divBdr>
      <w:divsChild>
        <w:div w:id="1328677298">
          <w:marLeft w:val="0"/>
          <w:marRight w:val="0"/>
          <w:marTop w:val="0"/>
          <w:marBottom w:val="0"/>
          <w:divBdr>
            <w:top w:val="single" w:sz="2" w:space="0" w:color="D9D9E3"/>
            <w:left w:val="single" w:sz="2" w:space="0" w:color="D9D9E3"/>
            <w:bottom w:val="single" w:sz="2" w:space="0" w:color="D9D9E3"/>
            <w:right w:val="single" w:sz="2" w:space="0" w:color="D9D9E3"/>
          </w:divBdr>
          <w:divsChild>
            <w:div w:id="1750925754">
              <w:marLeft w:val="0"/>
              <w:marRight w:val="0"/>
              <w:marTop w:val="0"/>
              <w:marBottom w:val="0"/>
              <w:divBdr>
                <w:top w:val="single" w:sz="2" w:space="0" w:color="D9D9E3"/>
                <w:left w:val="single" w:sz="2" w:space="0" w:color="D9D9E3"/>
                <w:bottom w:val="single" w:sz="2" w:space="0" w:color="D9D9E3"/>
                <w:right w:val="single" w:sz="2" w:space="0" w:color="D9D9E3"/>
              </w:divBdr>
              <w:divsChild>
                <w:div w:id="51001651">
                  <w:marLeft w:val="0"/>
                  <w:marRight w:val="0"/>
                  <w:marTop w:val="0"/>
                  <w:marBottom w:val="0"/>
                  <w:divBdr>
                    <w:top w:val="single" w:sz="2" w:space="0" w:color="D9D9E3"/>
                    <w:left w:val="single" w:sz="2" w:space="0" w:color="D9D9E3"/>
                    <w:bottom w:val="single" w:sz="2" w:space="0" w:color="D9D9E3"/>
                    <w:right w:val="single" w:sz="2" w:space="0" w:color="D9D9E3"/>
                  </w:divBdr>
                  <w:divsChild>
                    <w:div w:id="1026056556">
                      <w:marLeft w:val="0"/>
                      <w:marRight w:val="0"/>
                      <w:marTop w:val="0"/>
                      <w:marBottom w:val="0"/>
                      <w:divBdr>
                        <w:top w:val="single" w:sz="2" w:space="0" w:color="D9D9E3"/>
                        <w:left w:val="single" w:sz="2" w:space="0" w:color="D9D9E3"/>
                        <w:bottom w:val="single" w:sz="2" w:space="0" w:color="D9D9E3"/>
                        <w:right w:val="single" w:sz="2" w:space="0" w:color="D9D9E3"/>
                      </w:divBdr>
                      <w:divsChild>
                        <w:div w:id="1845052099">
                          <w:marLeft w:val="0"/>
                          <w:marRight w:val="0"/>
                          <w:marTop w:val="0"/>
                          <w:marBottom w:val="0"/>
                          <w:divBdr>
                            <w:top w:val="single" w:sz="2" w:space="0" w:color="auto"/>
                            <w:left w:val="single" w:sz="2" w:space="0" w:color="auto"/>
                            <w:bottom w:val="single" w:sz="6" w:space="0" w:color="auto"/>
                            <w:right w:val="single" w:sz="2" w:space="0" w:color="auto"/>
                          </w:divBdr>
                          <w:divsChild>
                            <w:div w:id="262543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358972">
                                  <w:marLeft w:val="0"/>
                                  <w:marRight w:val="0"/>
                                  <w:marTop w:val="0"/>
                                  <w:marBottom w:val="0"/>
                                  <w:divBdr>
                                    <w:top w:val="single" w:sz="2" w:space="0" w:color="D9D9E3"/>
                                    <w:left w:val="single" w:sz="2" w:space="0" w:color="D9D9E3"/>
                                    <w:bottom w:val="single" w:sz="2" w:space="0" w:color="D9D9E3"/>
                                    <w:right w:val="single" w:sz="2" w:space="0" w:color="D9D9E3"/>
                                  </w:divBdr>
                                  <w:divsChild>
                                    <w:div w:id="567502483">
                                      <w:marLeft w:val="0"/>
                                      <w:marRight w:val="0"/>
                                      <w:marTop w:val="0"/>
                                      <w:marBottom w:val="0"/>
                                      <w:divBdr>
                                        <w:top w:val="single" w:sz="2" w:space="0" w:color="D9D9E3"/>
                                        <w:left w:val="single" w:sz="2" w:space="0" w:color="D9D9E3"/>
                                        <w:bottom w:val="single" w:sz="2" w:space="0" w:color="D9D9E3"/>
                                        <w:right w:val="single" w:sz="2" w:space="0" w:color="D9D9E3"/>
                                      </w:divBdr>
                                      <w:divsChild>
                                        <w:div w:id="1602106296">
                                          <w:marLeft w:val="0"/>
                                          <w:marRight w:val="0"/>
                                          <w:marTop w:val="0"/>
                                          <w:marBottom w:val="0"/>
                                          <w:divBdr>
                                            <w:top w:val="single" w:sz="2" w:space="0" w:color="D9D9E3"/>
                                            <w:left w:val="single" w:sz="2" w:space="0" w:color="D9D9E3"/>
                                            <w:bottom w:val="single" w:sz="2" w:space="0" w:color="D9D9E3"/>
                                            <w:right w:val="single" w:sz="2" w:space="0" w:color="D9D9E3"/>
                                          </w:divBdr>
                                          <w:divsChild>
                                            <w:div w:id="1710835759">
                                              <w:marLeft w:val="0"/>
                                              <w:marRight w:val="0"/>
                                              <w:marTop w:val="0"/>
                                              <w:marBottom w:val="0"/>
                                              <w:divBdr>
                                                <w:top w:val="single" w:sz="2" w:space="0" w:color="D9D9E3"/>
                                                <w:left w:val="single" w:sz="2" w:space="0" w:color="D9D9E3"/>
                                                <w:bottom w:val="single" w:sz="2" w:space="0" w:color="D9D9E3"/>
                                                <w:right w:val="single" w:sz="2" w:space="0" w:color="D9D9E3"/>
                                              </w:divBdr>
                                              <w:divsChild>
                                                <w:div w:id="1495532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84178608">
          <w:marLeft w:val="0"/>
          <w:marRight w:val="0"/>
          <w:marTop w:val="0"/>
          <w:marBottom w:val="0"/>
          <w:divBdr>
            <w:top w:val="none" w:sz="0" w:space="0" w:color="auto"/>
            <w:left w:val="none" w:sz="0" w:space="0" w:color="auto"/>
            <w:bottom w:val="none" w:sz="0" w:space="0" w:color="auto"/>
            <w:right w:val="none" w:sz="0" w:space="0" w:color="auto"/>
          </w:divBdr>
          <w:divsChild>
            <w:div w:id="1552036811">
              <w:marLeft w:val="0"/>
              <w:marRight w:val="0"/>
              <w:marTop w:val="0"/>
              <w:marBottom w:val="0"/>
              <w:divBdr>
                <w:top w:val="single" w:sz="2" w:space="0" w:color="D9D9E3"/>
                <w:left w:val="single" w:sz="2" w:space="0" w:color="D9D9E3"/>
                <w:bottom w:val="single" w:sz="2" w:space="0" w:color="D9D9E3"/>
                <w:right w:val="single" w:sz="2" w:space="0" w:color="D9D9E3"/>
              </w:divBdr>
              <w:divsChild>
                <w:div w:id="652761327">
                  <w:marLeft w:val="0"/>
                  <w:marRight w:val="0"/>
                  <w:marTop w:val="0"/>
                  <w:marBottom w:val="0"/>
                  <w:divBdr>
                    <w:top w:val="single" w:sz="2" w:space="0" w:color="D9D9E3"/>
                    <w:left w:val="single" w:sz="2" w:space="0" w:color="D9D9E3"/>
                    <w:bottom w:val="single" w:sz="2" w:space="0" w:color="D9D9E3"/>
                    <w:right w:val="single" w:sz="2" w:space="0" w:color="D9D9E3"/>
                  </w:divBdr>
                  <w:divsChild>
                    <w:div w:id="6953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9993388">
      <w:bodyDiv w:val="1"/>
      <w:marLeft w:val="0"/>
      <w:marRight w:val="0"/>
      <w:marTop w:val="0"/>
      <w:marBottom w:val="0"/>
      <w:divBdr>
        <w:top w:val="none" w:sz="0" w:space="0" w:color="auto"/>
        <w:left w:val="none" w:sz="0" w:space="0" w:color="auto"/>
        <w:bottom w:val="none" w:sz="0" w:space="0" w:color="auto"/>
        <w:right w:val="none" w:sz="0" w:space="0" w:color="auto"/>
      </w:divBdr>
    </w:div>
    <w:div w:id="422723141">
      <w:bodyDiv w:val="1"/>
      <w:marLeft w:val="0"/>
      <w:marRight w:val="0"/>
      <w:marTop w:val="0"/>
      <w:marBottom w:val="0"/>
      <w:divBdr>
        <w:top w:val="none" w:sz="0" w:space="0" w:color="auto"/>
        <w:left w:val="none" w:sz="0" w:space="0" w:color="auto"/>
        <w:bottom w:val="none" w:sz="0" w:space="0" w:color="auto"/>
        <w:right w:val="none" w:sz="0" w:space="0" w:color="auto"/>
      </w:divBdr>
    </w:div>
    <w:div w:id="547496776">
      <w:bodyDiv w:val="1"/>
      <w:marLeft w:val="0"/>
      <w:marRight w:val="0"/>
      <w:marTop w:val="0"/>
      <w:marBottom w:val="0"/>
      <w:divBdr>
        <w:top w:val="none" w:sz="0" w:space="0" w:color="auto"/>
        <w:left w:val="none" w:sz="0" w:space="0" w:color="auto"/>
        <w:bottom w:val="none" w:sz="0" w:space="0" w:color="auto"/>
        <w:right w:val="none" w:sz="0" w:space="0" w:color="auto"/>
      </w:divBdr>
    </w:div>
    <w:div w:id="617682907">
      <w:bodyDiv w:val="1"/>
      <w:marLeft w:val="0"/>
      <w:marRight w:val="0"/>
      <w:marTop w:val="0"/>
      <w:marBottom w:val="0"/>
      <w:divBdr>
        <w:top w:val="none" w:sz="0" w:space="0" w:color="auto"/>
        <w:left w:val="none" w:sz="0" w:space="0" w:color="auto"/>
        <w:bottom w:val="none" w:sz="0" w:space="0" w:color="auto"/>
        <w:right w:val="none" w:sz="0" w:space="0" w:color="auto"/>
      </w:divBdr>
    </w:div>
    <w:div w:id="671445087">
      <w:bodyDiv w:val="1"/>
      <w:marLeft w:val="0"/>
      <w:marRight w:val="0"/>
      <w:marTop w:val="0"/>
      <w:marBottom w:val="0"/>
      <w:divBdr>
        <w:top w:val="none" w:sz="0" w:space="0" w:color="auto"/>
        <w:left w:val="none" w:sz="0" w:space="0" w:color="auto"/>
        <w:bottom w:val="none" w:sz="0" w:space="0" w:color="auto"/>
        <w:right w:val="none" w:sz="0" w:space="0" w:color="auto"/>
      </w:divBdr>
    </w:div>
    <w:div w:id="176182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1189-220C-CA46-B109-3A3C874C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cp:lastModifiedBy>Alef Jonathan</cp:lastModifiedBy>
  <cp:revision>2</cp:revision>
  <dcterms:created xsi:type="dcterms:W3CDTF">2023-09-21T19:01:00Z</dcterms:created>
  <dcterms:modified xsi:type="dcterms:W3CDTF">2023-09-21T19:01:00Z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y fmtid="{D5CDD505-2E9C-101B-9397-08002B2CF9AE}" pid="5" name="Mendeley Recent Style Id 0_1">
    <vt:lpwstr>http://www.zotero.org/styles/anais-da-academia-brasileira-de-ciencias</vt:lpwstr>
  </property>
  <property fmtid="{D5CDD505-2E9C-101B-9397-08002B2CF9AE}" pid="6" name="Mendeley Recent Style Name 0_1">
    <vt:lpwstr>Anais da Academia Brasileira de Ciências</vt:lpwstr>
  </property>
  <property fmtid="{D5CDD505-2E9C-101B-9397-08002B2CF9AE}" pid="7" name="Mendeley Recent Style Id 1_1">
    <vt:lpwstr>http://csl.mendeley.com/styles/496721881/anais-da-academia-brasileira-de-ciencias-2</vt:lpwstr>
  </property>
  <property fmtid="{D5CDD505-2E9C-101B-9397-08002B2CF9AE}" pid="8" name="Mendeley Recent Style Name 1_1">
    <vt:lpwstr>Anais da Academia Brasileira de Ciências - Alef editado</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12th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http://www.zotero.org/styles/instituto-brasileiro-de-informacao-em-ciencia-e-tecnologia-abnt</vt:lpwstr>
  </property>
  <property fmtid="{D5CDD505-2E9C-101B-9397-08002B2CF9AE}" pid="14" name="Mendeley Recent Style Name 4_1">
    <vt:lpwstr>Instituto Brasileiro de Informação em Ciência e Tecnologia - ABNT (autoria completa)</vt:lpwstr>
  </property>
  <property fmtid="{D5CDD505-2E9C-101B-9397-08002B2CF9AE}" pid="15" name="Mendeley Recent Style Id 5_1">
    <vt:lpwstr>http://www.zotero.org/styles/marine-pollution-bulletin</vt:lpwstr>
  </property>
  <property fmtid="{D5CDD505-2E9C-101B-9397-08002B2CF9AE}" pid="16" name="Mendeley Recent Style Name 5_1">
    <vt:lpwstr>Marine Pollution Bulletin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http://www.zotero.org/styles/universidade-estadual-paulista-faculdade-de-engenharia-de-guaratingueta-abnt</vt:lpwstr>
  </property>
  <property fmtid="{D5CDD505-2E9C-101B-9397-08002B2CF9AE}" pid="20" name="Mendeley Recent Style Name 7_1">
    <vt:lpwstr>Universidade Estadual Paulista - Faculdade de Engenharia de Guaratingueta - ABNT (Português - Brasil)</vt:lpwstr>
  </property>
  <property fmtid="{D5CDD505-2E9C-101B-9397-08002B2CF9AE}" pid="21" name="Mendeley Recent Style Id 8_1">
    <vt:lpwstr>http://www.zotero.org/styles/universidade-estadual-de-alagoas-abnt</vt:lpwstr>
  </property>
  <property fmtid="{D5CDD505-2E9C-101B-9397-08002B2CF9AE}" pid="22" name="Mendeley Recent Style Name 8_1">
    <vt:lpwstr>Universidade Estadual de Alagoas - UNEAL [ABNT] (Portuguese - Brazil)</vt:lpwstr>
  </property>
  <property fmtid="{D5CDD505-2E9C-101B-9397-08002B2CF9AE}" pid="23" name="Mendeley Recent Style Id 9_1">
    <vt:lpwstr>http://www.zotero.org/styles/universidade-federal-de-sergipe-departamento-de-engenharia-de-producao-abnt</vt:lpwstr>
  </property>
  <property fmtid="{D5CDD505-2E9C-101B-9397-08002B2CF9AE}" pid="24" name="Mendeley Recent Style Name 9_1">
    <vt:lpwstr>Universidade Federal de Sergipe - Departamento de Engenharia de Produção - ABNT (Português - Brasil)</vt:lpwstr>
  </property>
</Properties>
</file>