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77.0" w:type="dxa"/>
        <w:jc w:val="left"/>
        <w:tblInd w:w="7141.000000000001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7"/>
        <w:tblGridChange w:id="0">
          <w:tblGrid>
            <w:gridCol w:w="2977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dobe Devanagari" w:cs="Adobe Devanagari" w:eastAsia="Adobe Devanagari" w:hAnsi="Adobe Devanagari"/>
                <w:b w:val="1"/>
                <w:i w:val="1"/>
                <w:smallCaps w:val="0"/>
                <w:strike w:val="0"/>
                <w:color w:val="385623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dobe Devanagari" w:cs="Adobe Devanagari" w:eastAsia="Adobe Devanagari" w:hAnsi="Adobe Devanagari"/>
                <w:b w:val="1"/>
                <w:i w:val="1"/>
                <w:smallCaps w:val="0"/>
                <w:strike w:val="0"/>
                <w:color w:val="38562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 simples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ATIVIDADE FUNGICIDA DA NANOEMULSÃO DO ÓLEO ESSENCIAL DE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Citrus aurantifolia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Swing var. taiti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Emerson Vinícius Martins FIAROS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*; Thayane Lopes de SOUSA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Isadora do Nascimento OLIVEIRA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Victor Elias Mouchrek FILHO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Gustavo Oliveira EVERTON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INTRODUÇÃO: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utilização dos óleos essenciais atualmente vem sendo muito requisitada, pois já foi comprovado que suas propriedades têm uma ótima atividade antimicrobiana e antioxidante, entretanto existem limitações por suas características hidrofóbicas e o uso das nanoemulsões nesses óleos tem uma grande vantagem, pois as emulsões tipo óleo em água (o/a) são as mais comuns. </w:t>
      </w:r>
      <w:r w:rsidDel="00000000" w:rsidR="00000000" w:rsidRPr="00000000">
        <w:rPr>
          <w:rFonts w:ascii="Adobe Devanagari" w:cs="Adobe Devanagari" w:eastAsia="Adobe Devanagari" w:hAnsi="Adobe Devanagari"/>
          <w:sz w:val="28"/>
          <w:szCs w:val="28"/>
          <w:rtl w:val="0"/>
        </w:rPr>
        <w:t xml:space="preserve">As nanoemulsões podem apresentar aparências translúcidas ou aparências leitosas, para apresentar uma formulação estabilizada durante sua formulação deve-se adicionar um tensoativo para que se obtenha um tamanho de partícula desejado.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seu tamanho de partícula em escala </w:t>
      </w:r>
      <w:r w:rsidDel="00000000" w:rsidR="00000000" w:rsidRPr="00000000">
        <w:rPr>
          <w:rFonts w:ascii="Adobe Devanagari" w:cs="Adobe Devanagari" w:eastAsia="Adobe Devanagari" w:hAnsi="Adobe Devanagari"/>
          <w:sz w:val="28"/>
          <w:szCs w:val="28"/>
          <w:rtl w:val="0"/>
        </w:rPr>
        <w:t xml:space="preserve">nanométrica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pode aumentar a ação dos óleos essenciais frente aos micro-organismos</w:t>
      </w:r>
      <w:r w:rsidDel="00000000" w:rsidR="00000000" w:rsidRPr="00000000">
        <w:rPr>
          <w:rFonts w:ascii="Adobe Devanagari" w:cs="Adobe Devanagari" w:eastAsia="Adobe Devanagari" w:hAnsi="Adobe Devanagari"/>
          <w:sz w:val="28"/>
          <w:szCs w:val="28"/>
          <w:rtl w:val="0"/>
        </w:rPr>
        <w:t xml:space="preserve">, pois são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estáveis por tempo prolongado. 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OBJETIVO: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Avaliar a atividade fungicida da nanoemulsão do óleo essencial de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Citrus aurantifolia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Swing var. taiti frente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Aspergillus niger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Colletotrichum gloeosporioides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Penicillium chrysogenum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.;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MATERIAL E MÉTODOS: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Foram coletadas cascas do fruto de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 aurantifolia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 São Luís (MA), posteriormente secas, trituradas e moídas. Foram utilizadas 100g das cascas secas para obtenção do OE pelo método de hidrodestilação. A nanoemulsão óleo-em-água foi formulada com cada óleo, surfactante não iônico (tween 20) e água. A concentração final de óleo (5% v/v) foi fixada para a formulação. As quantidades necessárias de cada constituinte da fase oleosa (óleo+Tween20) foram aquecidas a 65 ± 5 °C. A fase aquosa foi aquecida separadamente a 65 ± 5 °C, adicionada suavemente e misturada com a fase oleosa, proporcionando uma formulação primária, pelo método de inversão de fases. A homogeneização final foi conseguida utilizando um agitador magnético, no qual a formulação permaneceu em agitação constante a 6000 rpm, até atingir a redução da temperatura para 25 ºC ± 2 ºC. A atividade fungicida foi executada segundo as técnicas do CLSI (2020) que padroniza os testes de Diluição em Caldo para determinação da Concentração Inibitória Mínima (CIM) e Concentração Fungicida Mínima (CFM). Foram utilizadas suspensões padronizadas de cepas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Aspergillus niger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(ATCC 6275),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Colletotrichum gloeosporioides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(ATCC 96723),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Penicillium chrysogenum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(ATCC 10106)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 Ágar Sabourad Dextrose e Caldo BHI, RPMI e MH.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RESULTADOS: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nanoemulsão possui atividade fungicida frente a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A. niger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P. chrysogenum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A nanoemulsão foi eficiente em ambos os fungos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P. chrysogenum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 ao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 niger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A CFM do OE demonstrou ação fungicida nas respectivas concentrações de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 niger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P. chrysogenum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de 200, 100 e 50 mg mL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-1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quando comparado a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 gloeosporioides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que não houve atividade. 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CONSIDERAÇÕES FINAIS:</w:t>
      </w: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resultados encontrados demonstram-se satisfatórios frente a dois dos microrganismos testados. A ação de inibição fungicida está relacionada aos constituintes químicos majoritários presente nestes OE’s, incentivando sua aplicação e produção como nanoemulsão sinérgica fungicida.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Fungicida; Micro-organismos; Nanoemulsão;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134" w:left="1134" w:right="1134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dobe Devanaga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-272565</wp:posOffset>
          </wp:positionV>
          <wp:extent cx="7825740" cy="872490"/>
          <wp:effectExtent b="0" l="0" r="0" t="0"/>
          <wp:wrapSquare wrapText="bothSides" distB="0" distT="0" distL="0" distR="0"/>
          <wp:docPr id="9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16" l="0" r="0" t="72150"/>
                  <a:stretch>
                    <a:fillRect/>
                  </a:stretch>
                </pic:blipFill>
                <pic:spPr>
                  <a:xfrm>
                    <a:off x="0" y="0"/>
                    <a:ext cx="7825740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 autor correspondente; UFMA; emerson.vinicius@discente.ufma.br;</w:t>
      </w:r>
    </w:p>
  </w:footnote>
  <w:footnote w:id="1"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UFMA; thayane.lopes@discente.ufma.br;</w:t>
      </w:r>
    </w:p>
  </w:footnote>
  <w:footnote w:id="2"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UFMA; iza_oliveira18@hotmail.com;</w:t>
      </w:r>
    </w:p>
  </w:footnote>
  <w:footnote w:id="3"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UFMA; victor.mouchrek@ufma.br;</w:t>
      </w:r>
    </w:p>
  </w:footnote>
  <w:footnote w:id="4"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dobe Devanagari" w:cs="Adobe Devanagari" w:eastAsia="Adobe Devanagari" w:hAnsi="Adobe Devanaga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UFMA; gustavooliveiraeverton@gmail.com;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-90169</wp:posOffset>
          </wp:positionV>
          <wp:extent cx="7825740" cy="2125345"/>
          <wp:effectExtent b="0" l="0" r="0" t="0"/>
          <wp:wrapSquare wrapText="bothSides" distB="0" distT="0" distL="114300" distR="114300"/>
          <wp:docPr id="9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982" l="0" r="0" t="12102"/>
                  <a:stretch>
                    <a:fillRect/>
                  </a:stretch>
                </pic:blipFill>
                <pic:spPr>
                  <a:xfrm>
                    <a:off x="0" y="0"/>
                    <a:ext cx="7825740" cy="21253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 w:val="1"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 w:val="1"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2817F2"/>
    <w:pPr>
      <w:spacing w:after="0" w:line="240" w:lineRule="auto"/>
    </w:pPr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2817F2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5132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5132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w3SceKrejxRUxHbdGzmzbFItxg==">AMUW2mUjPD46xD7l5rY1r2Z0U1zwElJQ9Y+zrt9meedy7T3ZtuXUvD0M0nNV5RRGSSmn/cNSHelGkPkO8Co+EjLz6rkSvJqRCpfMbxdXcWAuoQjs4qjtLV7fjgQ2XoLDCL9b+h6PXP4k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2020-11-25T13:09:00Z</dcterms:created>
  <dc:creator>Gustavo</dc:creator>
</cp:coreProperties>
</file>