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4D4D" w14:textId="72791B3A" w:rsidR="00205008" w:rsidRDefault="00CB4D11" w:rsidP="00205008">
      <w:pPr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TALLERES DE </w:t>
      </w:r>
      <w:r w:rsidR="00205008">
        <w:rPr>
          <w:b/>
          <w:color w:val="000000"/>
          <w:sz w:val="32"/>
          <w:szCs w:val="32"/>
        </w:rPr>
        <w:t>COMUNICACIÓN EFECTIVA:</w:t>
      </w:r>
      <w:r w:rsidR="0098620C">
        <w:rPr>
          <w:b/>
          <w:color w:val="000000"/>
          <w:sz w:val="32"/>
          <w:szCs w:val="32"/>
        </w:rPr>
        <w:t xml:space="preserve"> </w:t>
      </w:r>
      <w:r w:rsidR="00EA357D">
        <w:rPr>
          <w:b/>
          <w:color w:val="000000"/>
          <w:sz w:val="32"/>
          <w:szCs w:val="32"/>
        </w:rPr>
        <w:t xml:space="preserve">                   ESTRATEGIA DIDÁCTICA</w:t>
      </w:r>
      <w:r w:rsidR="00205008">
        <w:rPr>
          <w:b/>
          <w:color w:val="000000"/>
          <w:sz w:val="32"/>
          <w:szCs w:val="32"/>
        </w:rPr>
        <w:t xml:space="preserve"> QUE FACILITA LA INSERCIÓN </w:t>
      </w:r>
      <w:r w:rsidR="00E656A5">
        <w:rPr>
          <w:b/>
          <w:color w:val="000000"/>
          <w:sz w:val="32"/>
          <w:szCs w:val="32"/>
        </w:rPr>
        <w:t xml:space="preserve">Y </w:t>
      </w:r>
      <w:r w:rsidR="00893E6F">
        <w:rPr>
          <w:b/>
          <w:color w:val="000000"/>
          <w:sz w:val="32"/>
          <w:szCs w:val="32"/>
        </w:rPr>
        <w:t>REDUCE EL ABANDONO</w:t>
      </w:r>
    </w:p>
    <w:p w14:paraId="6C6766BD" w14:textId="32539683" w:rsidR="00205008" w:rsidRDefault="00205008" w:rsidP="00205008">
      <w:pPr>
        <w:ind w:left="1" w:hanging="3"/>
        <w:jc w:val="center"/>
        <w:rPr>
          <w:b/>
          <w:color w:val="000000"/>
          <w:sz w:val="32"/>
          <w:szCs w:val="32"/>
        </w:rPr>
      </w:pPr>
    </w:p>
    <w:p w14:paraId="55DD480F" w14:textId="51829128" w:rsidR="00205008" w:rsidRDefault="00205008" w:rsidP="00205008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 xml:space="preserve">: </w:t>
      </w:r>
      <w:r w:rsidRPr="00977432">
        <w:rPr>
          <w:sz w:val="24"/>
          <w:szCs w:val="24"/>
        </w:rPr>
        <w:t>Prácticas de integración universitaria para fomentar la permanencia y para la reducc</w:t>
      </w:r>
      <w:r>
        <w:rPr>
          <w:sz w:val="24"/>
          <w:szCs w:val="24"/>
        </w:rPr>
        <w:t>ión del abandono (Las tutorías-m</w:t>
      </w:r>
      <w:r w:rsidRPr="00977432">
        <w:rPr>
          <w:sz w:val="24"/>
          <w:szCs w:val="24"/>
        </w:rPr>
        <w:t>entorías)</w:t>
      </w:r>
    </w:p>
    <w:p w14:paraId="190794BC" w14:textId="77777777" w:rsidR="00C0786F" w:rsidRDefault="00C0786F" w:rsidP="00205008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</w:p>
    <w:p w14:paraId="3C7AE3D1" w14:textId="77777777" w:rsidR="00C0786F" w:rsidRPr="00C0786F" w:rsidRDefault="00C0786F" w:rsidP="00C0786F">
      <w:pPr>
        <w:tabs>
          <w:tab w:val="left" w:pos="9638"/>
        </w:tabs>
        <w:ind w:leftChars="0" w:left="2" w:hanging="2"/>
        <w:jc w:val="right"/>
      </w:pPr>
      <w:r w:rsidRPr="00C0786F">
        <w:rPr>
          <w:i/>
          <w:iCs/>
          <w:color w:val="000000"/>
          <w:sz w:val="24"/>
          <w:szCs w:val="24"/>
        </w:rPr>
        <w:t xml:space="preserve">Soledad Barrera Muñoz, Universidad Católica del Maule, Talca, Chile, </w:t>
      </w:r>
      <w:r w:rsidRPr="00C0786F">
        <w:rPr>
          <w:i/>
          <w:iCs/>
          <w:sz w:val="24"/>
          <w:szCs w:val="24"/>
        </w:rPr>
        <w:t xml:space="preserve"> </w:t>
      </w:r>
      <w:hyperlink r:id="rId11" w:history="1">
        <w:r w:rsidRPr="00C0786F">
          <w:rPr>
            <w:i/>
            <w:iCs/>
            <w:color w:val="0000FF"/>
            <w:sz w:val="24"/>
            <w:szCs w:val="24"/>
            <w:u w:val="single"/>
          </w:rPr>
          <w:t>sbarrera@ucm.cl</w:t>
        </w:r>
      </w:hyperlink>
    </w:p>
    <w:p w14:paraId="4C757581" w14:textId="4DECB7B7" w:rsidR="00C637C2" w:rsidRPr="00EF610E" w:rsidRDefault="00EF610E" w:rsidP="00EF610E">
      <w:pPr>
        <w:tabs>
          <w:tab w:val="left" w:pos="9638"/>
        </w:tabs>
        <w:ind w:left="0" w:hanging="2"/>
        <w:jc w:val="right"/>
        <w:rPr>
          <w:i/>
          <w:iCs/>
          <w:color w:val="000000"/>
          <w:sz w:val="24"/>
          <w:szCs w:val="24"/>
        </w:rPr>
      </w:pPr>
      <w:r w:rsidRPr="00172A5C">
        <w:rPr>
          <w:i/>
          <w:iCs/>
          <w:color w:val="000000"/>
          <w:sz w:val="24"/>
          <w:szCs w:val="24"/>
        </w:rPr>
        <w:t xml:space="preserve"> </w:t>
      </w:r>
      <w:r w:rsidR="00205008">
        <w:t xml:space="preserve">   </w:t>
      </w:r>
    </w:p>
    <w:p w14:paraId="7A8E0C36" w14:textId="3D74A639" w:rsidR="00FF0C37" w:rsidRDefault="00D843A7" w:rsidP="00FF0C3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Resumen</w:t>
      </w:r>
      <w:r w:rsidR="00B50DF1">
        <w:rPr>
          <w:b/>
          <w:sz w:val="24"/>
          <w:szCs w:val="24"/>
        </w:rPr>
        <w:t xml:space="preserve">. </w:t>
      </w:r>
      <w:r w:rsidR="00205008">
        <w:rPr>
          <w:sz w:val="24"/>
          <w:szCs w:val="24"/>
        </w:rPr>
        <w:t xml:space="preserve">Ingresar a la Educación Superior es una experiencia </w:t>
      </w:r>
      <w:r w:rsidR="006A5979">
        <w:rPr>
          <w:sz w:val="24"/>
          <w:szCs w:val="24"/>
        </w:rPr>
        <w:t>que,</w:t>
      </w:r>
      <w:r w:rsidR="00205008">
        <w:rPr>
          <w:sz w:val="24"/>
          <w:szCs w:val="24"/>
        </w:rPr>
        <w:t xml:space="preserve"> para muchos estudiantes, se convertirá en un desafío constante, pues no solo será el primer paso en el camino de su formación profesional, sino también, porque se pondrán a prueba sus habilidades cognitivas, sociales y comunicativas, y necesitará apoyo para fortalecerlas. A partir de este contexto educativo que una universidad, ubicada en la zona centro sur de Chile, a través de su Centro de Apoyo al Aprendizaje (CAP), llevó a cabo</w:t>
      </w:r>
      <w:r w:rsidR="00205008" w:rsidRPr="0046159F">
        <w:t xml:space="preserve"> </w:t>
      </w:r>
      <w:r w:rsidR="00205008" w:rsidRPr="0046159F">
        <w:rPr>
          <w:sz w:val="24"/>
          <w:szCs w:val="24"/>
        </w:rPr>
        <w:t>durante el mes de marzo</w:t>
      </w:r>
      <w:r w:rsidR="00205008">
        <w:rPr>
          <w:sz w:val="24"/>
          <w:szCs w:val="24"/>
        </w:rPr>
        <w:t xml:space="preserve"> una serie de actividades de inducción y acogida para los estudiantes de ingreso 2022. Entre ellas </w:t>
      </w:r>
      <w:r w:rsidR="007329EC">
        <w:rPr>
          <w:sz w:val="24"/>
          <w:szCs w:val="24"/>
        </w:rPr>
        <w:t>se destacan</w:t>
      </w:r>
      <w:r w:rsidR="00205008">
        <w:rPr>
          <w:sz w:val="24"/>
          <w:szCs w:val="24"/>
        </w:rPr>
        <w:t xml:space="preserve"> </w:t>
      </w:r>
      <w:r w:rsidR="00205008" w:rsidRPr="00CB2992">
        <w:rPr>
          <w:sz w:val="24"/>
          <w:szCs w:val="24"/>
        </w:rPr>
        <w:t xml:space="preserve">los </w:t>
      </w:r>
      <w:r w:rsidR="00205008">
        <w:rPr>
          <w:sz w:val="24"/>
          <w:szCs w:val="24"/>
        </w:rPr>
        <w:t>T</w:t>
      </w:r>
      <w:r w:rsidR="00205008" w:rsidRPr="00CB2992">
        <w:rPr>
          <w:sz w:val="24"/>
          <w:szCs w:val="24"/>
        </w:rPr>
        <w:t>alleres</w:t>
      </w:r>
      <w:r w:rsidR="00205008">
        <w:rPr>
          <w:sz w:val="24"/>
          <w:szCs w:val="24"/>
        </w:rPr>
        <w:t xml:space="preserve"> </w:t>
      </w:r>
      <w:r w:rsidR="00AC65F7">
        <w:rPr>
          <w:sz w:val="24"/>
          <w:szCs w:val="24"/>
        </w:rPr>
        <w:t>de</w:t>
      </w:r>
      <w:r w:rsidR="00205008">
        <w:rPr>
          <w:sz w:val="24"/>
          <w:szCs w:val="24"/>
        </w:rPr>
        <w:t xml:space="preserve"> Comunicación Efectiva </w:t>
      </w:r>
      <w:r w:rsidR="007329EC">
        <w:rPr>
          <w:sz w:val="24"/>
          <w:szCs w:val="24"/>
        </w:rPr>
        <w:t>(</w:t>
      </w:r>
      <w:r w:rsidR="00205008">
        <w:rPr>
          <w:sz w:val="24"/>
          <w:szCs w:val="24"/>
        </w:rPr>
        <w:t xml:space="preserve">TCE), </w:t>
      </w:r>
      <w:r w:rsidR="00205008" w:rsidRPr="00CB2992">
        <w:rPr>
          <w:sz w:val="24"/>
          <w:szCs w:val="24"/>
        </w:rPr>
        <w:t xml:space="preserve">cuyo objetivo fue </w:t>
      </w:r>
      <w:r w:rsidR="00205008">
        <w:rPr>
          <w:sz w:val="24"/>
          <w:szCs w:val="24"/>
        </w:rPr>
        <w:t>fortalecer</w:t>
      </w:r>
      <w:r w:rsidR="00205008" w:rsidRPr="00CB2992">
        <w:rPr>
          <w:sz w:val="24"/>
          <w:szCs w:val="24"/>
        </w:rPr>
        <w:t xml:space="preserve"> sus habilidades y adec</w:t>
      </w:r>
      <w:r w:rsidR="00205008">
        <w:rPr>
          <w:sz w:val="24"/>
          <w:szCs w:val="24"/>
        </w:rPr>
        <w:t>uarlas al contexto académico</w:t>
      </w:r>
      <w:r w:rsidR="009B196F">
        <w:rPr>
          <w:sz w:val="24"/>
          <w:szCs w:val="24"/>
        </w:rPr>
        <w:t xml:space="preserve">, convirtiéndolos en el primer apoyo y la </w:t>
      </w:r>
      <w:r w:rsidR="00205008" w:rsidRPr="00CB2992">
        <w:rPr>
          <w:sz w:val="24"/>
          <w:szCs w:val="24"/>
        </w:rPr>
        <w:t>respuesta esperada</w:t>
      </w:r>
      <w:r w:rsidR="009B196F">
        <w:rPr>
          <w:sz w:val="24"/>
          <w:szCs w:val="24"/>
        </w:rPr>
        <w:t>,</w:t>
      </w:r>
      <w:r w:rsidR="00205008" w:rsidRPr="00CB2992">
        <w:rPr>
          <w:sz w:val="24"/>
          <w:szCs w:val="24"/>
        </w:rPr>
        <w:t xml:space="preserve"> frente a las necesidades comun</w:t>
      </w:r>
      <w:r w:rsidR="00991F33">
        <w:rPr>
          <w:sz w:val="24"/>
          <w:szCs w:val="24"/>
        </w:rPr>
        <w:t>icativas de los jóvenes novatos y una instancia clave para reducir el abandono.</w:t>
      </w:r>
    </w:p>
    <w:p w14:paraId="793557D5" w14:textId="1943D61C" w:rsidR="004C2CC8" w:rsidRDefault="00C719AB" w:rsidP="00FF0C3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 w:rsidR="00205008">
        <w:rPr>
          <w:sz w:val="24"/>
          <w:szCs w:val="24"/>
        </w:rPr>
        <w:t>Para</w:t>
      </w:r>
      <w:r>
        <w:rPr>
          <w:sz w:val="24"/>
          <w:szCs w:val="24"/>
        </w:rPr>
        <w:t xml:space="preserve"> efectos de este trabajo</w:t>
      </w:r>
      <w:r w:rsidR="006A5979">
        <w:rPr>
          <w:sz w:val="24"/>
          <w:szCs w:val="24"/>
        </w:rPr>
        <w:t>,</w:t>
      </w:r>
      <w:r w:rsidR="00870C59">
        <w:rPr>
          <w:sz w:val="24"/>
          <w:szCs w:val="24"/>
        </w:rPr>
        <w:t xml:space="preserve"> </w:t>
      </w:r>
      <w:r w:rsidR="00205008">
        <w:rPr>
          <w:sz w:val="24"/>
          <w:szCs w:val="24"/>
        </w:rPr>
        <w:t xml:space="preserve">se iniciará con una </w:t>
      </w:r>
      <w:r w:rsidR="004C2CC8">
        <w:rPr>
          <w:sz w:val="24"/>
          <w:szCs w:val="24"/>
        </w:rPr>
        <w:t>introducción que da</w:t>
      </w:r>
      <w:r w:rsidR="001D4DB4">
        <w:rPr>
          <w:sz w:val="24"/>
          <w:szCs w:val="24"/>
        </w:rPr>
        <w:t>rá</w:t>
      </w:r>
      <w:r w:rsidR="004C2CC8">
        <w:rPr>
          <w:sz w:val="24"/>
          <w:szCs w:val="24"/>
        </w:rPr>
        <w:t xml:space="preserve"> cuenta, a modo general, </w:t>
      </w:r>
      <w:r w:rsidR="00205008">
        <w:rPr>
          <w:sz w:val="24"/>
          <w:szCs w:val="24"/>
        </w:rPr>
        <w:t xml:space="preserve">de la actividad base que propicia la realización de los TCE. </w:t>
      </w:r>
      <w:r w:rsidR="009B196F">
        <w:rPr>
          <w:sz w:val="24"/>
          <w:szCs w:val="24"/>
        </w:rPr>
        <w:t>Luego,</w:t>
      </w:r>
      <w:r w:rsidR="00205008">
        <w:rPr>
          <w:sz w:val="24"/>
          <w:szCs w:val="24"/>
        </w:rPr>
        <w:t xml:space="preserve"> se </w:t>
      </w:r>
      <w:r w:rsidR="001D4DB4">
        <w:rPr>
          <w:sz w:val="24"/>
          <w:szCs w:val="24"/>
        </w:rPr>
        <w:t>describirán</w:t>
      </w:r>
      <w:r w:rsidR="00205008">
        <w:rPr>
          <w:sz w:val="24"/>
          <w:szCs w:val="24"/>
        </w:rPr>
        <w:t xml:space="preserve"> los cinco talleres desarrollados</w:t>
      </w:r>
      <w:r w:rsidR="001D4DB4">
        <w:rPr>
          <w:sz w:val="24"/>
          <w:szCs w:val="24"/>
        </w:rPr>
        <w:t xml:space="preserve"> y su metodología</w:t>
      </w:r>
      <w:r w:rsidR="00205008">
        <w:rPr>
          <w:sz w:val="24"/>
          <w:szCs w:val="24"/>
        </w:rPr>
        <w:t xml:space="preserve">, </w:t>
      </w:r>
      <w:r w:rsidR="009B196F">
        <w:rPr>
          <w:sz w:val="24"/>
          <w:szCs w:val="24"/>
        </w:rPr>
        <w:t xml:space="preserve">cuyos </w:t>
      </w:r>
      <w:r w:rsidR="00205008">
        <w:rPr>
          <w:sz w:val="24"/>
          <w:szCs w:val="24"/>
        </w:rPr>
        <w:t xml:space="preserve">nombres son: </w:t>
      </w:r>
      <w:r w:rsidR="00205008" w:rsidRPr="002344BB">
        <w:rPr>
          <w:sz w:val="24"/>
          <w:szCs w:val="24"/>
        </w:rPr>
        <w:t xml:space="preserve">¡Activemos el micrófono!; ¡Cuidado! Alerta de plagio; ¡Ha llegado E-mail!; Creer o no creer. Ese es el dilema; y ¡Profe! ¿Qué hay que </w:t>
      </w:r>
      <w:r w:rsidR="00C76FF9" w:rsidRPr="002344BB">
        <w:rPr>
          <w:sz w:val="24"/>
          <w:szCs w:val="24"/>
        </w:rPr>
        <w:t>hacer?</w:t>
      </w:r>
      <w:r w:rsidR="00C76FF9">
        <w:rPr>
          <w:sz w:val="24"/>
          <w:szCs w:val="24"/>
        </w:rPr>
        <w:t xml:space="preserve"> </w:t>
      </w:r>
      <w:r w:rsidR="001D4DB4">
        <w:rPr>
          <w:sz w:val="24"/>
          <w:szCs w:val="24"/>
        </w:rPr>
        <w:t>Junto con ello, se fundamentarán con</w:t>
      </w:r>
      <w:r w:rsidR="00205008">
        <w:rPr>
          <w:sz w:val="24"/>
          <w:szCs w:val="24"/>
        </w:rPr>
        <w:t xml:space="preserve"> </w:t>
      </w:r>
      <w:r w:rsidR="00205008" w:rsidRPr="00885578">
        <w:rPr>
          <w:sz w:val="24"/>
          <w:szCs w:val="24"/>
        </w:rPr>
        <w:t>a</w:t>
      </w:r>
      <w:r w:rsidR="001D4DB4">
        <w:rPr>
          <w:sz w:val="24"/>
          <w:szCs w:val="24"/>
        </w:rPr>
        <w:t xml:space="preserve">porte teórico las decisiones tomadas en su planificación, como también, </w:t>
      </w:r>
      <w:r w:rsidR="009B196F">
        <w:rPr>
          <w:sz w:val="24"/>
          <w:szCs w:val="24"/>
        </w:rPr>
        <w:t xml:space="preserve">se evidenciará </w:t>
      </w:r>
      <w:r w:rsidR="001D4DB4">
        <w:rPr>
          <w:sz w:val="24"/>
          <w:szCs w:val="24"/>
        </w:rPr>
        <w:t>su estrecha relación c</w:t>
      </w:r>
      <w:r w:rsidR="009B196F">
        <w:rPr>
          <w:sz w:val="24"/>
          <w:szCs w:val="24"/>
        </w:rPr>
        <w:t>on la alfabetización académica, y las propuestas de apoyo y acompañamiento recibidas por l</w:t>
      </w:r>
      <w:r w:rsidR="001D4DB4">
        <w:rPr>
          <w:sz w:val="24"/>
          <w:szCs w:val="24"/>
        </w:rPr>
        <w:t xml:space="preserve">os/as estudiantes durante todo el semestre, </w:t>
      </w:r>
      <w:r w:rsidR="009B196F">
        <w:rPr>
          <w:sz w:val="24"/>
          <w:szCs w:val="24"/>
        </w:rPr>
        <w:t>apoyando su avance curricular y aprobación, r</w:t>
      </w:r>
      <w:r w:rsidR="001D4DB4">
        <w:rPr>
          <w:sz w:val="24"/>
          <w:szCs w:val="24"/>
        </w:rPr>
        <w:t xml:space="preserve">educiendo el abandono de la Educación Superior. </w:t>
      </w:r>
    </w:p>
    <w:p w14:paraId="334C6C31" w14:textId="41F2095C" w:rsidR="009D31F5" w:rsidRDefault="00870C59" w:rsidP="00FF0C3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Se continuará con</w:t>
      </w:r>
      <w:r w:rsidR="004D293A">
        <w:rPr>
          <w:sz w:val="24"/>
          <w:szCs w:val="24"/>
        </w:rPr>
        <w:t xml:space="preserve"> </w:t>
      </w:r>
      <w:r w:rsidR="00DF7C62">
        <w:rPr>
          <w:sz w:val="24"/>
          <w:szCs w:val="24"/>
        </w:rPr>
        <w:t>la</w:t>
      </w:r>
      <w:r w:rsidR="00263917">
        <w:rPr>
          <w:sz w:val="24"/>
          <w:szCs w:val="24"/>
        </w:rPr>
        <w:t xml:space="preserve"> información cuantitativa</w:t>
      </w:r>
      <w:r w:rsidR="00DF7C62">
        <w:rPr>
          <w:sz w:val="24"/>
          <w:szCs w:val="24"/>
        </w:rPr>
        <w:t xml:space="preserve"> frente a los</w:t>
      </w:r>
      <w:r w:rsidR="004C2CC8">
        <w:rPr>
          <w:sz w:val="24"/>
          <w:szCs w:val="24"/>
        </w:rPr>
        <w:t xml:space="preserve"> resultados</w:t>
      </w:r>
      <w:r w:rsidR="00263917">
        <w:rPr>
          <w:sz w:val="24"/>
          <w:szCs w:val="24"/>
        </w:rPr>
        <w:t xml:space="preserve"> </w:t>
      </w:r>
      <w:r w:rsidR="00991F33">
        <w:rPr>
          <w:sz w:val="24"/>
          <w:szCs w:val="24"/>
        </w:rPr>
        <w:t>obtenidos</w:t>
      </w:r>
      <w:r w:rsidR="005621EC">
        <w:rPr>
          <w:sz w:val="24"/>
          <w:szCs w:val="24"/>
        </w:rPr>
        <w:t xml:space="preserve"> evidenciando la </w:t>
      </w:r>
      <w:r>
        <w:rPr>
          <w:sz w:val="24"/>
          <w:szCs w:val="24"/>
        </w:rPr>
        <w:t>participación</w:t>
      </w:r>
      <w:r w:rsidR="004C2CC8">
        <w:rPr>
          <w:sz w:val="24"/>
          <w:szCs w:val="24"/>
        </w:rPr>
        <w:t xml:space="preserve"> de</w:t>
      </w:r>
      <w:r w:rsidR="006215AA">
        <w:rPr>
          <w:sz w:val="24"/>
          <w:szCs w:val="24"/>
        </w:rPr>
        <w:t xml:space="preserve"> los</w:t>
      </w:r>
      <w:r w:rsidR="005621EC">
        <w:rPr>
          <w:sz w:val="24"/>
          <w:szCs w:val="24"/>
        </w:rPr>
        <w:t>/as</w:t>
      </w:r>
      <w:r w:rsidR="006215AA">
        <w:rPr>
          <w:sz w:val="24"/>
          <w:szCs w:val="24"/>
        </w:rPr>
        <w:t xml:space="preserve"> estudiantes </w:t>
      </w:r>
      <w:r w:rsidR="00AC65F7">
        <w:rPr>
          <w:sz w:val="24"/>
          <w:szCs w:val="24"/>
        </w:rPr>
        <w:t>en los</w:t>
      </w:r>
      <w:r w:rsidR="005621EC">
        <w:rPr>
          <w:sz w:val="24"/>
          <w:szCs w:val="24"/>
        </w:rPr>
        <w:t xml:space="preserve"> TCE, las </w:t>
      </w:r>
      <w:r w:rsidR="00263917">
        <w:rPr>
          <w:sz w:val="24"/>
          <w:szCs w:val="24"/>
        </w:rPr>
        <w:t xml:space="preserve">respuestas </w:t>
      </w:r>
      <w:r w:rsidR="005621EC">
        <w:rPr>
          <w:sz w:val="24"/>
          <w:szCs w:val="24"/>
        </w:rPr>
        <w:t>obteni</w:t>
      </w:r>
      <w:r w:rsidR="009D31F5">
        <w:rPr>
          <w:sz w:val="24"/>
          <w:szCs w:val="24"/>
        </w:rPr>
        <w:t>das en una encuesta de opinión y su permanencia como estudiantes regulares ingreso 2022, 2do semestre académico.</w:t>
      </w:r>
    </w:p>
    <w:p w14:paraId="6FEA5ADA" w14:textId="7D5DDBE5" w:rsidR="005E73F6" w:rsidRDefault="002843B7" w:rsidP="00FF0C3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</w:t>
      </w:r>
      <w:r w:rsidR="004E0178">
        <w:rPr>
          <w:sz w:val="24"/>
          <w:szCs w:val="24"/>
        </w:rPr>
        <w:t xml:space="preserve">ara finalizar, </w:t>
      </w:r>
      <w:r>
        <w:rPr>
          <w:sz w:val="24"/>
          <w:szCs w:val="24"/>
        </w:rPr>
        <w:t xml:space="preserve">se compartirán </w:t>
      </w:r>
      <w:r w:rsidR="004E0178">
        <w:rPr>
          <w:sz w:val="24"/>
          <w:szCs w:val="24"/>
        </w:rPr>
        <w:t xml:space="preserve">algunas </w:t>
      </w:r>
      <w:r w:rsidR="00A12C2A">
        <w:rPr>
          <w:sz w:val="24"/>
          <w:szCs w:val="24"/>
        </w:rPr>
        <w:t>conclusiones que se despre</w:t>
      </w:r>
      <w:r w:rsidR="004E0178">
        <w:rPr>
          <w:sz w:val="24"/>
          <w:szCs w:val="24"/>
        </w:rPr>
        <w:t>nden de esta actividad</w:t>
      </w:r>
      <w:r w:rsidR="009A7DDB">
        <w:rPr>
          <w:sz w:val="24"/>
          <w:szCs w:val="24"/>
        </w:rPr>
        <w:t xml:space="preserve">, </w:t>
      </w:r>
      <w:r w:rsidR="005E73F6">
        <w:rPr>
          <w:sz w:val="24"/>
          <w:szCs w:val="24"/>
        </w:rPr>
        <w:t>al considerarla una instancia clave para los/as estudiantes en su proceso de inserción a la universidad, como también, por la entrega de herramientas comunicativas necesarias para enfrentar su ingreso a la</w:t>
      </w:r>
      <w:r w:rsidR="005E73F6" w:rsidRPr="005E73F6">
        <w:rPr>
          <w:sz w:val="24"/>
          <w:szCs w:val="24"/>
        </w:rPr>
        <w:t xml:space="preserve"> universidad</w:t>
      </w:r>
      <w:r w:rsidR="005E73F6">
        <w:rPr>
          <w:sz w:val="24"/>
          <w:szCs w:val="24"/>
        </w:rPr>
        <w:t xml:space="preserve"> y permanecer en ella.</w:t>
      </w:r>
    </w:p>
    <w:p w14:paraId="64CD0B89" w14:textId="69119419" w:rsidR="00205008" w:rsidRDefault="00205008" w:rsidP="0020500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Palabras Clave: </w:t>
      </w:r>
      <w:r>
        <w:rPr>
          <w:color w:val="000000"/>
          <w:sz w:val="24"/>
          <w:szCs w:val="24"/>
        </w:rPr>
        <w:t>I</w:t>
      </w:r>
      <w:r w:rsidRPr="005B3C2A">
        <w:rPr>
          <w:color w:val="000000"/>
          <w:sz w:val="24"/>
          <w:szCs w:val="24"/>
        </w:rPr>
        <w:t>nserción</w:t>
      </w:r>
      <w:r w:rsidR="00B670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Educación S</w:t>
      </w:r>
      <w:r w:rsidRPr="005B3C2A">
        <w:rPr>
          <w:color w:val="000000"/>
          <w:sz w:val="24"/>
          <w:szCs w:val="24"/>
        </w:rPr>
        <w:t>uperior</w:t>
      </w:r>
      <w:r>
        <w:rPr>
          <w:b/>
          <w:color w:val="000000"/>
          <w:sz w:val="24"/>
          <w:szCs w:val="24"/>
        </w:rPr>
        <w:t>,</w:t>
      </w:r>
      <w:r w:rsidR="005A5319">
        <w:rPr>
          <w:color w:val="000000"/>
          <w:sz w:val="24"/>
          <w:szCs w:val="24"/>
        </w:rPr>
        <w:t xml:space="preserve"> Habilidades</w:t>
      </w:r>
      <w:r w:rsidR="00B670AA">
        <w:rPr>
          <w:color w:val="000000"/>
          <w:sz w:val="24"/>
          <w:szCs w:val="24"/>
        </w:rPr>
        <w:t>, Comunicación Efectiva</w:t>
      </w:r>
      <w:r w:rsidR="005A5319">
        <w:rPr>
          <w:color w:val="000000"/>
          <w:sz w:val="24"/>
          <w:szCs w:val="24"/>
        </w:rPr>
        <w:t>,</w:t>
      </w:r>
      <w:r w:rsidR="005E73F6">
        <w:rPr>
          <w:color w:val="000000"/>
          <w:sz w:val="24"/>
          <w:szCs w:val="24"/>
        </w:rPr>
        <w:t xml:space="preserve"> Permanencia.</w:t>
      </w:r>
    </w:p>
    <w:p w14:paraId="7FD079BD" w14:textId="14C9D95A" w:rsidR="005E73F6" w:rsidRDefault="005E73F6" w:rsidP="0020500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</w:p>
    <w:p w14:paraId="1EA42099" w14:textId="77777777" w:rsidR="009D31F5" w:rsidRDefault="009D31F5" w:rsidP="0020500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</w:p>
    <w:p w14:paraId="51DAD48B" w14:textId="6D5AA992" w:rsidR="0064297C" w:rsidRDefault="00177CB2" w:rsidP="00D51882">
      <w:pPr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Introducción</w:t>
      </w:r>
      <w:r w:rsidR="00637AA3">
        <w:rPr>
          <w:b/>
          <w:color w:val="000000"/>
          <w:sz w:val="24"/>
          <w:szCs w:val="24"/>
        </w:rPr>
        <w:t xml:space="preserve"> </w:t>
      </w:r>
    </w:p>
    <w:p w14:paraId="7CF2A9EC" w14:textId="5D56E947" w:rsidR="005D7E0E" w:rsidRDefault="00DC55EB" w:rsidP="001F6EA3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El ingreso a la universidad en Chile ha ido en aumento en los últimos años, esto se debe a políticas pública</w:t>
      </w:r>
      <w:r w:rsidR="005D7E0E">
        <w:rPr>
          <w:sz w:val="24"/>
          <w:szCs w:val="24"/>
        </w:rPr>
        <w:t xml:space="preserve">s, </w:t>
      </w:r>
      <w:r>
        <w:rPr>
          <w:sz w:val="24"/>
          <w:szCs w:val="24"/>
        </w:rPr>
        <w:t>vías de ingreso o pro</w:t>
      </w:r>
      <w:r w:rsidR="0098620C">
        <w:rPr>
          <w:sz w:val="24"/>
          <w:szCs w:val="24"/>
        </w:rPr>
        <w:t xml:space="preserve">gramas de acceso inclusivo, </w:t>
      </w:r>
      <w:r>
        <w:rPr>
          <w:sz w:val="24"/>
          <w:szCs w:val="24"/>
        </w:rPr>
        <w:t>que tienden a</w:t>
      </w:r>
      <w:r w:rsidR="00425A3F">
        <w:rPr>
          <w:sz w:val="24"/>
          <w:szCs w:val="24"/>
        </w:rPr>
        <w:t xml:space="preserve"> reafirmar que la educación es un derecho</w:t>
      </w:r>
      <w:r>
        <w:rPr>
          <w:sz w:val="24"/>
          <w:szCs w:val="24"/>
        </w:rPr>
        <w:t xml:space="preserve">, independiente del contexto social o económico de </w:t>
      </w:r>
      <w:r w:rsidR="003714A7">
        <w:rPr>
          <w:sz w:val="24"/>
          <w:szCs w:val="24"/>
        </w:rPr>
        <w:t>los estudiantes (Ramírez y Martín, 201</w:t>
      </w:r>
      <w:r w:rsidR="00F2521A">
        <w:rPr>
          <w:sz w:val="24"/>
          <w:szCs w:val="24"/>
        </w:rPr>
        <w:t>8</w:t>
      </w:r>
      <w:r w:rsidR="003714A7">
        <w:rPr>
          <w:sz w:val="24"/>
          <w:szCs w:val="24"/>
        </w:rPr>
        <w:t>)</w:t>
      </w:r>
      <w:r w:rsidR="005D7E0E">
        <w:rPr>
          <w:sz w:val="24"/>
          <w:szCs w:val="24"/>
        </w:rPr>
        <w:t xml:space="preserve">. </w:t>
      </w:r>
      <w:r w:rsidR="006A3CED">
        <w:rPr>
          <w:sz w:val="24"/>
          <w:szCs w:val="24"/>
        </w:rPr>
        <w:t>Esta ad</w:t>
      </w:r>
      <w:r w:rsidR="00425A3F">
        <w:rPr>
          <w:sz w:val="24"/>
          <w:szCs w:val="24"/>
        </w:rPr>
        <w:t xml:space="preserve">misión </w:t>
      </w:r>
      <w:r w:rsidR="006A3CED">
        <w:rPr>
          <w:sz w:val="24"/>
          <w:szCs w:val="24"/>
        </w:rPr>
        <w:t>masiva</w:t>
      </w:r>
      <w:r w:rsidR="005D7E0E">
        <w:rPr>
          <w:sz w:val="24"/>
          <w:szCs w:val="24"/>
        </w:rPr>
        <w:t>, eviden</w:t>
      </w:r>
      <w:r w:rsidR="00B32F3B">
        <w:rPr>
          <w:sz w:val="24"/>
          <w:szCs w:val="24"/>
        </w:rPr>
        <w:t>cia</w:t>
      </w:r>
      <w:r w:rsidR="00425A3F">
        <w:rPr>
          <w:sz w:val="24"/>
          <w:szCs w:val="24"/>
        </w:rPr>
        <w:t xml:space="preserve"> </w:t>
      </w:r>
      <w:r w:rsidR="00860B01">
        <w:rPr>
          <w:sz w:val="24"/>
          <w:szCs w:val="24"/>
        </w:rPr>
        <w:t>los aspectos r</w:t>
      </w:r>
      <w:r w:rsidR="006A3CED">
        <w:rPr>
          <w:sz w:val="24"/>
          <w:szCs w:val="24"/>
        </w:rPr>
        <w:t xml:space="preserve">elacionados a la desigualdad en la formación secundaria, como también, en </w:t>
      </w:r>
      <w:r w:rsidR="00425A3F">
        <w:rPr>
          <w:sz w:val="24"/>
          <w:szCs w:val="24"/>
        </w:rPr>
        <w:t>las estrategias y habilidades personales y comunicativas de los jóvenes n</w:t>
      </w:r>
      <w:r w:rsidR="00860B01">
        <w:rPr>
          <w:sz w:val="24"/>
          <w:szCs w:val="24"/>
        </w:rPr>
        <w:t>ovatos</w:t>
      </w:r>
      <w:r w:rsidR="00B32F3B">
        <w:rPr>
          <w:sz w:val="24"/>
          <w:szCs w:val="24"/>
        </w:rPr>
        <w:t xml:space="preserve"> que se </w:t>
      </w:r>
      <w:r w:rsidR="00425A3F">
        <w:rPr>
          <w:sz w:val="24"/>
          <w:szCs w:val="24"/>
        </w:rPr>
        <w:t>pondrán a prueba al momento de enfr</w:t>
      </w:r>
      <w:r w:rsidR="006A3CED">
        <w:rPr>
          <w:sz w:val="24"/>
          <w:szCs w:val="24"/>
        </w:rPr>
        <w:t>entar las exigencias académicas (</w:t>
      </w:r>
      <w:r w:rsidR="006A3CED" w:rsidRPr="006A3CED">
        <w:rPr>
          <w:sz w:val="24"/>
          <w:szCs w:val="24"/>
        </w:rPr>
        <w:t>Espinoza y González, 2015</w:t>
      </w:r>
      <w:r w:rsidR="001F6EA3">
        <w:rPr>
          <w:sz w:val="24"/>
          <w:szCs w:val="24"/>
        </w:rPr>
        <w:t xml:space="preserve">). Según los autores, facilitar el acceso a la educación superior implicaría, además, “generar las condiciones para que los jóvenes </w:t>
      </w:r>
      <w:r w:rsidR="001F6EA3" w:rsidRPr="001F6EA3">
        <w:rPr>
          <w:sz w:val="24"/>
          <w:szCs w:val="24"/>
        </w:rPr>
        <w:t>puedan desarrollar efectivamente su potencial a lo largo</w:t>
      </w:r>
      <w:r w:rsidR="001F6EA3">
        <w:rPr>
          <w:sz w:val="24"/>
          <w:szCs w:val="24"/>
        </w:rPr>
        <w:t xml:space="preserve"> </w:t>
      </w:r>
      <w:r w:rsidR="001F6EA3" w:rsidRPr="001F6EA3">
        <w:rPr>
          <w:sz w:val="24"/>
          <w:szCs w:val="24"/>
        </w:rPr>
        <w:t>d</w:t>
      </w:r>
      <w:r w:rsidR="001F6EA3">
        <w:rPr>
          <w:sz w:val="24"/>
          <w:szCs w:val="24"/>
        </w:rPr>
        <w:t>e toda su trayectoria educativa” (p. 520).</w:t>
      </w:r>
    </w:p>
    <w:p w14:paraId="28653177" w14:textId="7F632C70" w:rsidR="002256AA" w:rsidRDefault="003055ED" w:rsidP="00626993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A partir de este contexto que una universidad ubi</w:t>
      </w:r>
      <w:r w:rsidR="0064297C" w:rsidRPr="0064297C">
        <w:rPr>
          <w:sz w:val="24"/>
          <w:szCs w:val="24"/>
        </w:rPr>
        <w:t>cada en la zona centro sur de Chile, a través de su Centro de Apoyo al Aprendizaje (CAP), llevó a cabo durante el mes de</w:t>
      </w:r>
      <w:r w:rsidR="007A729E">
        <w:rPr>
          <w:sz w:val="24"/>
          <w:szCs w:val="24"/>
        </w:rPr>
        <w:t xml:space="preserve"> marzo una serie de talleres </w:t>
      </w:r>
      <w:r w:rsidR="0064297C" w:rsidRPr="0064297C">
        <w:rPr>
          <w:sz w:val="24"/>
          <w:szCs w:val="24"/>
        </w:rPr>
        <w:t>de inducción y acogida para l</w:t>
      </w:r>
      <w:r>
        <w:rPr>
          <w:sz w:val="24"/>
          <w:szCs w:val="24"/>
        </w:rPr>
        <w:t>os estudiantes de ingreso 20</w:t>
      </w:r>
      <w:r w:rsidR="007A729E">
        <w:rPr>
          <w:sz w:val="24"/>
          <w:szCs w:val="24"/>
        </w:rPr>
        <w:t>22, entregándoles herramientas para la inserción a la cultura acadé</w:t>
      </w:r>
      <w:r w:rsidR="00626993">
        <w:rPr>
          <w:sz w:val="24"/>
          <w:szCs w:val="24"/>
        </w:rPr>
        <w:t xml:space="preserve">mica. La </w:t>
      </w:r>
      <w:r w:rsidR="00E355A5">
        <w:rPr>
          <w:sz w:val="24"/>
          <w:szCs w:val="24"/>
        </w:rPr>
        <w:t>actividad principal</w:t>
      </w:r>
      <w:r w:rsidR="00626993">
        <w:rPr>
          <w:sz w:val="24"/>
          <w:szCs w:val="24"/>
        </w:rPr>
        <w:t xml:space="preserve"> denominada Comienza tu Universidad (CTU)</w:t>
      </w:r>
      <w:r w:rsidR="00965583">
        <w:rPr>
          <w:sz w:val="24"/>
          <w:szCs w:val="24"/>
        </w:rPr>
        <w:t xml:space="preserve"> </w:t>
      </w:r>
      <w:r w:rsidR="00B32F3B">
        <w:rPr>
          <w:sz w:val="24"/>
          <w:szCs w:val="24"/>
        </w:rPr>
        <w:t>incluye una serie de</w:t>
      </w:r>
      <w:r w:rsidR="007207A3">
        <w:rPr>
          <w:sz w:val="24"/>
          <w:szCs w:val="24"/>
        </w:rPr>
        <w:t xml:space="preserve"> talleres</w:t>
      </w:r>
      <w:r w:rsidR="00B32F3B">
        <w:rPr>
          <w:sz w:val="24"/>
          <w:szCs w:val="24"/>
        </w:rPr>
        <w:t>, de diversas áreas,</w:t>
      </w:r>
      <w:r w:rsidR="007207A3">
        <w:rPr>
          <w:sz w:val="24"/>
          <w:szCs w:val="24"/>
        </w:rPr>
        <w:t xml:space="preserve"> solicitados por los directores de carrera, dirigidos</w:t>
      </w:r>
      <w:r w:rsidR="009F5854">
        <w:rPr>
          <w:sz w:val="24"/>
          <w:szCs w:val="24"/>
        </w:rPr>
        <w:t xml:space="preserve"> a estudiantes de primer año</w:t>
      </w:r>
      <w:r w:rsidR="007207A3">
        <w:rPr>
          <w:sz w:val="24"/>
          <w:szCs w:val="24"/>
        </w:rPr>
        <w:t xml:space="preserve">, con el fin de </w:t>
      </w:r>
      <w:r w:rsidR="009F5854">
        <w:rPr>
          <w:sz w:val="24"/>
          <w:szCs w:val="24"/>
        </w:rPr>
        <w:t>f</w:t>
      </w:r>
      <w:r w:rsidR="00626993" w:rsidRPr="00626993">
        <w:rPr>
          <w:sz w:val="24"/>
          <w:szCs w:val="24"/>
        </w:rPr>
        <w:t>ortalecer</w:t>
      </w:r>
      <w:r w:rsidR="009F5854">
        <w:rPr>
          <w:sz w:val="24"/>
          <w:szCs w:val="24"/>
        </w:rPr>
        <w:t xml:space="preserve"> sus habilidades cognitivas, </w:t>
      </w:r>
      <w:r w:rsidR="00626993" w:rsidRPr="00626993">
        <w:rPr>
          <w:sz w:val="24"/>
          <w:szCs w:val="24"/>
        </w:rPr>
        <w:t>psicosociales</w:t>
      </w:r>
      <w:r w:rsidR="009F5854">
        <w:rPr>
          <w:sz w:val="24"/>
          <w:szCs w:val="24"/>
        </w:rPr>
        <w:t xml:space="preserve"> y comunicativas, </w:t>
      </w:r>
      <w:r w:rsidR="008A400E">
        <w:rPr>
          <w:sz w:val="24"/>
          <w:szCs w:val="24"/>
        </w:rPr>
        <w:t xml:space="preserve">para que </w:t>
      </w:r>
      <w:r w:rsidR="002256AA">
        <w:rPr>
          <w:sz w:val="24"/>
          <w:szCs w:val="24"/>
        </w:rPr>
        <w:t>pueda</w:t>
      </w:r>
      <w:r w:rsidR="008A400E">
        <w:rPr>
          <w:sz w:val="24"/>
          <w:szCs w:val="24"/>
        </w:rPr>
        <w:t>n</w:t>
      </w:r>
      <w:r w:rsidR="002256AA">
        <w:rPr>
          <w:sz w:val="24"/>
          <w:szCs w:val="24"/>
        </w:rPr>
        <w:t xml:space="preserve"> en</w:t>
      </w:r>
      <w:r w:rsidR="008A400E">
        <w:rPr>
          <w:sz w:val="24"/>
          <w:szCs w:val="24"/>
        </w:rPr>
        <w:t xml:space="preserve">frentar los retos y </w:t>
      </w:r>
      <w:r w:rsidR="002256AA">
        <w:rPr>
          <w:sz w:val="24"/>
          <w:szCs w:val="24"/>
        </w:rPr>
        <w:t>desafío</w:t>
      </w:r>
      <w:r w:rsidR="008A400E">
        <w:rPr>
          <w:sz w:val="24"/>
          <w:szCs w:val="24"/>
        </w:rPr>
        <w:t>s</w:t>
      </w:r>
      <w:r w:rsidR="002256AA">
        <w:rPr>
          <w:sz w:val="24"/>
          <w:szCs w:val="24"/>
        </w:rPr>
        <w:t xml:space="preserve"> de ingresar a la universidad.</w:t>
      </w:r>
    </w:p>
    <w:p w14:paraId="6A8BC573" w14:textId="40D7D583" w:rsidR="00D473B2" w:rsidRDefault="0064297C" w:rsidP="00CB3206">
      <w:pPr>
        <w:tabs>
          <w:tab w:val="left" w:pos="9638"/>
        </w:tabs>
        <w:ind w:left="0" w:hanging="2"/>
        <w:rPr>
          <w:sz w:val="24"/>
          <w:szCs w:val="24"/>
        </w:rPr>
      </w:pPr>
      <w:r w:rsidRPr="0064297C">
        <w:rPr>
          <w:sz w:val="24"/>
          <w:szCs w:val="24"/>
        </w:rPr>
        <w:t>Entre</w:t>
      </w:r>
      <w:r w:rsidR="008A400E">
        <w:rPr>
          <w:sz w:val="24"/>
          <w:szCs w:val="24"/>
        </w:rPr>
        <w:t xml:space="preserve"> las propuestas </w:t>
      </w:r>
      <w:r w:rsidR="00B32F3B">
        <w:rPr>
          <w:sz w:val="24"/>
          <w:szCs w:val="24"/>
        </w:rPr>
        <w:t>de</w:t>
      </w:r>
      <w:r w:rsidR="008A400E">
        <w:rPr>
          <w:sz w:val="24"/>
          <w:szCs w:val="24"/>
        </w:rPr>
        <w:t xml:space="preserve"> la semana CTU, están los Talleres de Co</w:t>
      </w:r>
      <w:r w:rsidRPr="0064297C">
        <w:rPr>
          <w:sz w:val="24"/>
          <w:szCs w:val="24"/>
        </w:rPr>
        <w:t>municación Efectiva (TCE), cuyo objetivo fue</w:t>
      </w:r>
      <w:r w:rsidR="00887FF8" w:rsidRPr="00887FF8">
        <w:t xml:space="preserve"> </w:t>
      </w:r>
      <w:r w:rsidR="00D473B2">
        <w:rPr>
          <w:sz w:val="24"/>
          <w:szCs w:val="24"/>
        </w:rPr>
        <w:t xml:space="preserve">fortalecer las </w:t>
      </w:r>
      <w:r w:rsidR="00887FF8" w:rsidRPr="00887FF8">
        <w:rPr>
          <w:sz w:val="24"/>
          <w:szCs w:val="24"/>
        </w:rPr>
        <w:t xml:space="preserve">habilidades </w:t>
      </w:r>
      <w:r w:rsidR="00D473B2">
        <w:rPr>
          <w:sz w:val="24"/>
          <w:szCs w:val="24"/>
        </w:rPr>
        <w:t>comunicativas de los/as estudiantes,</w:t>
      </w:r>
      <w:r w:rsidR="00887FF8">
        <w:rPr>
          <w:sz w:val="24"/>
          <w:szCs w:val="24"/>
        </w:rPr>
        <w:t xml:space="preserve"> propiciando</w:t>
      </w:r>
      <w:r w:rsidR="00B2530A">
        <w:rPr>
          <w:sz w:val="24"/>
          <w:szCs w:val="24"/>
        </w:rPr>
        <w:t xml:space="preserve"> espacios de interacción </w:t>
      </w:r>
      <w:r w:rsidR="00887FF8">
        <w:rPr>
          <w:sz w:val="24"/>
          <w:szCs w:val="24"/>
        </w:rPr>
        <w:t xml:space="preserve">y </w:t>
      </w:r>
      <w:r w:rsidR="00B32F3B">
        <w:rPr>
          <w:sz w:val="24"/>
          <w:szCs w:val="24"/>
        </w:rPr>
        <w:t>re</w:t>
      </w:r>
      <w:r w:rsidR="00887FF8">
        <w:rPr>
          <w:sz w:val="24"/>
          <w:szCs w:val="24"/>
        </w:rPr>
        <w:t xml:space="preserve">encuentro, luego de dos años </w:t>
      </w:r>
      <w:r w:rsidR="00D473B2">
        <w:rPr>
          <w:sz w:val="24"/>
          <w:szCs w:val="24"/>
        </w:rPr>
        <w:t>de</w:t>
      </w:r>
      <w:r w:rsidR="00B2530A">
        <w:rPr>
          <w:sz w:val="24"/>
          <w:szCs w:val="24"/>
        </w:rPr>
        <w:t xml:space="preserve"> clases virtuales.</w:t>
      </w:r>
      <w:r w:rsidR="00D473B2">
        <w:rPr>
          <w:sz w:val="24"/>
          <w:szCs w:val="24"/>
        </w:rPr>
        <w:t xml:space="preserve"> </w:t>
      </w:r>
    </w:p>
    <w:p w14:paraId="2F138688" w14:textId="52918A48" w:rsidR="001843C4" w:rsidRDefault="000F3190" w:rsidP="00CB3206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En cuanto al desarrollo de este trab</w:t>
      </w:r>
      <w:r w:rsidR="00CB3206">
        <w:rPr>
          <w:sz w:val="24"/>
          <w:szCs w:val="24"/>
        </w:rPr>
        <w:t xml:space="preserve">ajo, se iniciará con una </w:t>
      </w:r>
      <w:r w:rsidR="001843C4">
        <w:rPr>
          <w:sz w:val="24"/>
          <w:szCs w:val="24"/>
        </w:rPr>
        <w:t>presentación</w:t>
      </w:r>
      <w:r w:rsidR="00CB3206" w:rsidRPr="00CB3206">
        <w:rPr>
          <w:sz w:val="24"/>
          <w:szCs w:val="24"/>
        </w:rPr>
        <w:t xml:space="preserve"> </w:t>
      </w:r>
      <w:r w:rsidR="00CB3206">
        <w:rPr>
          <w:sz w:val="24"/>
          <w:szCs w:val="24"/>
        </w:rPr>
        <w:t xml:space="preserve">general </w:t>
      </w:r>
      <w:r w:rsidR="001843C4">
        <w:rPr>
          <w:sz w:val="24"/>
          <w:szCs w:val="24"/>
        </w:rPr>
        <w:t>de la pl</w:t>
      </w:r>
      <w:r w:rsidR="00D473B2">
        <w:rPr>
          <w:sz w:val="24"/>
          <w:szCs w:val="24"/>
        </w:rPr>
        <w:t>anificación de los TCE, la</w:t>
      </w:r>
      <w:r w:rsidR="001843C4">
        <w:rPr>
          <w:sz w:val="24"/>
          <w:szCs w:val="24"/>
        </w:rPr>
        <w:t xml:space="preserve"> metodología </w:t>
      </w:r>
      <w:r w:rsidR="00D473B2">
        <w:rPr>
          <w:sz w:val="24"/>
          <w:szCs w:val="24"/>
        </w:rPr>
        <w:t xml:space="preserve">utilizada </w:t>
      </w:r>
      <w:r w:rsidR="001843C4">
        <w:rPr>
          <w:sz w:val="24"/>
          <w:szCs w:val="24"/>
        </w:rPr>
        <w:t>y una breve</w:t>
      </w:r>
      <w:r w:rsidR="00D473B2">
        <w:rPr>
          <w:sz w:val="24"/>
          <w:szCs w:val="24"/>
        </w:rPr>
        <w:t xml:space="preserve"> descripción de cada uno de ellos, cuyos </w:t>
      </w:r>
      <w:r w:rsidR="00292FAC">
        <w:rPr>
          <w:sz w:val="24"/>
          <w:szCs w:val="24"/>
        </w:rPr>
        <w:t>nombres son:</w:t>
      </w:r>
      <w:r w:rsidR="00CB3206" w:rsidRPr="00CB3206">
        <w:rPr>
          <w:sz w:val="24"/>
          <w:szCs w:val="24"/>
        </w:rPr>
        <w:t xml:space="preserve"> ¡Activemos el micrófono!; ¡Cuidado! Alerta de plagio; ¡Ha llegado E-mail!; Creer o no creer. Ese es el dilema; y ¡Profe! ¿Qué hay que hacer?</w:t>
      </w:r>
      <w:r w:rsidR="00292FAC">
        <w:rPr>
          <w:sz w:val="24"/>
          <w:szCs w:val="24"/>
        </w:rPr>
        <w:t xml:space="preserve"> Posteriormente, se </w:t>
      </w:r>
      <w:r w:rsidR="00887FF8">
        <w:rPr>
          <w:sz w:val="24"/>
          <w:szCs w:val="24"/>
        </w:rPr>
        <w:t xml:space="preserve">fundamentarán </w:t>
      </w:r>
      <w:r w:rsidR="00E65BCC">
        <w:rPr>
          <w:sz w:val="24"/>
          <w:szCs w:val="24"/>
        </w:rPr>
        <w:t xml:space="preserve">algunas ideas, sustentando </w:t>
      </w:r>
      <w:r w:rsidR="00887FF8">
        <w:rPr>
          <w:sz w:val="24"/>
          <w:szCs w:val="24"/>
        </w:rPr>
        <w:t>la importancia de</w:t>
      </w:r>
      <w:r w:rsidR="00CE7F3E">
        <w:rPr>
          <w:sz w:val="24"/>
          <w:szCs w:val="24"/>
        </w:rPr>
        <w:t xml:space="preserve"> </w:t>
      </w:r>
      <w:r w:rsidR="007D650B">
        <w:rPr>
          <w:sz w:val="24"/>
          <w:szCs w:val="24"/>
        </w:rPr>
        <w:t xml:space="preserve">estas </w:t>
      </w:r>
      <w:r w:rsidR="00CE7F3E">
        <w:rPr>
          <w:sz w:val="24"/>
          <w:szCs w:val="24"/>
        </w:rPr>
        <w:t>propuestas didácticas que facilitan e</w:t>
      </w:r>
      <w:r w:rsidR="00E65BCC">
        <w:rPr>
          <w:sz w:val="24"/>
          <w:szCs w:val="24"/>
        </w:rPr>
        <w:t xml:space="preserve">l proceso de inducción, pero considerándolos un </w:t>
      </w:r>
      <w:r w:rsidR="00CE7F3E">
        <w:rPr>
          <w:sz w:val="24"/>
          <w:szCs w:val="24"/>
        </w:rPr>
        <w:t xml:space="preserve">aporte </w:t>
      </w:r>
      <w:r w:rsidR="00711FB7">
        <w:rPr>
          <w:sz w:val="24"/>
          <w:szCs w:val="24"/>
        </w:rPr>
        <w:t xml:space="preserve">inicial, </w:t>
      </w:r>
      <w:r w:rsidR="00E65BCC">
        <w:rPr>
          <w:sz w:val="24"/>
          <w:szCs w:val="24"/>
        </w:rPr>
        <w:t xml:space="preserve">porque </w:t>
      </w:r>
      <w:r w:rsidR="00CE7F3E">
        <w:rPr>
          <w:sz w:val="24"/>
          <w:szCs w:val="24"/>
        </w:rPr>
        <w:t xml:space="preserve">se </w:t>
      </w:r>
      <w:r w:rsidR="00711FB7">
        <w:rPr>
          <w:sz w:val="24"/>
          <w:szCs w:val="24"/>
        </w:rPr>
        <w:t>vincul</w:t>
      </w:r>
      <w:r w:rsidR="00E65BCC">
        <w:rPr>
          <w:sz w:val="24"/>
          <w:szCs w:val="24"/>
        </w:rPr>
        <w:t>a</w:t>
      </w:r>
      <w:r w:rsidR="00893E6F">
        <w:rPr>
          <w:sz w:val="24"/>
          <w:szCs w:val="24"/>
        </w:rPr>
        <w:t>n</w:t>
      </w:r>
      <w:r w:rsidR="00711FB7">
        <w:rPr>
          <w:sz w:val="24"/>
          <w:szCs w:val="24"/>
        </w:rPr>
        <w:t xml:space="preserve"> co</w:t>
      </w:r>
      <w:r w:rsidR="00D473B2">
        <w:rPr>
          <w:sz w:val="24"/>
          <w:szCs w:val="24"/>
        </w:rPr>
        <w:t xml:space="preserve">n </w:t>
      </w:r>
      <w:r w:rsidR="00CE7F3E">
        <w:rPr>
          <w:sz w:val="24"/>
          <w:szCs w:val="24"/>
        </w:rPr>
        <w:t xml:space="preserve">otros apoyos y acompañamientos </w:t>
      </w:r>
      <w:r w:rsidR="00D473B2">
        <w:rPr>
          <w:sz w:val="24"/>
          <w:szCs w:val="24"/>
        </w:rPr>
        <w:t>dirigido</w:t>
      </w:r>
      <w:r w:rsidR="00CE7F3E">
        <w:rPr>
          <w:sz w:val="24"/>
          <w:szCs w:val="24"/>
        </w:rPr>
        <w:t>s</w:t>
      </w:r>
      <w:r w:rsidR="00D473B2">
        <w:rPr>
          <w:sz w:val="24"/>
          <w:szCs w:val="24"/>
        </w:rPr>
        <w:t xml:space="preserve"> a los/as estudiantes</w:t>
      </w:r>
      <w:r w:rsidR="00E65BCC">
        <w:rPr>
          <w:sz w:val="24"/>
          <w:szCs w:val="24"/>
        </w:rPr>
        <w:t>.</w:t>
      </w:r>
    </w:p>
    <w:p w14:paraId="34A9BC38" w14:textId="2C940CEA" w:rsidR="00711FB7" w:rsidRDefault="00A70D09" w:rsidP="00CB3206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Posteriormente, s</w:t>
      </w:r>
      <w:r w:rsidR="00CB3206" w:rsidRPr="00CB3206">
        <w:rPr>
          <w:sz w:val="24"/>
          <w:szCs w:val="24"/>
        </w:rPr>
        <w:t xml:space="preserve">e continuará </w:t>
      </w:r>
      <w:r>
        <w:rPr>
          <w:sz w:val="24"/>
          <w:szCs w:val="24"/>
        </w:rPr>
        <w:t>con la información cuantitativa</w:t>
      </w:r>
      <w:r w:rsidR="00893E6F">
        <w:rPr>
          <w:sz w:val="24"/>
          <w:szCs w:val="24"/>
        </w:rPr>
        <w:t xml:space="preserve"> de </w:t>
      </w:r>
      <w:r>
        <w:rPr>
          <w:sz w:val="24"/>
          <w:szCs w:val="24"/>
        </w:rPr>
        <w:t>l</w:t>
      </w:r>
      <w:r w:rsidR="00CB3206" w:rsidRPr="00CB3206">
        <w:rPr>
          <w:sz w:val="24"/>
          <w:szCs w:val="24"/>
        </w:rPr>
        <w:t>os dat</w:t>
      </w:r>
      <w:r w:rsidR="00711FB7">
        <w:rPr>
          <w:sz w:val="24"/>
          <w:szCs w:val="24"/>
        </w:rPr>
        <w:t>os obtenidos, los que evidenciarán</w:t>
      </w:r>
      <w:r w:rsidR="00CB3206" w:rsidRPr="00CB3206">
        <w:rPr>
          <w:sz w:val="24"/>
          <w:szCs w:val="24"/>
        </w:rPr>
        <w:t xml:space="preserve"> no solo los porcentajes de participación de los estudiantes en los distintos talleres y las respuestas entregadas en una encuesta de opinión, sino también, que dicha instancia</w:t>
      </w:r>
      <w:r w:rsidR="00711FB7">
        <w:rPr>
          <w:sz w:val="24"/>
          <w:szCs w:val="24"/>
        </w:rPr>
        <w:t xml:space="preserve"> </w:t>
      </w:r>
      <w:r w:rsidR="00711FB7" w:rsidRPr="00711FB7">
        <w:rPr>
          <w:sz w:val="24"/>
          <w:szCs w:val="24"/>
        </w:rPr>
        <w:t>los prepara para su ingreso a la univers</w:t>
      </w:r>
      <w:r w:rsidR="00711FB7">
        <w:rPr>
          <w:sz w:val="24"/>
          <w:szCs w:val="24"/>
        </w:rPr>
        <w:t>idad,</w:t>
      </w:r>
      <w:r w:rsidR="007D650B">
        <w:rPr>
          <w:sz w:val="24"/>
          <w:szCs w:val="24"/>
        </w:rPr>
        <w:t xml:space="preserve"> </w:t>
      </w:r>
      <w:r w:rsidR="00E65BCC">
        <w:rPr>
          <w:sz w:val="24"/>
          <w:szCs w:val="24"/>
        </w:rPr>
        <w:t xml:space="preserve">poder </w:t>
      </w:r>
      <w:r w:rsidR="00711FB7">
        <w:rPr>
          <w:sz w:val="24"/>
          <w:szCs w:val="24"/>
        </w:rPr>
        <w:t>enfrentar el</w:t>
      </w:r>
      <w:r w:rsidR="00711FB7" w:rsidRPr="00711FB7">
        <w:rPr>
          <w:sz w:val="24"/>
          <w:szCs w:val="24"/>
        </w:rPr>
        <w:t xml:space="preserve"> primer semestre académico</w:t>
      </w:r>
      <w:r w:rsidR="00A40FFC">
        <w:rPr>
          <w:sz w:val="24"/>
          <w:szCs w:val="24"/>
        </w:rPr>
        <w:t xml:space="preserve"> y su avance curricular, ayudándolo a permanecer en Ed</w:t>
      </w:r>
      <w:r w:rsidR="00711FB7" w:rsidRPr="00711FB7">
        <w:rPr>
          <w:sz w:val="24"/>
          <w:szCs w:val="24"/>
        </w:rPr>
        <w:t>ucación Superior.</w:t>
      </w:r>
    </w:p>
    <w:p w14:paraId="5F5DB753" w14:textId="06EAEE28" w:rsidR="000F3190" w:rsidRDefault="00A70D09" w:rsidP="00CB3206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Finalmente, se </w:t>
      </w:r>
      <w:r w:rsidR="00CB3206" w:rsidRPr="00CB3206">
        <w:rPr>
          <w:sz w:val="24"/>
          <w:szCs w:val="24"/>
        </w:rPr>
        <w:t>compartirán algunas conclusiones que se desprenden de esta actividad, que dieron cuenta que el proceso de inserción a la universidad</w:t>
      </w:r>
      <w:r w:rsidR="00E65BCC">
        <w:rPr>
          <w:sz w:val="24"/>
          <w:szCs w:val="24"/>
        </w:rPr>
        <w:t>, es un</w:t>
      </w:r>
      <w:r w:rsidR="00BD7BAE">
        <w:rPr>
          <w:sz w:val="24"/>
          <w:szCs w:val="24"/>
        </w:rPr>
        <w:t xml:space="preserve"> primer paso</w:t>
      </w:r>
      <w:r w:rsidR="00C3293B">
        <w:rPr>
          <w:sz w:val="24"/>
          <w:szCs w:val="24"/>
        </w:rPr>
        <w:t xml:space="preserve">, </w:t>
      </w:r>
      <w:r w:rsidR="00C3293B" w:rsidRPr="00C3293B">
        <w:rPr>
          <w:sz w:val="24"/>
          <w:szCs w:val="24"/>
        </w:rPr>
        <w:t>donde es posible evidenciar las desigualdades educativas, sociales y culturales</w:t>
      </w:r>
      <w:r w:rsidR="00C3293B">
        <w:rPr>
          <w:sz w:val="24"/>
          <w:szCs w:val="24"/>
        </w:rPr>
        <w:t xml:space="preserve"> de los/as estudiantes</w:t>
      </w:r>
      <w:r w:rsidR="00F91CBB">
        <w:rPr>
          <w:sz w:val="24"/>
          <w:szCs w:val="24"/>
        </w:rPr>
        <w:t xml:space="preserve">, por lo que, </w:t>
      </w:r>
      <w:r w:rsidR="00CB3206" w:rsidRPr="00CB3206">
        <w:rPr>
          <w:sz w:val="24"/>
          <w:szCs w:val="24"/>
        </w:rPr>
        <w:t>requiere</w:t>
      </w:r>
      <w:r w:rsidR="00F91CBB">
        <w:rPr>
          <w:sz w:val="24"/>
          <w:szCs w:val="24"/>
        </w:rPr>
        <w:t>n</w:t>
      </w:r>
      <w:r w:rsidR="00CB3206" w:rsidRPr="00CB3206">
        <w:rPr>
          <w:sz w:val="24"/>
          <w:szCs w:val="24"/>
        </w:rPr>
        <w:t xml:space="preserve"> de guía y a</w:t>
      </w:r>
      <w:r w:rsidR="00BD7BAE">
        <w:rPr>
          <w:sz w:val="24"/>
          <w:szCs w:val="24"/>
        </w:rPr>
        <w:t>compañamiento</w:t>
      </w:r>
      <w:r w:rsidR="00F91CBB">
        <w:rPr>
          <w:sz w:val="24"/>
          <w:szCs w:val="24"/>
        </w:rPr>
        <w:t xml:space="preserve"> para acce</w:t>
      </w:r>
      <w:r w:rsidR="00130471">
        <w:rPr>
          <w:sz w:val="24"/>
          <w:szCs w:val="24"/>
        </w:rPr>
        <w:t>der a la cultura académica</w:t>
      </w:r>
      <w:r w:rsidR="00F91CBB">
        <w:rPr>
          <w:sz w:val="24"/>
          <w:szCs w:val="24"/>
        </w:rPr>
        <w:t>.</w:t>
      </w:r>
    </w:p>
    <w:p w14:paraId="7A237C9F" w14:textId="77777777" w:rsidR="00E65BCC" w:rsidRDefault="00E65BCC" w:rsidP="006E719B">
      <w:pPr>
        <w:ind w:left="0" w:hanging="2"/>
        <w:rPr>
          <w:b/>
          <w:color w:val="000000"/>
          <w:sz w:val="24"/>
          <w:szCs w:val="24"/>
        </w:rPr>
      </w:pPr>
    </w:p>
    <w:p w14:paraId="7C814C4A" w14:textId="5879C427" w:rsidR="006E719B" w:rsidRDefault="006E719B" w:rsidP="006E719B">
      <w:pPr>
        <w:ind w:left="0" w:hanging="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 w:rsidRPr="009E01B6">
        <w:rPr>
          <w:b/>
          <w:sz w:val="24"/>
          <w:szCs w:val="24"/>
        </w:rPr>
        <w:t>Talleres Comunicación Efectiva</w:t>
      </w:r>
      <w:r w:rsidR="00577B47">
        <w:rPr>
          <w:b/>
          <w:sz w:val="24"/>
          <w:szCs w:val="24"/>
        </w:rPr>
        <w:t xml:space="preserve"> versión 2022</w:t>
      </w:r>
    </w:p>
    <w:p w14:paraId="36073F33" w14:textId="77777777" w:rsidR="003145BC" w:rsidRDefault="000E6812" w:rsidP="009F026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 proceso de inserción a la universidad </w:t>
      </w:r>
      <w:r w:rsidR="009F026A">
        <w:rPr>
          <w:sz w:val="24"/>
          <w:szCs w:val="24"/>
        </w:rPr>
        <w:t>requiere de la realización de actividades de inducción y acogida dirigidas a los</w:t>
      </w:r>
      <w:r w:rsidR="00F63F42">
        <w:rPr>
          <w:sz w:val="24"/>
          <w:szCs w:val="24"/>
        </w:rPr>
        <w:t>/as</w:t>
      </w:r>
      <w:r w:rsidR="009F026A">
        <w:rPr>
          <w:sz w:val="24"/>
          <w:szCs w:val="24"/>
        </w:rPr>
        <w:t xml:space="preserve"> estudiantes, para facilitar</w:t>
      </w:r>
      <w:r w:rsidR="00F63F42">
        <w:rPr>
          <w:sz w:val="24"/>
          <w:szCs w:val="24"/>
        </w:rPr>
        <w:t>les transitar en el</w:t>
      </w:r>
      <w:r w:rsidR="009F026A">
        <w:rPr>
          <w:sz w:val="24"/>
          <w:szCs w:val="24"/>
        </w:rPr>
        <w:t xml:space="preserve"> contexto </w:t>
      </w:r>
      <w:r w:rsidR="00F63F42">
        <w:rPr>
          <w:sz w:val="24"/>
          <w:szCs w:val="24"/>
        </w:rPr>
        <w:t xml:space="preserve">académico, considerando para ello, </w:t>
      </w:r>
      <w:r w:rsidR="00F63F42" w:rsidRPr="00F63F42">
        <w:rPr>
          <w:sz w:val="24"/>
          <w:szCs w:val="24"/>
        </w:rPr>
        <w:t>la inclusión educativa, que deb</w:t>
      </w:r>
      <w:r w:rsidR="00F63F42">
        <w:rPr>
          <w:sz w:val="24"/>
          <w:szCs w:val="24"/>
        </w:rPr>
        <w:t>e garantizar el derecho a todos/as</w:t>
      </w:r>
      <w:r w:rsidR="00F63F42" w:rsidRPr="00F63F42">
        <w:rPr>
          <w:sz w:val="24"/>
          <w:szCs w:val="24"/>
        </w:rPr>
        <w:t xml:space="preserve"> a la formación y acceso al aprendizaje, más allá de sus cualidades individuales y pertenencia a diversos grupos sociales, por lo que, toda actividad didáctica que se lleve a cabo en el proceso de inserción, debe atender a cada uno según sus características (García, et al., 2009).</w:t>
      </w:r>
      <w:r w:rsidR="00F63F42">
        <w:rPr>
          <w:sz w:val="24"/>
          <w:szCs w:val="24"/>
        </w:rPr>
        <w:t xml:space="preserve"> </w:t>
      </w:r>
    </w:p>
    <w:p w14:paraId="65E91A2F" w14:textId="5E55D1C3" w:rsidR="007A1C9D" w:rsidRDefault="009F026A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Es por ello que, el Centro de Apoyo al Aprendizaje (CAP</w:t>
      </w:r>
      <w:r w:rsidR="0089041E">
        <w:rPr>
          <w:sz w:val="24"/>
          <w:szCs w:val="24"/>
        </w:rPr>
        <w:t xml:space="preserve">, </w:t>
      </w:r>
      <w:r w:rsidR="00980F8D">
        <w:rPr>
          <w:sz w:val="24"/>
          <w:szCs w:val="24"/>
        </w:rPr>
        <w:t>2022</w:t>
      </w:r>
      <w:r>
        <w:rPr>
          <w:sz w:val="24"/>
          <w:szCs w:val="24"/>
        </w:rPr>
        <w:t>)</w:t>
      </w:r>
      <w:r w:rsidR="007A1C9D">
        <w:rPr>
          <w:sz w:val="24"/>
          <w:szCs w:val="24"/>
        </w:rPr>
        <w:t xml:space="preserve"> de esta casa de estudio,</w:t>
      </w:r>
      <w:r>
        <w:rPr>
          <w:sz w:val="24"/>
          <w:szCs w:val="24"/>
        </w:rPr>
        <w:t xml:space="preserve"> planificó la semana Comienza Tu Universidad (CTU)</w:t>
      </w:r>
      <w:r w:rsidR="00577B47">
        <w:rPr>
          <w:sz w:val="24"/>
          <w:szCs w:val="24"/>
        </w:rPr>
        <w:t xml:space="preserve">, </w:t>
      </w:r>
      <w:r w:rsidR="007A1C9D" w:rsidRPr="007A1C9D">
        <w:rPr>
          <w:sz w:val="24"/>
          <w:szCs w:val="24"/>
        </w:rPr>
        <w:t>d</w:t>
      </w:r>
      <w:r w:rsidR="007A1C9D">
        <w:rPr>
          <w:sz w:val="24"/>
          <w:szCs w:val="24"/>
        </w:rPr>
        <w:t>esarrollando una serie de talleres</w:t>
      </w:r>
      <w:r w:rsidR="007A1C9D" w:rsidRPr="007A1C9D">
        <w:rPr>
          <w:sz w:val="24"/>
          <w:szCs w:val="24"/>
        </w:rPr>
        <w:t xml:space="preserve"> psicoeducativos, disciplinares y de comunicación efectiva</w:t>
      </w:r>
      <w:r w:rsidR="007A1C9D">
        <w:rPr>
          <w:sz w:val="24"/>
          <w:szCs w:val="24"/>
        </w:rPr>
        <w:t xml:space="preserve">. Se cuenta </w:t>
      </w:r>
      <w:r w:rsidR="00454ED6">
        <w:rPr>
          <w:sz w:val="24"/>
          <w:szCs w:val="24"/>
        </w:rPr>
        <w:t xml:space="preserve">con registros de la versión 2021 y 2022, las que </w:t>
      </w:r>
      <w:r w:rsidR="00454ED6">
        <w:rPr>
          <w:sz w:val="24"/>
          <w:szCs w:val="24"/>
        </w:rPr>
        <w:lastRenderedPageBreak/>
        <w:t>se diferencia</w:t>
      </w:r>
      <w:r w:rsidR="007A1C9D">
        <w:rPr>
          <w:sz w:val="24"/>
          <w:szCs w:val="24"/>
        </w:rPr>
        <w:t>n solo</w:t>
      </w:r>
      <w:r w:rsidR="00454ED6">
        <w:rPr>
          <w:sz w:val="24"/>
          <w:szCs w:val="24"/>
        </w:rPr>
        <w:t xml:space="preserve"> por la modalidad en que se llevaron a cabo. La primera de ellas, y por la situación </w:t>
      </w:r>
      <w:r w:rsidR="007A1C9D">
        <w:rPr>
          <w:sz w:val="24"/>
          <w:szCs w:val="24"/>
        </w:rPr>
        <w:t xml:space="preserve">crítica y </w:t>
      </w:r>
      <w:r w:rsidR="00454ED6">
        <w:rPr>
          <w:sz w:val="24"/>
          <w:szCs w:val="24"/>
        </w:rPr>
        <w:t>sanitaria por Covid-</w:t>
      </w:r>
      <w:r w:rsidR="007A1C9D">
        <w:rPr>
          <w:sz w:val="24"/>
          <w:szCs w:val="24"/>
        </w:rPr>
        <w:t>19, se llevó a cabo de manera</w:t>
      </w:r>
      <w:r w:rsidR="00454ED6">
        <w:rPr>
          <w:sz w:val="24"/>
          <w:szCs w:val="24"/>
        </w:rPr>
        <w:t xml:space="preserve"> virtual, </w:t>
      </w:r>
      <w:r w:rsidR="00454ED6" w:rsidRPr="00454ED6">
        <w:rPr>
          <w:sz w:val="24"/>
          <w:szCs w:val="24"/>
        </w:rPr>
        <w:t>considerando la realización de sesiones sincrónicas en la plataforma Teams, de una hora de duración</w:t>
      </w:r>
      <w:r w:rsidR="00454ED6">
        <w:rPr>
          <w:sz w:val="24"/>
          <w:szCs w:val="24"/>
        </w:rPr>
        <w:t xml:space="preserve">. Para efectos de este trabajo </w:t>
      </w:r>
      <w:r w:rsidR="007A1C9D">
        <w:rPr>
          <w:sz w:val="24"/>
          <w:szCs w:val="24"/>
        </w:rPr>
        <w:t>se describirán lo</w:t>
      </w:r>
      <w:r w:rsidR="00454ED6">
        <w:rPr>
          <w:sz w:val="24"/>
          <w:szCs w:val="24"/>
        </w:rPr>
        <w:t xml:space="preserve">s talleres </w:t>
      </w:r>
      <w:r w:rsidR="007A1C9D">
        <w:rPr>
          <w:sz w:val="24"/>
          <w:szCs w:val="24"/>
        </w:rPr>
        <w:t xml:space="preserve">de comunicación efectiva (TCE) </w:t>
      </w:r>
      <w:r w:rsidR="00454ED6">
        <w:rPr>
          <w:sz w:val="24"/>
          <w:szCs w:val="24"/>
        </w:rPr>
        <w:t xml:space="preserve">de </w:t>
      </w:r>
      <w:r w:rsidR="007A1C9D">
        <w:rPr>
          <w:sz w:val="24"/>
          <w:szCs w:val="24"/>
        </w:rPr>
        <w:t xml:space="preserve">la versión más reciente (2022) los que se realizaron </w:t>
      </w:r>
      <w:r w:rsidR="0089041E">
        <w:rPr>
          <w:sz w:val="24"/>
          <w:szCs w:val="24"/>
        </w:rPr>
        <w:t xml:space="preserve">desde el 21 al 25 de marzo, </w:t>
      </w:r>
      <w:r>
        <w:rPr>
          <w:sz w:val="24"/>
          <w:szCs w:val="24"/>
        </w:rPr>
        <w:t>cuyo objetivo fue “</w:t>
      </w:r>
      <w:r w:rsidR="00980F8D" w:rsidRPr="00980F8D">
        <w:rPr>
          <w:sz w:val="24"/>
          <w:szCs w:val="24"/>
        </w:rPr>
        <w:t>Fortalecer herramientas académicas y psicosociales de las y los estudiantes de la UCM, que les permita asumir los desafíos que contempla el primer año académico, en relación con temáticas transvers</w:t>
      </w:r>
      <w:r w:rsidR="00980F8D">
        <w:rPr>
          <w:sz w:val="24"/>
          <w:szCs w:val="24"/>
        </w:rPr>
        <w:t>ales propias de cada disciplina</w:t>
      </w:r>
      <w:r>
        <w:rPr>
          <w:sz w:val="24"/>
          <w:szCs w:val="24"/>
        </w:rPr>
        <w:t>” (</w:t>
      </w:r>
      <w:r w:rsidR="00980F8D">
        <w:rPr>
          <w:sz w:val="24"/>
          <w:szCs w:val="24"/>
        </w:rPr>
        <w:t>p. 14).</w:t>
      </w:r>
      <w:r w:rsidR="00965583">
        <w:rPr>
          <w:sz w:val="24"/>
          <w:szCs w:val="24"/>
        </w:rPr>
        <w:t xml:space="preserve"> </w:t>
      </w:r>
    </w:p>
    <w:p w14:paraId="2AD91953" w14:textId="2D95C667" w:rsidR="00577B47" w:rsidRDefault="007A1C9D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Los TCE versión 2022 </w:t>
      </w:r>
      <w:r w:rsidR="00E73648">
        <w:rPr>
          <w:sz w:val="24"/>
          <w:szCs w:val="24"/>
        </w:rPr>
        <w:t>fueron realizados de manera presencial, de 1hr. de duración</w:t>
      </w:r>
      <w:r>
        <w:rPr>
          <w:sz w:val="24"/>
          <w:szCs w:val="24"/>
        </w:rPr>
        <w:t xml:space="preserve">, </w:t>
      </w:r>
      <w:r w:rsidR="00725390">
        <w:rPr>
          <w:sz w:val="24"/>
          <w:szCs w:val="24"/>
        </w:rPr>
        <w:t xml:space="preserve">cuya metodología </w:t>
      </w:r>
      <w:r w:rsidR="00222565">
        <w:rPr>
          <w:sz w:val="24"/>
          <w:szCs w:val="24"/>
        </w:rPr>
        <w:t>teórica/prá</w:t>
      </w:r>
      <w:r w:rsidR="006A39C8">
        <w:rPr>
          <w:sz w:val="24"/>
          <w:szCs w:val="24"/>
        </w:rPr>
        <w:t xml:space="preserve">ctica </w:t>
      </w:r>
      <w:r w:rsidR="00222565">
        <w:rPr>
          <w:sz w:val="24"/>
          <w:szCs w:val="24"/>
        </w:rPr>
        <w:t>permitió ge</w:t>
      </w:r>
      <w:r w:rsidR="00725390">
        <w:rPr>
          <w:sz w:val="24"/>
          <w:szCs w:val="24"/>
        </w:rPr>
        <w:t>nerar a</w:t>
      </w:r>
      <w:r w:rsidR="00725390" w:rsidRPr="00725390">
        <w:rPr>
          <w:sz w:val="24"/>
          <w:szCs w:val="24"/>
        </w:rPr>
        <w:t xml:space="preserve">ctividades </w:t>
      </w:r>
      <w:r w:rsidR="00725390">
        <w:rPr>
          <w:sz w:val="24"/>
          <w:szCs w:val="24"/>
        </w:rPr>
        <w:t>participativas</w:t>
      </w:r>
      <w:r w:rsidR="00357C64">
        <w:rPr>
          <w:sz w:val="24"/>
          <w:szCs w:val="24"/>
        </w:rPr>
        <w:t>, experienciales y grupales,</w:t>
      </w:r>
      <w:r w:rsidR="00E73648">
        <w:rPr>
          <w:sz w:val="24"/>
          <w:szCs w:val="24"/>
        </w:rPr>
        <w:t xml:space="preserve"> mo</w:t>
      </w:r>
      <w:r w:rsidR="00B253C4">
        <w:rPr>
          <w:sz w:val="24"/>
          <w:szCs w:val="24"/>
        </w:rPr>
        <w:t>tivando</w:t>
      </w:r>
      <w:r w:rsidR="004E38A0">
        <w:rPr>
          <w:sz w:val="24"/>
          <w:szCs w:val="24"/>
        </w:rPr>
        <w:t xml:space="preserve"> al diálogo y </w:t>
      </w:r>
      <w:r w:rsidR="00725390" w:rsidRPr="00725390">
        <w:rPr>
          <w:sz w:val="24"/>
          <w:szCs w:val="24"/>
        </w:rPr>
        <w:t>reflexión crítica</w:t>
      </w:r>
      <w:r>
        <w:rPr>
          <w:sz w:val="24"/>
          <w:szCs w:val="24"/>
        </w:rPr>
        <w:t>.</w:t>
      </w:r>
      <w:r w:rsidR="00222565">
        <w:rPr>
          <w:sz w:val="24"/>
          <w:szCs w:val="24"/>
        </w:rPr>
        <w:t xml:space="preserve"> S</w:t>
      </w:r>
      <w:r w:rsidR="00192D89">
        <w:rPr>
          <w:sz w:val="24"/>
          <w:szCs w:val="24"/>
        </w:rPr>
        <w:t>u realización estuvo</w:t>
      </w:r>
      <w:r w:rsidR="00222565">
        <w:rPr>
          <w:sz w:val="24"/>
          <w:szCs w:val="24"/>
        </w:rPr>
        <w:t xml:space="preserve"> a cargo</w:t>
      </w:r>
      <w:r w:rsidR="00192D89">
        <w:rPr>
          <w:sz w:val="24"/>
          <w:szCs w:val="24"/>
        </w:rPr>
        <w:t xml:space="preserve"> </w:t>
      </w:r>
      <w:r w:rsidR="00222565">
        <w:rPr>
          <w:sz w:val="24"/>
          <w:szCs w:val="24"/>
        </w:rPr>
        <w:t xml:space="preserve">de ocho </w:t>
      </w:r>
      <w:r w:rsidR="00192D89">
        <w:rPr>
          <w:sz w:val="24"/>
          <w:szCs w:val="24"/>
        </w:rPr>
        <w:t>profesores</w:t>
      </w:r>
      <w:r w:rsidR="00222565">
        <w:rPr>
          <w:sz w:val="24"/>
          <w:szCs w:val="24"/>
        </w:rPr>
        <w:t xml:space="preserve">/as de Lenguaje y Comunicación, </w:t>
      </w:r>
      <w:r w:rsidR="004E38A0">
        <w:rPr>
          <w:sz w:val="24"/>
          <w:szCs w:val="24"/>
        </w:rPr>
        <w:t xml:space="preserve">responsables de desarrollar y potenciar las competencias comunicativas, orales y </w:t>
      </w:r>
      <w:r w:rsidR="00B50DF1">
        <w:rPr>
          <w:sz w:val="24"/>
          <w:szCs w:val="24"/>
        </w:rPr>
        <w:t>escritas, de los/as estudiantes.</w:t>
      </w:r>
      <w:r w:rsidR="00192D89">
        <w:rPr>
          <w:sz w:val="24"/>
          <w:szCs w:val="24"/>
        </w:rPr>
        <w:t xml:space="preserve"> </w:t>
      </w:r>
    </w:p>
    <w:p w14:paraId="0DAC4FEA" w14:textId="31042249" w:rsidR="00611BF5" w:rsidRDefault="007A1C9D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Los talleres </w:t>
      </w:r>
      <w:r w:rsidR="004E38A0">
        <w:rPr>
          <w:sz w:val="24"/>
          <w:szCs w:val="24"/>
        </w:rPr>
        <w:t>realizados fueron cinc</w:t>
      </w:r>
      <w:r w:rsidR="00C14176">
        <w:rPr>
          <w:sz w:val="24"/>
          <w:szCs w:val="24"/>
        </w:rPr>
        <w:t>o:</w:t>
      </w:r>
      <w:r w:rsidR="00403645">
        <w:rPr>
          <w:sz w:val="24"/>
          <w:szCs w:val="24"/>
        </w:rPr>
        <w:t xml:space="preserve"> </w:t>
      </w:r>
      <w:r w:rsidR="00C14176">
        <w:rPr>
          <w:sz w:val="24"/>
          <w:szCs w:val="24"/>
        </w:rPr>
        <w:t xml:space="preserve">¡Activemos el micrófono!; ¡Cuidado! Alerta de plagio; </w:t>
      </w:r>
      <w:r w:rsidR="00C14176" w:rsidRPr="00C14176">
        <w:rPr>
          <w:sz w:val="24"/>
          <w:szCs w:val="24"/>
        </w:rPr>
        <w:t>¡Ha llegado E-mail!; Creer o no creer. Ese es el dilema; y ¡Profe! ¿Qué hay que hacer?</w:t>
      </w:r>
      <w:r w:rsidR="00B50DF1">
        <w:rPr>
          <w:sz w:val="24"/>
          <w:szCs w:val="24"/>
        </w:rPr>
        <w:t xml:space="preserve"> Su denominación hace </w:t>
      </w:r>
      <w:r w:rsidR="00C14176">
        <w:rPr>
          <w:sz w:val="24"/>
          <w:szCs w:val="24"/>
        </w:rPr>
        <w:t xml:space="preserve">uso </w:t>
      </w:r>
      <w:r w:rsidR="00C14176" w:rsidRPr="00C14176">
        <w:rPr>
          <w:sz w:val="24"/>
          <w:szCs w:val="24"/>
        </w:rPr>
        <w:t xml:space="preserve">de </w:t>
      </w:r>
      <w:r w:rsidR="00B50DF1">
        <w:rPr>
          <w:sz w:val="24"/>
          <w:szCs w:val="24"/>
        </w:rPr>
        <w:t>un lenguaje directo y apelativo, pero</w:t>
      </w:r>
      <w:r w:rsidR="00C14176">
        <w:rPr>
          <w:sz w:val="24"/>
          <w:szCs w:val="24"/>
        </w:rPr>
        <w:t xml:space="preserve"> responde a un fin mayor que solo intencionar </w:t>
      </w:r>
      <w:r w:rsidR="00C14176" w:rsidRPr="00C14176">
        <w:rPr>
          <w:sz w:val="24"/>
          <w:szCs w:val="24"/>
        </w:rPr>
        <w:t>su participación</w:t>
      </w:r>
      <w:r w:rsidR="00C14176">
        <w:rPr>
          <w:sz w:val="24"/>
          <w:szCs w:val="24"/>
        </w:rPr>
        <w:t xml:space="preserve">, </w:t>
      </w:r>
      <w:r w:rsidR="00B50DF1">
        <w:rPr>
          <w:sz w:val="24"/>
          <w:szCs w:val="24"/>
        </w:rPr>
        <w:t xml:space="preserve">se convierte en </w:t>
      </w:r>
      <w:r w:rsidR="001C42AD">
        <w:rPr>
          <w:sz w:val="24"/>
          <w:szCs w:val="24"/>
        </w:rPr>
        <w:t>un</w:t>
      </w:r>
      <w:r w:rsidR="00C14176">
        <w:rPr>
          <w:sz w:val="24"/>
          <w:szCs w:val="24"/>
        </w:rPr>
        <w:t>a es</w:t>
      </w:r>
      <w:r w:rsidR="001C42AD">
        <w:rPr>
          <w:sz w:val="24"/>
          <w:szCs w:val="24"/>
        </w:rPr>
        <w:t xml:space="preserve">trategia didáctica </w:t>
      </w:r>
      <w:r w:rsidR="001C42AD" w:rsidRPr="001C42AD">
        <w:rPr>
          <w:sz w:val="24"/>
          <w:szCs w:val="24"/>
        </w:rPr>
        <w:t xml:space="preserve">para conectar </w:t>
      </w:r>
      <w:r w:rsidR="001C42AD">
        <w:rPr>
          <w:sz w:val="24"/>
          <w:szCs w:val="24"/>
        </w:rPr>
        <w:t xml:space="preserve">y empatizar </w:t>
      </w:r>
      <w:r w:rsidR="001C42AD" w:rsidRPr="001C42AD">
        <w:rPr>
          <w:sz w:val="24"/>
          <w:szCs w:val="24"/>
        </w:rPr>
        <w:t xml:space="preserve">con los/as estudiantes </w:t>
      </w:r>
      <w:r w:rsidR="001C42AD">
        <w:rPr>
          <w:sz w:val="24"/>
          <w:szCs w:val="24"/>
        </w:rPr>
        <w:t>y sus necesidades comunicativas.</w:t>
      </w:r>
    </w:p>
    <w:p w14:paraId="1BDD2B69" w14:textId="2E16480C" w:rsidR="009E5643" w:rsidRDefault="00611BF5" w:rsidP="0049587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En</w:t>
      </w:r>
      <w:r w:rsidR="001C42AD">
        <w:rPr>
          <w:sz w:val="24"/>
          <w:szCs w:val="24"/>
        </w:rPr>
        <w:t xml:space="preserve"> educación</w:t>
      </w:r>
      <w:r>
        <w:rPr>
          <w:sz w:val="24"/>
          <w:szCs w:val="24"/>
        </w:rPr>
        <w:t xml:space="preserve">, </w:t>
      </w:r>
      <w:r w:rsidR="00450B72">
        <w:rPr>
          <w:sz w:val="24"/>
          <w:szCs w:val="24"/>
        </w:rPr>
        <w:t xml:space="preserve">según Rodríguez et al. (2020) </w:t>
      </w:r>
      <w:r>
        <w:rPr>
          <w:sz w:val="24"/>
          <w:szCs w:val="24"/>
        </w:rPr>
        <w:t>la empatía</w:t>
      </w:r>
      <w:r w:rsidR="001C4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surge como un elemento </w:t>
      </w:r>
      <w:r w:rsidR="00357C64">
        <w:rPr>
          <w:sz w:val="24"/>
          <w:szCs w:val="24"/>
        </w:rPr>
        <w:t>esencial</w:t>
      </w:r>
      <w:r>
        <w:rPr>
          <w:sz w:val="24"/>
          <w:szCs w:val="24"/>
        </w:rPr>
        <w:t xml:space="preserve">, un recurso didáctico intangible y </w:t>
      </w:r>
      <w:r w:rsidR="009E5643">
        <w:rPr>
          <w:sz w:val="24"/>
          <w:szCs w:val="24"/>
        </w:rPr>
        <w:t xml:space="preserve">hasta </w:t>
      </w:r>
      <w:r>
        <w:rPr>
          <w:sz w:val="24"/>
          <w:szCs w:val="24"/>
        </w:rPr>
        <w:t>poderoso</w:t>
      </w:r>
      <w:r w:rsidR="00192851">
        <w:rPr>
          <w:sz w:val="24"/>
          <w:szCs w:val="24"/>
        </w:rPr>
        <w:t>,</w:t>
      </w:r>
      <w:r>
        <w:rPr>
          <w:sz w:val="24"/>
          <w:szCs w:val="24"/>
        </w:rPr>
        <w:t xml:space="preserve"> que facili</w:t>
      </w:r>
      <w:r w:rsidR="00450B72">
        <w:rPr>
          <w:sz w:val="24"/>
          <w:szCs w:val="24"/>
        </w:rPr>
        <w:t xml:space="preserve">ta </w:t>
      </w:r>
      <w:r w:rsidR="00265E02">
        <w:rPr>
          <w:sz w:val="24"/>
          <w:szCs w:val="24"/>
        </w:rPr>
        <w:t xml:space="preserve">la comprensión y el éxito educativo, </w:t>
      </w:r>
      <w:r w:rsidR="00495879">
        <w:rPr>
          <w:sz w:val="24"/>
          <w:szCs w:val="24"/>
        </w:rPr>
        <w:t xml:space="preserve">al </w:t>
      </w:r>
      <w:r w:rsidR="00344C30">
        <w:rPr>
          <w:sz w:val="24"/>
          <w:szCs w:val="24"/>
        </w:rPr>
        <w:t>transforma</w:t>
      </w:r>
      <w:r w:rsidR="00495879">
        <w:rPr>
          <w:sz w:val="24"/>
          <w:szCs w:val="24"/>
        </w:rPr>
        <w:t>r</w:t>
      </w:r>
      <w:r w:rsidR="00344C30">
        <w:rPr>
          <w:sz w:val="24"/>
          <w:szCs w:val="24"/>
        </w:rPr>
        <w:t xml:space="preserve"> el p</w:t>
      </w:r>
      <w:r w:rsidR="00495879">
        <w:rPr>
          <w:sz w:val="24"/>
          <w:szCs w:val="24"/>
        </w:rPr>
        <w:t xml:space="preserve">roceso de enseñanza y convertir </w:t>
      </w:r>
      <w:r w:rsidR="00344C30">
        <w:rPr>
          <w:sz w:val="24"/>
          <w:szCs w:val="24"/>
        </w:rPr>
        <w:t xml:space="preserve">el aprendizaje en una instancia significativa. </w:t>
      </w:r>
      <w:r w:rsidR="009E5643">
        <w:rPr>
          <w:sz w:val="24"/>
          <w:szCs w:val="24"/>
        </w:rPr>
        <w:t xml:space="preserve">Además, reafirman la idea de que los docentes empáticos, son </w:t>
      </w:r>
      <w:r w:rsidR="00192851">
        <w:rPr>
          <w:sz w:val="24"/>
          <w:szCs w:val="24"/>
        </w:rPr>
        <w:t>más sensibles y comprometidos con sus estudiantes, y lo</w:t>
      </w:r>
      <w:r w:rsidR="009E5643">
        <w:rPr>
          <w:sz w:val="24"/>
          <w:szCs w:val="24"/>
        </w:rPr>
        <w:t>gran un mayor acercamiento</w:t>
      </w:r>
      <w:r w:rsidR="00192851">
        <w:rPr>
          <w:sz w:val="24"/>
          <w:szCs w:val="24"/>
        </w:rPr>
        <w:t xml:space="preserve"> y conocimiento </w:t>
      </w:r>
      <w:r w:rsidR="009E5643">
        <w:rPr>
          <w:sz w:val="24"/>
          <w:szCs w:val="24"/>
        </w:rPr>
        <w:t xml:space="preserve">con sus formas de pensar y actuar. </w:t>
      </w:r>
      <w:r w:rsidR="00192851">
        <w:rPr>
          <w:sz w:val="24"/>
          <w:szCs w:val="24"/>
        </w:rPr>
        <w:t xml:space="preserve">Los autores Rodríguez et al. </w:t>
      </w:r>
      <w:r w:rsidR="00B253C4">
        <w:rPr>
          <w:sz w:val="24"/>
          <w:szCs w:val="24"/>
        </w:rPr>
        <w:t xml:space="preserve">(2020), </w:t>
      </w:r>
      <w:r w:rsidR="00192851">
        <w:rPr>
          <w:sz w:val="24"/>
          <w:szCs w:val="24"/>
        </w:rPr>
        <w:t>señalan que:</w:t>
      </w:r>
    </w:p>
    <w:p w14:paraId="64E9DA4D" w14:textId="799A1E4F" w:rsidR="00495879" w:rsidRDefault="00192851" w:rsidP="0049587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879" w:rsidRPr="00495879">
        <w:rPr>
          <w:sz w:val="24"/>
          <w:szCs w:val="24"/>
        </w:rPr>
        <w:t>Si el docente se da la oportunidad de</w:t>
      </w:r>
      <w:r w:rsidR="00495879">
        <w:rPr>
          <w:sz w:val="24"/>
          <w:szCs w:val="24"/>
        </w:rPr>
        <w:t xml:space="preserve"> </w:t>
      </w:r>
      <w:r w:rsidR="00495879" w:rsidRPr="00495879">
        <w:rPr>
          <w:sz w:val="24"/>
          <w:szCs w:val="24"/>
        </w:rPr>
        <w:t xml:space="preserve">generar un enfoque empático en su rol diario, se </w:t>
      </w:r>
      <w:r>
        <w:rPr>
          <w:sz w:val="24"/>
          <w:szCs w:val="24"/>
        </w:rPr>
        <w:tab/>
      </w:r>
      <w:r w:rsidR="00495879" w:rsidRPr="00495879">
        <w:rPr>
          <w:sz w:val="24"/>
          <w:szCs w:val="24"/>
        </w:rPr>
        <w:t>establecerá una atmósfera sin duda alguna positiva,</w:t>
      </w:r>
      <w:r w:rsidR="00495879">
        <w:rPr>
          <w:sz w:val="24"/>
          <w:szCs w:val="24"/>
        </w:rPr>
        <w:t xml:space="preserve"> </w:t>
      </w:r>
      <w:r w:rsidR="00495879" w:rsidRPr="00495879">
        <w:rPr>
          <w:sz w:val="24"/>
          <w:szCs w:val="24"/>
        </w:rPr>
        <w:t xml:space="preserve">permitiendo estimular y activar en los </w:t>
      </w:r>
      <w:r>
        <w:rPr>
          <w:sz w:val="24"/>
          <w:szCs w:val="24"/>
        </w:rPr>
        <w:tab/>
      </w:r>
      <w:r w:rsidR="00495879" w:rsidRPr="00495879">
        <w:rPr>
          <w:sz w:val="24"/>
          <w:szCs w:val="24"/>
        </w:rPr>
        <w:t>alumnos la iniciativa de educarse, fortalecerá la motivación</w:t>
      </w:r>
      <w:r w:rsidR="00495879">
        <w:rPr>
          <w:sz w:val="24"/>
          <w:szCs w:val="24"/>
        </w:rPr>
        <w:t xml:space="preserve"> </w:t>
      </w:r>
      <w:r w:rsidR="00495879" w:rsidRPr="00495879">
        <w:rPr>
          <w:sz w:val="24"/>
          <w:szCs w:val="24"/>
        </w:rPr>
        <w:t xml:space="preserve">personal y las ganas de superar </w:t>
      </w:r>
      <w:r>
        <w:rPr>
          <w:sz w:val="24"/>
          <w:szCs w:val="24"/>
        </w:rPr>
        <w:tab/>
      </w:r>
      <w:r w:rsidR="00495879" w:rsidRPr="00495879">
        <w:rPr>
          <w:sz w:val="24"/>
          <w:szCs w:val="24"/>
        </w:rPr>
        <w:t xml:space="preserve">cada obstáculo dentro y </w:t>
      </w:r>
      <w:r w:rsidR="00495879">
        <w:rPr>
          <w:sz w:val="24"/>
          <w:szCs w:val="24"/>
        </w:rPr>
        <w:t>fuer</w:t>
      </w:r>
      <w:r w:rsidR="009E5643">
        <w:rPr>
          <w:sz w:val="24"/>
          <w:szCs w:val="24"/>
        </w:rPr>
        <w:t>a del aula” (p. 24).</w:t>
      </w:r>
    </w:p>
    <w:p w14:paraId="07C6B743" w14:textId="198C5C67" w:rsidR="003F297F" w:rsidRDefault="008155FD" w:rsidP="00344C3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En cuanto a l</w:t>
      </w:r>
      <w:r w:rsidR="000A1971">
        <w:rPr>
          <w:sz w:val="24"/>
          <w:szCs w:val="24"/>
        </w:rPr>
        <w:t xml:space="preserve">as decisiones tomadas en la planificación </w:t>
      </w:r>
      <w:r w:rsidR="007A670A">
        <w:rPr>
          <w:sz w:val="24"/>
          <w:szCs w:val="24"/>
        </w:rPr>
        <w:t>de los TCE</w:t>
      </w:r>
      <w:r w:rsidR="000A1971">
        <w:rPr>
          <w:sz w:val="24"/>
          <w:szCs w:val="24"/>
        </w:rPr>
        <w:t>,</w:t>
      </w:r>
      <w:r>
        <w:rPr>
          <w:sz w:val="24"/>
          <w:szCs w:val="24"/>
        </w:rPr>
        <w:t xml:space="preserve"> según Tabla 1,</w:t>
      </w:r>
      <w:r w:rsidR="000A1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resultaron claves, </w:t>
      </w:r>
      <w:r w:rsidR="000A1971">
        <w:rPr>
          <w:sz w:val="24"/>
          <w:szCs w:val="24"/>
        </w:rPr>
        <w:t xml:space="preserve">desde la elección de sus nombres, </w:t>
      </w:r>
      <w:r>
        <w:rPr>
          <w:sz w:val="24"/>
          <w:szCs w:val="24"/>
        </w:rPr>
        <w:t>objetivos y a</w:t>
      </w:r>
      <w:r w:rsidR="000A1971">
        <w:rPr>
          <w:sz w:val="24"/>
          <w:szCs w:val="24"/>
        </w:rPr>
        <w:t xml:space="preserve">ctividades realizadas, </w:t>
      </w:r>
      <w:r w:rsidR="003F297F">
        <w:rPr>
          <w:sz w:val="24"/>
          <w:szCs w:val="24"/>
        </w:rPr>
        <w:t xml:space="preserve">porque </w:t>
      </w:r>
      <w:r w:rsidR="00012010">
        <w:rPr>
          <w:sz w:val="24"/>
          <w:szCs w:val="24"/>
        </w:rPr>
        <w:t>fue</w:t>
      </w:r>
      <w:r>
        <w:rPr>
          <w:sz w:val="24"/>
          <w:szCs w:val="24"/>
        </w:rPr>
        <w:t>ron</w:t>
      </w:r>
      <w:r w:rsidR="00030D37">
        <w:rPr>
          <w:sz w:val="24"/>
          <w:szCs w:val="24"/>
        </w:rPr>
        <w:t xml:space="preserve"> la respuesta esperada </w:t>
      </w:r>
      <w:r w:rsidR="00F63F42">
        <w:rPr>
          <w:sz w:val="24"/>
          <w:szCs w:val="24"/>
        </w:rPr>
        <w:t xml:space="preserve">y </w:t>
      </w:r>
      <w:r w:rsidR="003F297F">
        <w:rPr>
          <w:sz w:val="24"/>
          <w:szCs w:val="24"/>
        </w:rPr>
        <w:t>contar con i</w:t>
      </w:r>
      <w:r w:rsidR="007A670A">
        <w:rPr>
          <w:sz w:val="24"/>
          <w:szCs w:val="24"/>
        </w:rPr>
        <w:t>nstancia</w:t>
      </w:r>
      <w:r w:rsidR="003F297F">
        <w:rPr>
          <w:sz w:val="24"/>
          <w:szCs w:val="24"/>
        </w:rPr>
        <w:t>s</w:t>
      </w:r>
      <w:r w:rsidR="007A670A">
        <w:rPr>
          <w:sz w:val="24"/>
          <w:szCs w:val="24"/>
        </w:rPr>
        <w:t xml:space="preserve"> de apoyo y acompañamiento</w:t>
      </w:r>
      <w:r w:rsidR="00A336CB">
        <w:rPr>
          <w:sz w:val="24"/>
          <w:szCs w:val="24"/>
        </w:rPr>
        <w:t>,</w:t>
      </w:r>
      <w:r w:rsidR="007A670A">
        <w:rPr>
          <w:sz w:val="24"/>
          <w:szCs w:val="24"/>
        </w:rPr>
        <w:t xml:space="preserve"> </w:t>
      </w:r>
      <w:r w:rsidR="00030D37">
        <w:rPr>
          <w:sz w:val="24"/>
          <w:szCs w:val="24"/>
        </w:rPr>
        <w:t xml:space="preserve">y así </w:t>
      </w:r>
      <w:r w:rsidR="000A1971">
        <w:rPr>
          <w:sz w:val="24"/>
          <w:szCs w:val="24"/>
        </w:rPr>
        <w:t>facilita</w:t>
      </w:r>
      <w:r w:rsidR="003F297F">
        <w:rPr>
          <w:sz w:val="24"/>
          <w:szCs w:val="24"/>
        </w:rPr>
        <w:t>r</w:t>
      </w:r>
      <w:r w:rsidR="000A1971">
        <w:rPr>
          <w:sz w:val="24"/>
          <w:szCs w:val="24"/>
        </w:rPr>
        <w:t xml:space="preserve"> el </w:t>
      </w:r>
      <w:r w:rsidR="007A670A">
        <w:rPr>
          <w:sz w:val="24"/>
          <w:szCs w:val="24"/>
        </w:rPr>
        <w:t>acceso e inducción a la educación superior</w:t>
      </w:r>
      <w:r w:rsidR="00030D37">
        <w:rPr>
          <w:sz w:val="24"/>
          <w:szCs w:val="24"/>
        </w:rPr>
        <w:t xml:space="preserve">, permitiéndoles </w:t>
      </w:r>
      <w:r>
        <w:rPr>
          <w:sz w:val="24"/>
          <w:szCs w:val="24"/>
        </w:rPr>
        <w:t>enfrentar</w:t>
      </w:r>
      <w:r w:rsidR="00E14868">
        <w:rPr>
          <w:sz w:val="24"/>
          <w:szCs w:val="24"/>
        </w:rPr>
        <w:t xml:space="preserve"> el</w:t>
      </w:r>
      <w:r w:rsidR="00E14868" w:rsidRPr="00E14868">
        <w:rPr>
          <w:sz w:val="24"/>
          <w:szCs w:val="24"/>
        </w:rPr>
        <w:t xml:space="preserve"> primer semestre en la universidad</w:t>
      </w:r>
      <w:r w:rsidR="003F390A">
        <w:rPr>
          <w:sz w:val="24"/>
          <w:szCs w:val="24"/>
        </w:rPr>
        <w:t>.</w:t>
      </w:r>
      <w:r w:rsidR="003F297F">
        <w:rPr>
          <w:sz w:val="24"/>
          <w:szCs w:val="24"/>
        </w:rPr>
        <w:t xml:space="preserve"> </w:t>
      </w:r>
    </w:p>
    <w:p w14:paraId="4F8F8BF2" w14:textId="69D22D89" w:rsidR="008310F0" w:rsidRPr="00F20354" w:rsidRDefault="008310F0" w:rsidP="006E719B">
      <w:pPr>
        <w:ind w:left="0" w:hanging="2"/>
        <w:rPr>
          <w:b/>
          <w:sz w:val="16"/>
          <w:szCs w:val="16"/>
        </w:rPr>
      </w:pPr>
      <w:r w:rsidRPr="00F20354">
        <w:rPr>
          <w:b/>
          <w:sz w:val="16"/>
          <w:szCs w:val="16"/>
        </w:rPr>
        <w:t>Tabla 1</w:t>
      </w:r>
    </w:p>
    <w:p w14:paraId="401B6483" w14:textId="69606D48" w:rsidR="008310F0" w:rsidRPr="00F20354" w:rsidRDefault="008310F0" w:rsidP="006E719B">
      <w:pPr>
        <w:ind w:left="0" w:hanging="2"/>
        <w:rPr>
          <w:i/>
          <w:sz w:val="16"/>
          <w:szCs w:val="16"/>
        </w:rPr>
      </w:pPr>
      <w:r w:rsidRPr="00F20354">
        <w:rPr>
          <w:i/>
          <w:sz w:val="16"/>
          <w:szCs w:val="16"/>
        </w:rPr>
        <w:t>Planificación Taller</w:t>
      </w:r>
      <w:r w:rsidR="00733BFC" w:rsidRPr="00F20354">
        <w:rPr>
          <w:i/>
          <w:sz w:val="16"/>
          <w:szCs w:val="16"/>
        </w:rPr>
        <w:t>es</w:t>
      </w:r>
      <w:r w:rsidRPr="00F20354">
        <w:rPr>
          <w:i/>
          <w:sz w:val="16"/>
          <w:szCs w:val="16"/>
        </w:rPr>
        <w:t xml:space="preserve"> Comunicación </w:t>
      </w:r>
      <w:r w:rsidR="00765795" w:rsidRPr="00F20354">
        <w:rPr>
          <w:i/>
          <w:sz w:val="16"/>
          <w:szCs w:val="16"/>
        </w:rPr>
        <w:t>Efectiva (</w:t>
      </w:r>
      <w:r w:rsidR="00E403D2">
        <w:rPr>
          <w:i/>
          <w:sz w:val="16"/>
          <w:szCs w:val="16"/>
        </w:rPr>
        <w:t>TCE)</w:t>
      </w:r>
    </w:p>
    <w:tbl>
      <w:tblPr>
        <w:tblStyle w:val="Tablanormal22"/>
        <w:tblpPr w:leftFromText="141" w:rightFromText="141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2268"/>
        <w:gridCol w:w="3260"/>
        <w:gridCol w:w="4110"/>
      </w:tblGrid>
      <w:tr w:rsidR="00070209" w:rsidRPr="00F20354" w14:paraId="459A8709" w14:textId="6110509A" w:rsidTr="00C4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2C4C2873" w14:textId="26DA31B9" w:rsidR="00070209" w:rsidRPr="008310F0" w:rsidRDefault="00733BFC" w:rsidP="008310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Talleres </w:t>
            </w:r>
            <w:r w:rsidR="00E403D2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                     Comunicación Efectiva (TCE)</w:t>
            </w:r>
          </w:p>
        </w:tc>
        <w:tc>
          <w:tcPr>
            <w:tcW w:w="1691" w:type="pct"/>
          </w:tcPr>
          <w:p w14:paraId="00B89E38" w14:textId="42C7F42B" w:rsidR="00070209" w:rsidRPr="008310F0" w:rsidRDefault="00733BFC" w:rsidP="008310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Objetivo</w:t>
            </w:r>
          </w:p>
        </w:tc>
        <w:tc>
          <w:tcPr>
            <w:tcW w:w="2132" w:type="pct"/>
          </w:tcPr>
          <w:p w14:paraId="49F10B7F" w14:textId="1182ACA3" w:rsidR="00070209" w:rsidRPr="00F20354" w:rsidRDefault="00733BFC" w:rsidP="008310F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Descripción</w:t>
            </w:r>
          </w:p>
        </w:tc>
      </w:tr>
      <w:tr w:rsidR="00070209" w:rsidRPr="00F20354" w14:paraId="6BAA8DDF" w14:textId="025F8DA3" w:rsidTr="00C4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4CCB9BAA" w14:textId="282EB97D" w:rsidR="00070209" w:rsidRPr="00F20354" w:rsidRDefault="00733BFC" w:rsidP="00733B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 xml:space="preserve">¡Activemos el micrófono!  </w:t>
            </w:r>
          </w:p>
        </w:tc>
        <w:tc>
          <w:tcPr>
            <w:tcW w:w="1691" w:type="pct"/>
          </w:tcPr>
          <w:p w14:paraId="3A1FA931" w14:textId="27FDE27B" w:rsidR="00070209" w:rsidRPr="00F20354" w:rsidRDefault="00070209" w:rsidP="0001201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Propiciar un espacio de interacción social con los/as estudiantes, </w:t>
            </w:r>
            <w:r w:rsidR="00012010"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activando</w:t>
            </w: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sus habilidades comunicativas y adecuarlas al contexto de producción oral.</w:t>
            </w:r>
          </w:p>
        </w:tc>
        <w:tc>
          <w:tcPr>
            <w:tcW w:w="2132" w:type="pct"/>
          </w:tcPr>
          <w:p w14:paraId="26C95353" w14:textId="631586A4" w:rsidR="00741840" w:rsidRPr="00F20354" w:rsidRDefault="00733BFC" w:rsidP="00410D8F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El taller </w:t>
            </w:r>
            <w:r w:rsidR="00410D8F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se enfoca en</w:t>
            </w: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generar una experiencia de interacción social con y entre los/as estudiantes en relación a temas de interés común, motivando el diálogo y la escucha activa, </w:t>
            </w:r>
            <w:r w:rsidR="00012010"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que les permita compartir opiniones, argumentar ideas en un espacio de respeto y tolerancia.</w:t>
            </w:r>
          </w:p>
        </w:tc>
      </w:tr>
      <w:tr w:rsidR="00070209" w:rsidRPr="00F20354" w14:paraId="07F615DC" w14:textId="0A2D1B1F" w:rsidTr="00C4730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69EFC50B" w14:textId="77777777" w:rsidR="00012010" w:rsidRPr="00F20354" w:rsidRDefault="00012010" w:rsidP="000120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 xml:space="preserve">¡Cuidado! </w:t>
            </w:r>
          </w:p>
          <w:p w14:paraId="543B430E" w14:textId="395E18F2" w:rsidR="00070209" w:rsidRPr="008310F0" w:rsidRDefault="00012010" w:rsidP="000120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>Alerta de plagio</w:t>
            </w:r>
          </w:p>
        </w:tc>
        <w:tc>
          <w:tcPr>
            <w:tcW w:w="1691" w:type="pct"/>
          </w:tcPr>
          <w:p w14:paraId="00884CC7" w14:textId="1CB44026" w:rsidR="00070209" w:rsidRPr="008310F0" w:rsidRDefault="00F20354" w:rsidP="008E2CB8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Conocer los elementos claves  de las Normas de citación APA y su uso en la incorporación de citas, al momento de producir textos académicos.</w:t>
            </w:r>
          </w:p>
        </w:tc>
        <w:tc>
          <w:tcPr>
            <w:tcW w:w="2132" w:type="pct"/>
          </w:tcPr>
          <w:p w14:paraId="7F763944" w14:textId="389DA845" w:rsidR="00741840" w:rsidRPr="00F20354" w:rsidRDefault="00F20354" w:rsidP="001967A4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El taller se enfoca en</w:t>
            </w:r>
            <w:r w:rsidR="001967A4"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el uso adecuado de </w:t>
            </w:r>
            <w:r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los elementos claves </w:t>
            </w:r>
            <w:r w:rsidR="001967A4"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de las Normas de citación APA, cita textual y parafraseada, con el fin de </w:t>
            </w:r>
            <w:r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evitar el plagio, </w:t>
            </w:r>
            <w:r w:rsidR="001967A4"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respetar la propiedad intelectual, </w:t>
            </w:r>
            <w:r w:rsidRP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considerando los aspectos éticos que involucra.</w:t>
            </w:r>
          </w:p>
        </w:tc>
      </w:tr>
      <w:tr w:rsidR="00070209" w:rsidRPr="00F20354" w14:paraId="4F10385B" w14:textId="430FF9D0" w:rsidTr="00C4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06B148CE" w14:textId="3DD1A1CD" w:rsidR="00070209" w:rsidRPr="008310F0" w:rsidRDefault="00F20354" w:rsidP="000120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F20354">
              <w:rPr>
                <w:rFonts w:ascii="Times New Roman" w:eastAsia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>¡Ha llegado E-mail!</w:t>
            </w:r>
          </w:p>
        </w:tc>
        <w:tc>
          <w:tcPr>
            <w:tcW w:w="1691" w:type="pct"/>
          </w:tcPr>
          <w:p w14:paraId="5A42C86F" w14:textId="7C7D9762" w:rsidR="00070209" w:rsidRPr="008310F0" w:rsidRDefault="00357C64" w:rsidP="00357C64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Desarrollar habilidades de escritura</w:t>
            </w:r>
            <w:r w:rsidRPr="00357C6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en </w:t>
            </w:r>
            <w:r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un</w:t>
            </w:r>
            <w:r w:rsidRPr="00357C64"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contexto comunicativo académico y formal.</w:t>
            </w:r>
          </w:p>
        </w:tc>
        <w:tc>
          <w:tcPr>
            <w:tcW w:w="2132" w:type="pct"/>
          </w:tcPr>
          <w:p w14:paraId="56EF8737" w14:textId="1E95E6C0" w:rsidR="00741840" w:rsidRPr="00F20354" w:rsidRDefault="0089507B" w:rsidP="0089507B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El taller se enfoca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en el proceso de escritura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 correos electrónicos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,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dirigidos a do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centes o funcionarios de la universidad,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acción recurrente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y que dificulta a los estu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diantes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por el desconocimiento de 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cómo adecuar su registro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coloquial 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a la comunicación formal.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Es por ello, que se 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modelará la escritura de un e-mail, </w:t>
            </w:r>
            <w:r w:rsid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reconociendo estructura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, finalidad y formalidades.</w:t>
            </w:r>
          </w:p>
        </w:tc>
      </w:tr>
      <w:tr w:rsidR="00012010" w:rsidRPr="00F20354" w14:paraId="41B05724" w14:textId="77777777" w:rsidTr="00C4730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1ADFDDDE" w14:textId="080C43F2" w:rsidR="00012010" w:rsidRPr="00F20354" w:rsidRDefault="00F20354" w:rsidP="000120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2035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 xml:space="preserve">Creer o no creer. </w:t>
            </w:r>
            <w:r w:rsidR="001906E8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 xml:space="preserve">                      </w:t>
            </w:r>
            <w:r w:rsidRPr="00F2035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>Ese es el dilema</w:t>
            </w:r>
          </w:p>
        </w:tc>
        <w:tc>
          <w:tcPr>
            <w:tcW w:w="1691" w:type="pct"/>
          </w:tcPr>
          <w:p w14:paraId="194F4267" w14:textId="28C58CAC" w:rsidR="00012010" w:rsidRPr="00F20354" w:rsidRDefault="0089507B" w:rsidP="00410D8F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F</w:t>
            </w:r>
            <w:r w:rsid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omentar </w:t>
            </w:r>
            <w:r w:rsidRPr="0089507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el pensamiento crítico, cuestionando distintas fuentes de información.</w:t>
            </w:r>
          </w:p>
        </w:tc>
        <w:tc>
          <w:tcPr>
            <w:tcW w:w="2132" w:type="pct"/>
          </w:tcPr>
          <w:p w14:paraId="10B3181A" w14:textId="5EE2A965" w:rsidR="00741840" w:rsidRPr="00F20354" w:rsidRDefault="00410D8F" w:rsidP="00410D8F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El taller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se enfoca</w:t>
            </w:r>
            <w:r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en cuestionar la credibilidad de distintas fuentes de información, a partir del análisis de titulares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de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lastRenderedPageBreak/>
              <w:t>diarios electrónicos</w:t>
            </w:r>
            <w:r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y los temas que abor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dan, compartiendo opiniones. Se espera que los estudiantes</w:t>
            </w:r>
            <w:r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cuestionen l</w:t>
            </w:r>
            <w:r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a credibilidad de la infor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mación que proviene de los medios de comunicación, generando una postura clara frente a ella.</w:t>
            </w:r>
          </w:p>
        </w:tc>
      </w:tr>
      <w:tr w:rsidR="00012010" w:rsidRPr="00F20354" w14:paraId="0BFDE666" w14:textId="77777777" w:rsidTr="00C4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vAlign w:val="center"/>
          </w:tcPr>
          <w:p w14:paraId="57366BA6" w14:textId="32E46FC2" w:rsidR="00012010" w:rsidRPr="00F20354" w:rsidRDefault="00F20354" w:rsidP="0001201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 w:rsidRPr="00F2035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  <w:r w:rsidRPr="00F2035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n-US"/>
              </w:rPr>
              <w:t>¡Profe! ¿Qué hay que hacer?</w:t>
            </w:r>
          </w:p>
        </w:tc>
        <w:tc>
          <w:tcPr>
            <w:tcW w:w="1691" w:type="pct"/>
          </w:tcPr>
          <w:p w14:paraId="7CDCEC39" w14:textId="5AAF9BD5" w:rsidR="00012010" w:rsidRDefault="007709D5" w:rsidP="007709D5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Desarrollar</w:t>
            </w:r>
            <w:r w:rsidR="00410D8F"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habilidades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de comprensión </w:t>
            </w:r>
            <w:r w:rsidR="00741840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lectora </w:t>
            </w:r>
            <w:r w:rsidR="00741840"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para</w:t>
            </w:r>
            <w:r w:rsidR="00410D8F"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 el cumplimiento de instrucciones 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entregadas </w:t>
            </w:r>
            <w:r w:rsidR="00410D8F" w:rsidRPr="00410D8F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en el contexto académico.</w:t>
            </w:r>
          </w:p>
          <w:p w14:paraId="5DCC9A31" w14:textId="50FFB559" w:rsidR="00410D8F" w:rsidRPr="00F20354" w:rsidRDefault="00410D8F" w:rsidP="00E8514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</w:p>
        </w:tc>
        <w:tc>
          <w:tcPr>
            <w:tcW w:w="2132" w:type="pct"/>
          </w:tcPr>
          <w:p w14:paraId="0D44304E" w14:textId="5AFE9CF2" w:rsidR="00741840" w:rsidRPr="00F20354" w:rsidRDefault="007709D5" w:rsidP="00D6431B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El taller se enfoca en fortalecer l</w:t>
            </w:r>
            <w:r w:rsidRPr="007709D5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a comprensión lectora, que permiten decodificar las variaciones en el uso del lenguaje, la estructura, las representaciones</w:t>
            </w:r>
            <w:r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 xml:space="preserve">, etc. En lo específico, se espera que los estudiantes lean y comprendan de manera efectiva una </w:t>
            </w:r>
            <w:r w:rsidR="00D6431B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n-US"/>
              </w:rPr>
              <w:t>instrucción para poder seguirla y actuar en consecuencia.</w:t>
            </w:r>
          </w:p>
        </w:tc>
      </w:tr>
    </w:tbl>
    <w:p w14:paraId="5F2B5987" w14:textId="148B3F20" w:rsidR="00E41ABC" w:rsidRDefault="008E2CB8" w:rsidP="00E656A5">
      <w:pPr>
        <w:ind w:left="0" w:hanging="2"/>
        <w:rPr>
          <w:sz w:val="16"/>
          <w:szCs w:val="16"/>
        </w:rPr>
      </w:pPr>
      <w:r w:rsidRPr="00F20354">
        <w:rPr>
          <w:sz w:val="16"/>
          <w:szCs w:val="16"/>
        </w:rPr>
        <w:t>CAP (2022)</w:t>
      </w:r>
    </w:p>
    <w:p w14:paraId="55CE931B" w14:textId="00FFC549" w:rsidR="00C47C76" w:rsidRDefault="00E41ABC" w:rsidP="00E656A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Cabe mencionar que</w:t>
      </w:r>
      <w:r w:rsidR="00E656A5">
        <w:rPr>
          <w:sz w:val="24"/>
          <w:szCs w:val="24"/>
        </w:rPr>
        <w:t xml:space="preserve"> </w:t>
      </w:r>
      <w:r w:rsidR="00744A78">
        <w:rPr>
          <w:sz w:val="24"/>
          <w:szCs w:val="24"/>
        </w:rPr>
        <w:t xml:space="preserve">la semana CTU convocó a todo el plantel </w:t>
      </w:r>
      <w:r w:rsidR="00E656A5">
        <w:rPr>
          <w:sz w:val="24"/>
          <w:szCs w:val="24"/>
        </w:rPr>
        <w:t>estudiantil, ing</w:t>
      </w:r>
      <w:r w:rsidR="00744A78">
        <w:rPr>
          <w:sz w:val="24"/>
          <w:szCs w:val="24"/>
        </w:rPr>
        <w:t xml:space="preserve">reso 2022, pertenecientes a </w:t>
      </w:r>
      <w:r w:rsidR="00E656A5" w:rsidRPr="00030D37">
        <w:rPr>
          <w:sz w:val="24"/>
          <w:szCs w:val="24"/>
        </w:rPr>
        <w:t>48</w:t>
      </w:r>
      <w:r w:rsidR="00E656A5">
        <w:rPr>
          <w:sz w:val="24"/>
          <w:szCs w:val="24"/>
        </w:rPr>
        <w:t xml:space="preserve"> de 50</w:t>
      </w:r>
      <w:r w:rsidR="00E656A5" w:rsidRPr="00030D37">
        <w:rPr>
          <w:sz w:val="24"/>
          <w:szCs w:val="24"/>
        </w:rPr>
        <w:t xml:space="preserve"> carreras</w:t>
      </w:r>
      <w:r w:rsidR="00E656A5">
        <w:rPr>
          <w:sz w:val="24"/>
          <w:szCs w:val="24"/>
        </w:rPr>
        <w:t xml:space="preserve"> </w:t>
      </w:r>
      <w:r w:rsidR="00744A78">
        <w:rPr>
          <w:sz w:val="24"/>
          <w:szCs w:val="24"/>
        </w:rPr>
        <w:t xml:space="preserve">que imparte la universidad y </w:t>
      </w:r>
      <w:r w:rsidR="00E656A5">
        <w:rPr>
          <w:sz w:val="24"/>
          <w:szCs w:val="24"/>
        </w:rPr>
        <w:t>que cuentan con</w:t>
      </w:r>
      <w:r w:rsidR="00744A78">
        <w:rPr>
          <w:sz w:val="24"/>
          <w:szCs w:val="24"/>
        </w:rPr>
        <w:t xml:space="preserve"> un</w:t>
      </w:r>
      <w:r w:rsidR="00E656A5">
        <w:rPr>
          <w:sz w:val="24"/>
          <w:szCs w:val="24"/>
        </w:rPr>
        <w:t xml:space="preserve"> ingreso regular, salvo </w:t>
      </w:r>
      <w:r w:rsidR="005A0698">
        <w:rPr>
          <w:sz w:val="24"/>
          <w:szCs w:val="24"/>
        </w:rPr>
        <w:t xml:space="preserve">aquellas </w:t>
      </w:r>
      <w:r w:rsidR="00744A78">
        <w:rPr>
          <w:sz w:val="24"/>
          <w:szCs w:val="24"/>
        </w:rPr>
        <w:t>restantes</w:t>
      </w:r>
      <w:r w:rsidR="005A0698">
        <w:rPr>
          <w:sz w:val="24"/>
          <w:szCs w:val="24"/>
        </w:rPr>
        <w:t xml:space="preserve"> (2)</w:t>
      </w:r>
      <w:r w:rsidR="00E656A5">
        <w:rPr>
          <w:sz w:val="24"/>
          <w:szCs w:val="24"/>
        </w:rPr>
        <w:t xml:space="preserve"> que se encuentran en proceso de término y cierre.</w:t>
      </w:r>
      <w:r w:rsidR="00744A78">
        <w:rPr>
          <w:sz w:val="24"/>
          <w:szCs w:val="24"/>
        </w:rPr>
        <w:t xml:space="preserve"> </w:t>
      </w:r>
      <w:r w:rsidR="009F431F">
        <w:rPr>
          <w:sz w:val="24"/>
          <w:szCs w:val="24"/>
        </w:rPr>
        <w:t>Se envió</w:t>
      </w:r>
      <w:r w:rsidR="005A0698">
        <w:rPr>
          <w:sz w:val="24"/>
          <w:szCs w:val="24"/>
        </w:rPr>
        <w:t xml:space="preserve"> una</w:t>
      </w:r>
      <w:r w:rsidR="00744A78">
        <w:rPr>
          <w:sz w:val="24"/>
          <w:szCs w:val="24"/>
        </w:rPr>
        <w:t xml:space="preserve"> invitación a las Direcciones de Escuela</w:t>
      </w:r>
      <w:r w:rsidR="005A0698">
        <w:rPr>
          <w:sz w:val="24"/>
          <w:szCs w:val="24"/>
        </w:rPr>
        <w:t>,</w:t>
      </w:r>
      <w:r w:rsidR="00744A78">
        <w:rPr>
          <w:sz w:val="24"/>
          <w:szCs w:val="24"/>
        </w:rPr>
        <w:t xml:space="preserve"> dentro de</w:t>
      </w:r>
      <w:r w:rsidR="00E656A5">
        <w:rPr>
          <w:sz w:val="24"/>
          <w:szCs w:val="24"/>
        </w:rPr>
        <w:t xml:space="preserve"> los primeros días del </w:t>
      </w:r>
      <w:r w:rsidR="00744A78">
        <w:rPr>
          <w:sz w:val="24"/>
          <w:szCs w:val="24"/>
        </w:rPr>
        <w:t>mes de marzo (01 al 04)</w:t>
      </w:r>
      <w:r w:rsidR="005A0698">
        <w:rPr>
          <w:sz w:val="24"/>
          <w:szCs w:val="24"/>
        </w:rPr>
        <w:t xml:space="preserve">, </w:t>
      </w:r>
      <w:r w:rsidR="00744A78">
        <w:rPr>
          <w:sz w:val="24"/>
          <w:szCs w:val="24"/>
        </w:rPr>
        <w:t>adjuntánd</w:t>
      </w:r>
      <w:r w:rsidR="00E656A5" w:rsidRPr="00030D37">
        <w:rPr>
          <w:sz w:val="24"/>
          <w:szCs w:val="24"/>
        </w:rPr>
        <w:t>oles</w:t>
      </w:r>
      <w:r w:rsidR="00E656A5">
        <w:rPr>
          <w:sz w:val="24"/>
          <w:szCs w:val="24"/>
        </w:rPr>
        <w:t xml:space="preserve"> la programación de todos los talleres planificados</w:t>
      </w:r>
      <w:r w:rsidR="005A0698">
        <w:rPr>
          <w:sz w:val="24"/>
          <w:szCs w:val="24"/>
        </w:rPr>
        <w:t xml:space="preserve"> en las distintas áreas de apoyo, transversal y disciplinar, </w:t>
      </w:r>
      <w:r w:rsidR="00E656A5">
        <w:rPr>
          <w:sz w:val="24"/>
          <w:szCs w:val="24"/>
        </w:rPr>
        <w:t>con el fin de que puedan elegir y confirmar la participación de sus estudiantes.</w:t>
      </w:r>
      <w:r w:rsidR="005A0698">
        <w:rPr>
          <w:sz w:val="24"/>
          <w:szCs w:val="24"/>
        </w:rPr>
        <w:t xml:space="preserve"> La indicación fue</w:t>
      </w:r>
      <w:r w:rsidR="00744A78">
        <w:rPr>
          <w:sz w:val="24"/>
          <w:szCs w:val="24"/>
        </w:rPr>
        <w:t xml:space="preserve"> elegir un total de 3 talleres, seleccionando uno de cada área transversal (Psicoeducativa y Comunicación efectiva) y otro asociado al contenido disciplinar (</w:t>
      </w:r>
      <w:r>
        <w:rPr>
          <w:sz w:val="24"/>
          <w:szCs w:val="24"/>
        </w:rPr>
        <w:t>b</w:t>
      </w:r>
      <w:r w:rsidR="00744A78">
        <w:rPr>
          <w:sz w:val="24"/>
          <w:szCs w:val="24"/>
        </w:rPr>
        <w:t>iología,</w:t>
      </w:r>
      <w:r w:rsidR="0090682F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90682F">
        <w:rPr>
          <w:sz w:val="24"/>
          <w:szCs w:val="24"/>
        </w:rPr>
        <w:t>ísica</w:t>
      </w:r>
      <w:r>
        <w:rPr>
          <w:sz w:val="24"/>
          <w:szCs w:val="24"/>
        </w:rPr>
        <w:t>, q</w:t>
      </w:r>
      <w:r w:rsidR="0090682F">
        <w:rPr>
          <w:sz w:val="24"/>
          <w:szCs w:val="24"/>
        </w:rPr>
        <w:t>uímica,</w:t>
      </w:r>
      <w:r w:rsidR="00744A78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90682F">
        <w:rPr>
          <w:sz w:val="24"/>
          <w:szCs w:val="24"/>
        </w:rPr>
        <w:t xml:space="preserve">glés y </w:t>
      </w:r>
      <w:r>
        <w:rPr>
          <w:sz w:val="24"/>
          <w:szCs w:val="24"/>
        </w:rPr>
        <w:t>m</w:t>
      </w:r>
      <w:r w:rsidR="0090682F">
        <w:rPr>
          <w:sz w:val="24"/>
          <w:szCs w:val="24"/>
        </w:rPr>
        <w:t>atemática).</w:t>
      </w:r>
    </w:p>
    <w:p w14:paraId="73517E92" w14:textId="77BE2CEE" w:rsidR="00744A78" w:rsidRPr="00E41ABC" w:rsidRDefault="0090682F" w:rsidP="00E656A5">
      <w:pPr>
        <w:ind w:left="0" w:hanging="2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09D6CA20" w14:textId="75300A6A" w:rsidR="006E719B" w:rsidRDefault="00CE5466" w:rsidP="006E719B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E719B">
        <w:rPr>
          <w:b/>
          <w:sz w:val="24"/>
          <w:szCs w:val="24"/>
        </w:rPr>
        <w:t xml:space="preserve">Resultados </w:t>
      </w:r>
    </w:p>
    <w:p w14:paraId="5A743424" w14:textId="44B08BD8" w:rsidR="00607831" w:rsidRDefault="005513AF" w:rsidP="0060783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 relación a los </w:t>
      </w:r>
      <w:r w:rsidR="00DA39DD">
        <w:rPr>
          <w:sz w:val="24"/>
          <w:szCs w:val="24"/>
        </w:rPr>
        <w:t xml:space="preserve">resultados y </w:t>
      </w:r>
      <w:r>
        <w:rPr>
          <w:sz w:val="24"/>
          <w:szCs w:val="24"/>
        </w:rPr>
        <w:t xml:space="preserve">datos obtenidos, estos se </w:t>
      </w:r>
      <w:r w:rsidR="008106BD">
        <w:rPr>
          <w:sz w:val="24"/>
          <w:szCs w:val="24"/>
        </w:rPr>
        <w:t>analizarán</w:t>
      </w:r>
      <w:r>
        <w:rPr>
          <w:sz w:val="24"/>
          <w:szCs w:val="24"/>
        </w:rPr>
        <w:t xml:space="preserve"> de acuerdo a </w:t>
      </w:r>
      <w:r w:rsidR="008106BD">
        <w:rPr>
          <w:sz w:val="24"/>
          <w:szCs w:val="24"/>
        </w:rPr>
        <w:t xml:space="preserve">la participación </w:t>
      </w:r>
      <w:r w:rsidR="00E403D2">
        <w:rPr>
          <w:sz w:val="24"/>
          <w:szCs w:val="24"/>
        </w:rPr>
        <w:t xml:space="preserve">                     </w:t>
      </w:r>
      <w:r w:rsidR="00DA39DD">
        <w:rPr>
          <w:sz w:val="24"/>
          <w:szCs w:val="24"/>
        </w:rPr>
        <w:t xml:space="preserve">de los/as estudiantes </w:t>
      </w:r>
      <w:r w:rsidR="008106BD">
        <w:rPr>
          <w:sz w:val="24"/>
          <w:szCs w:val="24"/>
        </w:rPr>
        <w:t>e</w:t>
      </w:r>
      <w:r w:rsidR="00DA39DD">
        <w:rPr>
          <w:sz w:val="24"/>
          <w:szCs w:val="24"/>
        </w:rPr>
        <w:t>n cada uno de los</w:t>
      </w:r>
      <w:r w:rsidR="00E403D2">
        <w:rPr>
          <w:sz w:val="24"/>
          <w:szCs w:val="24"/>
        </w:rPr>
        <w:t xml:space="preserve"> TCE</w:t>
      </w:r>
      <w:r w:rsidR="009F431F">
        <w:rPr>
          <w:sz w:val="24"/>
          <w:szCs w:val="24"/>
        </w:rPr>
        <w:t xml:space="preserve"> 2022</w:t>
      </w:r>
      <w:r w:rsidR="00E403D2">
        <w:rPr>
          <w:sz w:val="24"/>
          <w:szCs w:val="24"/>
        </w:rPr>
        <w:t xml:space="preserve"> r</w:t>
      </w:r>
      <w:r w:rsidR="005A0DAB">
        <w:rPr>
          <w:sz w:val="24"/>
          <w:szCs w:val="24"/>
        </w:rPr>
        <w:t>ealizados</w:t>
      </w:r>
      <w:r w:rsidR="00E403D2">
        <w:rPr>
          <w:sz w:val="24"/>
          <w:szCs w:val="24"/>
        </w:rPr>
        <w:t xml:space="preserve"> (Tabla 2)</w:t>
      </w:r>
      <w:r>
        <w:rPr>
          <w:sz w:val="24"/>
          <w:szCs w:val="24"/>
        </w:rPr>
        <w:t xml:space="preserve">, </w:t>
      </w:r>
      <w:r w:rsidR="00607831">
        <w:rPr>
          <w:sz w:val="24"/>
          <w:szCs w:val="24"/>
        </w:rPr>
        <w:t>como en la respuesta entregada en la encuesta de opinión que se aplicó al térm</w:t>
      </w:r>
      <w:r w:rsidR="00DA39DD">
        <w:rPr>
          <w:sz w:val="24"/>
          <w:szCs w:val="24"/>
        </w:rPr>
        <w:t>i</w:t>
      </w:r>
      <w:r w:rsidR="00E403D2">
        <w:rPr>
          <w:sz w:val="24"/>
          <w:szCs w:val="24"/>
        </w:rPr>
        <w:t>no de la semana (Tabla</w:t>
      </w:r>
      <w:r w:rsidR="005A0698">
        <w:rPr>
          <w:sz w:val="24"/>
          <w:szCs w:val="24"/>
        </w:rPr>
        <w:t>s</w:t>
      </w:r>
      <w:r w:rsidR="00E403D2">
        <w:rPr>
          <w:sz w:val="24"/>
          <w:szCs w:val="24"/>
        </w:rPr>
        <w:t xml:space="preserve"> 3</w:t>
      </w:r>
      <w:r w:rsidR="00607831">
        <w:rPr>
          <w:sz w:val="24"/>
          <w:szCs w:val="24"/>
        </w:rPr>
        <w:t xml:space="preserve"> y 4</w:t>
      </w:r>
      <w:r w:rsidR="00E403D2">
        <w:rPr>
          <w:sz w:val="24"/>
          <w:szCs w:val="24"/>
        </w:rPr>
        <w:t xml:space="preserve">) y, por último, </w:t>
      </w:r>
      <w:r w:rsidR="009F431F">
        <w:rPr>
          <w:sz w:val="24"/>
          <w:szCs w:val="24"/>
        </w:rPr>
        <w:t xml:space="preserve">en relación a los porcentajes de retención, </w:t>
      </w:r>
      <w:r w:rsidR="005A0698">
        <w:rPr>
          <w:sz w:val="24"/>
          <w:szCs w:val="24"/>
        </w:rPr>
        <w:t>se indicará la cantidad de estudiantes que asistieron a los talleres</w:t>
      </w:r>
      <w:r w:rsidR="009F431F">
        <w:rPr>
          <w:sz w:val="24"/>
          <w:szCs w:val="24"/>
        </w:rPr>
        <w:t xml:space="preserve">, versiones 2021 y 2022, </w:t>
      </w:r>
      <w:r w:rsidR="005A0698">
        <w:rPr>
          <w:sz w:val="24"/>
          <w:szCs w:val="24"/>
        </w:rPr>
        <w:t>que aún permanecen en</w:t>
      </w:r>
      <w:r w:rsidR="009F431F">
        <w:rPr>
          <w:sz w:val="24"/>
          <w:szCs w:val="24"/>
        </w:rPr>
        <w:t xml:space="preserve"> la universidad en calidad de alumnos</w:t>
      </w:r>
      <w:r w:rsidR="005A0698">
        <w:rPr>
          <w:sz w:val="24"/>
          <w:szCs w:val="24"/>
        </w:rPr>
        <w:t xml:space="preserve"> regulares</w:t>
      </w:r>
      <w:r w:rsidR="009F431F">
        <w:rPr>
          <w:sz w:val="24"/>
          <w:szCs w:val="24"/>
        </w:rPr>
        <w:t xml:space="preserve"> (Tabla 5)</w:t>
      </w:r>
      <w:r w:rsidR="005A0698">
        <w:rPr>
          <w:sz w:val="24"/>
          <w:szCs w:val="24"/>
        </w:rPr>
        <w:t>.</w:t>
      </w:r>
    </w:p>
    <w:p w14:paraId="083B9C7F" w14:textId="4EB8AAFD" w:rsidR="00C47C76" w:rsidRDefault="00C47C76" w:rsidP="006E719B">
      <w:pPr>
        <w:ind w:left="0" w:hanging="2"/>
        <w:rPr>
          <w:sz w:val="24"/>
          <w:szCs w:val="24"/>
        </w:rPr>
      </w:pPr>
      <w:r w:rsidRPr="00DA39D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.1 </w:t>
      </w:r>
      <w:r w:rsidRPr="00DA39DD">
        <w:rPr>
          <w:b/>
          <w:sz w:val="24"/>
          <w:szCs w:val="24"/>
        </w:rPr>
        <w:t>Participación:</w:t>
      </w:r>
      <w:r>
        <w:rPr>
          <w:sz w:val="24"/>
          <w:szCs w:val="24"/>
        </w:rPr>
        <w:t xml:space="preserve"> de acuerdo a la información que se adjunta en la Tabla 2, se considera evidenciar la participación en los TCE durante la semana de inducción y acogida, detallando </w:t>
      </w:r>
      <w:r w:rsidR="009F431F">
        <w:rPr>
          <w:sz w:val="24"/>
          <w:szCs w:val="24"/>
        </w:rPr>
        <w:t>cantidad de talleres realizados</w:t>
      </w:r>
      <w:r>
        <w:rPr>
          <w:sz w:val="24"/>
          <w:szCs w:val="24"/>
        </w:rPr>
        <w:t>, carreras participantes, cantidad de estudiantes por taller y el porcentaje obtenido de acuerdo al total de participantes.</w:t>
      </w:r>
    </w:p>
    <w:p w14:paraId="49E51708" w14:textId="77777777" w:rsidR="00C47C76" w:rsidRDefault="00C47C76" w:rsidP="00C47C76">
      <w:pPr>
        <w:ind w:left="0" w:hanging="2"/>
        <w:rPr>
          <w:b/>
          <w:sz w:val="16"/>
          <w:szCs w:val="16"/>
        </w:rPr>
      </w:pPr>
      <w:r w:rsidRPr="00857817">
        <w:rPr>
          <w:b/>
          <w:sz w:val="16"/>
          <w:szCs w:val="16"/>
        </w:rPr>
        <w:t>Tabla 2</w:t>
      </w:r>
    </w:p>
    <w:p w14:paraId="31FB9254" w14:textId="475469B3" w:rsidR="00C47C76" w:rsidRPr="00C47C76" w:rsidRDefault="00C47C76" w:rsidP="006E719B">
      <w:pPr>
        <w:ind w:left="0" w:hanging="2"/>
        <w:rPr>
          <w:i/>
          <w:sz w:val="16"/>
          <w:szCs w:val="16"/>
        </w:rPr>
      </w:pPr>
      <w:r>
        <w:rPr>
          <w:i/>
          <w:sz w:val="16"/>
          <w:szCs w:val="16"/>
        </w:rPr>
        <w:t>Particip</w:t>
      </w:r>
      <w:r w:rsidRPr="00F20354">
        <w:rPr>
          <w:i/>
          <w:sz w:val="16"/>
          <w:szCs w:val="16"/>
        </w:rPr>
        <w:t xml:space="preserve">ación Talleres Comunicación Efectiva  </w:t>
      </w:r>
    </w:p>
    <w:tbl>
      <w:tblPr>
        <w:tblStyle w:val="SimplesTabela2"/>
        <w:tblpPr w:leftFromText="141" w:rightFromText="141" w:vertAnchor="text" w:horzAnchor="margin" w:tblpY="131"/>
        <w:tblW w:w="8364" w:type="dxa"/>
        <w:tblLook w:val="04A0" w:firstRow="1" w:lastRow="0" w:firstColumn="1" w:lastColumn="0" w:noHBand="0" w:noVBand="1"/>
      </w:tblPr>
      <w:tblGrid>
        <w:gridCol w:w="2552"/>
        <w:gridCol w:w="1275"/>
        <w:gridCol w:w="1591"/>
        <w:gridCol w:w="1554"/>
        <w:gridCol w:w="1560"/>
      </w:tblGrid>
      <w:tr w:rsidR="00911626" w:rsidRPr="009E3158" w14:paraId="0689608C" w14:textId="77777777" w:rsidTr="0071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noWrap/>
            <w:vAlign w:val="center"/>
          </w:tcPr>
          <w:p w14:paraId="20438F31" w14:textId="47BDF8C7" w:rsidR="00687B1E" w:rsidRPr="009E3158" w:rsidRDefault="00DA00FE" w:rsidP="00D33857">
            <w:pPr>
              <w:spacing w:after="120"/>
              <w:ind w:left="0" w:hanging="2"/>
              <w:jc w:val="center"/>
              <w:textDirection w:val="lrTb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TALLERES                   COMUNICACIÓN                    </w:t>
            </w:r>
            <w:r w:rsidR="00687B1E">
              <w:rPr>
                <w:sz w:val="16"/>
                <w:szCs w:val="16"/>
                <w:lang w:val="es-CL"/>
              </w:rPr>
              <w:t>EFECTIVA</w:t>
            </w:r>
          </w:p>
        </w:tc>
        <w:tc>
          <w:tcPr>
            <w:tcW w:w="1107" w:type="dxa"/>
            <w:shd w:val="clear" w:color="auto" w:fill="auto"/>
          </w:tcPr>
          <w:p w14:paraId="5AD914FA" w14:textId="6DCE3C18" w:rsidR="00687B1E" w:rsidRDefault="00687B1E" w:rsidP="00D33857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TALLERES REALIZADOS</w:t>
            </w:r>
          </w:p>
        </w:tc>
        <w:tc>
          <w:tcPr>
            <w:tcW w:w="1591" w:type="dxa"/>
            <w:shd w:val="clear" w:color="auto" w:fill="auto"/>
            <w:noWrap/>
          </w:tcPr>
          <w:p w14:paraId="5506B447" w14:textId="1DB0E221" w:rsidR="00687B1E" w:rsidRPr="009E3158" w:rsidRDefault="00687B1E" w:rsidP="00D33857">
            <w:pPr>
              <w:spacing w:after="120"/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CARRERAS PARTICIPANTES</w:t>
            </w:r>
          </w:p>
        </w:tc>
        <w:tc>
          <w:tcPr>
            <w:tcW w:w="1554" w:type="dxa"/>
            <w:shd w:val="clear" w:color="auto" w:fill="auto"/>
            <w:noWrap/>
          </w:tcPr>
          <w:p w14:paraId="7D3EF27D" w14:textId="037E3C24" w:rsidR="00687B1E" w:rsidRPr="009E3158" w:rsidRDefault="00687B1E" w:rsidP="00D33857">
            <w:pPr>
              <w:spacing w:after="120"/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ESTUDIANTES  PARTICIPANTES POR TALLER</w:t>
            </w:r>
          </w:p>
        </w:tc>
        <w:tc>
          <w:tcPr>
            <w:tcW w:w="1560" w:type="dxa"/>
            <w:shd w:val="clear" w:color="auto" w:fill="auto"/>
            <w:noWrap/>
          </w:tcPr>
          <w:p w14:paraId="72E9986C" w14:textId="6103B7C0" w:rsidR="00687B1E" w:rsidRPr="009E3158" w:rsidRDefault="00687B1E" w:rsidP="00D33857">
            <w:pPr>
              <w:spacing w:after="120"/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%                  ASISTENCIA</w:t>
            </w:r>
            <w:r w:rsidR="00DA00FE">
              <w:rPr>
                <w:sz w:val="16"/>
                <w:szCs w:val="16"/>
                <w:lang w:val="es-CL"/>
              </w:rPr>
              <w:t xml:space="preserve"> </w:t>
            </w:r>
            <w:r>
              <w:rPr>
                <w:sz w:val="16"/>
                <w:szCs w:val="16"/>
                <w:lang w:val="es-CL"/>
              </w:rPr>
              <w:t xml:space="preserve"> POR TALLER  </w:t>
            </w:r>
          </w:p>
        </w:tc>
      </w:tr>
      <w:tr w:rsidR="00911626" w:rsidRPr="009E3158" w14:paraId="7D6A56E0" w14:textId="77777777" w:rsidTr="0071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</w:tcPr>
          <w:p w14:paraId="5F499155" w14:textId="77777777" w:rsidR="00687B1E" w:rsidRDefault="00687B1E" w:rsidP="00D33857">
            <w:pPr>
              <w:ind w:left="0" w:hanging="2"/>
              <w:jc w:val="left"/>
              <w:textDirection w:val="lrTb"/>
              <w:rPr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¡Activemos el micrófono!</w:t>
            </w:r>
          </w:p>
        </w:tc>
        <w:tc>
          <w:tcPr>
            <w:tcW w:w="1107" w:type="dxa"/>
            <w:vAlign w:val="center"/>
          </w:tcPr>
          <w:p w14:paraId="245945BE" w14:textId="77777777" w:rsidR="00687B1E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</w:t>
            </w:r>
          </w:p>
        </w:tc>
        <w:tc>
          <w:tcPr>
            <w:tcW w:w="1591" w:type="dxa"/>
            <w:noWrap/>
            <w:vAlign w:val="center"/>
          </w:tcPr>
          <w:p w14:paraId="0FD55807" w14:textId="77777777" w:rsidR="00687B1E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09</w:t>
            </w:r>
          </w:p>
        </w:tc>
        <w:tc>
          <w:tcPr>
            <w:tcW w:w="1554" w:type="dxa"/>
            <w:noWrap/>
            <w:vAlign w:val="center"/>
          </w:tcPr>
          <w:p w14:paraId="069EBB65" w14:textId="7747DC55" w:rsidR="00687B1E" w:rsidRDefault="006527DF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277</w:t>
            </w:r>
          </w:p>
        </w:tc>
        <w:tc>
          <w:tcPr>
            <w:tcW w:w="1560" w:type="dxa"/>
            <w:noWrap/>
            <w:vAlign w:val="center"/>
          </w:tcPr>
          <w:p w14:paraId="1287C3AC" w14:textId="2DE29889" w:rsidR="00687B1E" w:rsidRDefault="003906C1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16,63%</w:t>
            </w:r>
          </w:p>
        </w:tc>
      </w:tr>
      <w:tr w:rsidR="00911626" w:rsidRPr="009E3158" w14:paraId="6A1F441E" w14:textId="77777777" w:rsidTr="007101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</w:tcPr>
          <w:p w14:paraId="7393D4D2" w14:textId="77777777" w:rsidR="00687B1E" w:rsidRPr="009E3158" w:rsidRDefault="00687B1E" w:rsidP="00D3385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sz w:val="16"/>
                <w:szCs w:val="16"/>
                <w:lang w:val="es-CL"/>
              </w:rPr>
            </w:pPr>
            <w:r w:rsidRPr="00F20354"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¡Cuidado! Alerta de plagio</w:t>
            </w:r>
          </w:p>
        </w:tc>
        <w:tc>
          <w:tcPr>
            <w:tcW w:w="1107" w:type="dxa"/>
            <w:vAlign w:val="center"/>
          </w:tcPr>
          <w:p w14:paraId="09586977" w14:textId="77777777" w:rsidR="00687B1E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12</w:t>
            </w:r>
          </w:p>
        </w:tc>
        <w:tc>
          <w:tcPr>
            <w:tcW w:w="1591" w:type="dxa"/>
            <w:noWrap/>
            <w:vAlign w:val="center"/>
          </w:tcPr>
          <w:p w14:paraId="1FD2A05F" w14:textId="77777777" w:rsidR="00687B1E" w:rsidRPr="009E3158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10</w:t>
            </w:r>
          </w:p>
        </w:tc>
        <w:tc>
          <w:tcPr>
            <w:tcW w:w="1554" w:type="dxa"/>
            <w:noWrap/>
            <w:vAlign w:val="center"/>
          </w:tcPr>
          <w:p w14:paraId="6E5F2171" w14:textId="2F466D61" w:rsidR="00687B1E" w:rsidRPr="009E3158" w:rsidRDefault="007D490D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338</w:t>
            </w:r>
          </w:p>
        </w:tc>
        <w:tc>
          <w:tcPr>
            <w:tcW w:w="1560" w:type="dxa"/>
            <w:noWrap/>
            <w:vAlign w:val="center"/>
          </w:tcPr>
          <w:p w14:paraId="5292F073" w14:textId="703C47A4" w:rsidR="00687B1E" w:rsidRPr="009E3158" w:rsidRDefault="003906C1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20,29%</w:t>
            </w:r>
          </w:p>
        </w:tc>
      </w:tr>
      <w:tr w:rsidR="00911626" w:rsidRPr="009E3158" w14:paraId="66E83196" w14:textId="77777777" w:rsidTr="0071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</w:tcPr>
          <w:p w14:paraId="4C8512A8" w14:textId="77777777" w:rsidR="00687B1E" w:rsidRPr="001906E8" w:rsidRDefault="00687B1E" w:rsidP="00D33857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¡Ha llegado E-mail!</w:t>
            </w:r>
          </w:p>
        </w:tc>
        <w:tc>
          <w:tcPr>
            <w:tcW w:w="1107" w:type="dxa"/>
            <w:vAlign w:val="center"/>
          </w:tcPr>
          <w:p w14:paraId="2829961E" w14:textId="77777777" w:rsidR="00687B1E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05</w:t>
            </w:r>
          </w:p>
        </w:tc>
        <w:tc>
          <w:tcPr>
            <w:tcW w:w="1591" w:type="dxa"/>
            <w:noWrap/>
            <w:vAlign w:val="center"/>
          </w:tcPr>
          <w:p w14:paraId="5E70C3A1" w14:textId="77777777" w:rsidR="00687B1E" w:rsidRPr="009E3158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05</w:t>
            </w:r>
          </w:p>
        </w:tc>
        <w:tc>
          <w:tcPr>
            <w:tcW w:w="1554" w:type="dxa"/>
            <w:noWrap/>
            <w:vAlign w:val="center"/>
          </w:tcPr>
          <w:p w14:paraId="270DE350" w14:textId="3E03DA31" w:rsidR="00687B1E" w:rsidRPr="009E3158" w:rsidRDefault="003906C1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156</w:t>
            </w:r>
          </w:p>
        </w:tc>
        <w:tc>
          <w:tcPr>
            <w:tcW w:w="1560" w:type="dxa"/>
            <w:noWrap/>
            <w:vAlign w:val="center"/>
          </w:tcPr>
          <w:p w14:paraId="5AD63626" w14:textId="175B029A" w:rsidR="00687B1E" w:rsidRPr="009E3158" w:rsidRDefault="003906C1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9,36%</w:t>
            </w:r>
          </w:p>
        </w:tc>
      </w:tr>
      <w:tr w:rsidR="00911626" w:rsidRPr="009E3158" w14:paraId="613873D3" w14:textId="77777777" w:rsidTr="007101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</w:tcPr>
          <w:p w14:paraId="74C322E7" w14:textId="77777777" w:rsidR="00687B1E" w:rsidRPr="009E3158" w:rsidRDefault="00687B1E" w:rsidP="00D33857">
            <w:pPr>
              <w:ind w:left="0" w:hanging="2"/>
              <w:jc w:val="left"/>
              <w:textDirection w:val="lrTb"/>
              <w:rPr>
                <w:sz w:val="16"/>
                <w:szCs w:val="16"/>
                <w:lang w:val="es-CL"/>
              </w:rPr>
            </w:pPr>
            <w:r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 xml:space="preserve">Creer o no creer. </w:t>
            </w:r>
            <w:r w:rsidRPr="00F20354"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Ese es el dilema</w:t>
            </w:r>
            <w:r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07" w:type="dxa"/>
            <w:vAlign w:val="center"/>
          </w:tcPr>
          <w:p w14:paraId="7D1EE8D5" w14:textId="77777777" w:rsidR="00687B1E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07</w:t>
            </w:r>
          </w:p>
        </w:tc>
        <w:tc>
          <w:tcPr>
            <w:tcW w:w="1591" w:type="dxa"/>
            <w:noWrap/>
            <w:vAlign w:val="center"/>
          </w:tcPr>
          <w:p w14:paraId="25D72965" w14:textId="77777777" w:rsidR="00687B1E" w:rsidRPr="009E3158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06</w:t>
            </w:r>
          </w:p>
        </w:tc>
        <w:tc>
          <w:tcPr>
            <w:tcW w:w="1554" w:type="dxa"/>
            <w:noWrap/>
            <w:vAlign w:val="center"/>
          </w:tcPr>
          <w:p w14:paraId="4A5BBE77" w14:textId="355F9BF2" w:rsidR="00687B1E" w:rsidRPr="009E3158" w:rsidRDefault="003906C1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318</w:t>
            </w:r>
          </w:p>
        </w:tc>
        <w:tc>
          <w:tcPr>
            <w:tcW w:w="1560" w:type="dxa"/>
            <w:noWrap/>
            <w:vAlign w:val="center"/>
          </w:tcPr>
          <w:p w14:paraId="3CA6AC9A" w14:textId="7A1A0AAB" w:rsidR="00687B1E" w:rsidRPr="009E3158" w:rsidRDefault="003906C1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19,09%</w:t>
            </w:r>
          </w:p>
        </w:tc>
      </w:tr>
      <w:tr w:rsidR="00911626" w:rsidRPr="009E3158" w14:paraId="0E924193" w14:textId="77777777" w:rsidTr="0071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</w:tcPr>
          <w:p w14:paraId="4DC0445C" w14:textId="77777777" w:rsidR="00687B1E" w:rsidRPr="009E3158" w:rsidRDefault="00687B1E" w:rsidP="00D33857">
            <w:pPr>
              <w:ind w:left="0" w:hanging="2"/>
              <w:jc w:val="left"/>
              <w:textDirection w:val="lrTb"/>
              <w:rPr>
                <w:sz w:val="16"/>
                <w:szCs w:val="16"/>
                <w:lang w:val="es-CL"/>
              </w:rPr>
            </w:pPr>
            <w:r w:rsidRPr="00F20354">
              <w:rPr>
                <w:sz w:val="16"/>
                <w:szCs w:val="16"/>
              </w:rPr>
              <w:t xml:space="preserve"> </w:t>
            </w:r>
            <w:r w:rsidRPr="00F20354">
              <w:rPr>
                <w:b w:val="0"/>
                <w:color w:val="000000"/>
                <w:position w:val="0"/>
                <w:sz w:val="16"/>
                <w:szCs w:val="16"/>
                <w:lang w:eastAsia="en-US"/>
              </w:rPr>
              <w:t>¡Profe! ¿Qué hay que hacer?</w:t>
            </w:r>
          </w:p>
        </w:tc>
        <w:tc>
          <w:tcPr>
            <w:tcW w:w="1107" w:type="dxa"/>
            <w:vAlign w:val="center"/>
          </w:tcPr>
          <w:p w14:paraId="640B6E0A" w14:textId="77777777" w:rsidR="00687B1E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14</w:t>
            </w:r>
          </w:p>
        </w:tc>
        <w:tc>
          <w:tcPr>
            <w:tcW w:w="1591" w:type="dxa"/>
            <w:noWrap/>
            <w:vAlign w:val="center"/>
          </w:tcPr>
          <w:p w14:paraId="25894FB3" w14:textId="77777777" w:rsidR="00687B1E" w:rsidRPr="009E3158" w:rsidRDefault="00687B1E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14</w:t>
            </w:r>
          </w:p>
        </w:tc>
        <w:tc>
          <w:tcPr>
            <w:tcW w:w="1554" w:type="dxa"/>
            <w:noWrap/>
            <w:vAlign w:val="center"/>
          </w:tcPr>
          <w:p w14:paraId="1FC3463E" w14:textId="76211BFF" w:rsidR="00687B1E" w:rsidRPr="009E3158" w:rsidRDefault="003906C1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577</w:t>
            </w:r>
          </w:p>
        </w:tc>
        <w:tc>
          <w:tcPr>
            <w:tcW w:w="1560" w:type="dxa"/>
            <w:noWrap/>
            <w:vAlign w:val="center"/>
          </w:tcPr>
          <w:p w14:paraId="216A858D" w14:textId="5B3B01AA" w:rsidR="00687B1E" w:rsidRPr="009E3158" w:rsidRDefault="003906C1" w:rsidP="00D33857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34,63%</w:t>
            </w:r>
          </w:p>
        </w:tc>
      </w:tr>
      <w:tr w:rsidR="00911626" w:rsidRPr="009E3158" w14:paraId="6AE0602F" w14:textId="77777777" w:rsidTr="007101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14:paraId="1BEA6598" w14:textId="77777777" w:rsidR="00687B1E" w:rsidRPr="00F20354" w:rsidRDefault="00687B1E" w:rsidP="007101C4">
            <w:pPr>
              <w:ind w:left="0" w:hanging="2"/>
              <w:jc w:val="left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TOTALES</w:t>
            </w:r>
          </w:p>
        </w:tc>
        <w:tc>
          <w:tcPr>
            <w:tcW w:w="1107" w:type="dxa"/>
            <w:vAlign w:val="center"/>
          </w:tcPr>
          <w:p w14:paraId="0A482CBF" w14:textId="77777777" w:rsidR="00687B1E" w:rsidRPr="007101C4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CL"/>
              </w:rPr>
            </w:pPr>
            <w:r w:rsidRPr="007101C4">
              <w:rPr>
                <w:b/>
                <w:sz w:val="16"/>
                <w:szCs w:val="16"/>
                <w:lang w:val="es-CL"/>
              </w:rPr>
              <w:t>50</w:t>
            </w:r>
          </w:p>
        </w:tc>
        <w:tc>
          <w:tcPr>
            <w:tcW w:w="1591" w:type="dxa"/>
            <w:noWrap/>
            <w:vAlign w:val="center"/>
          </w:tcPr>
          <w:p w14:paraId="0DE95B87" w14:textId="77777777" w:rsidR="00687B1E" w:rsidRPr="007101C4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CL"/>
              </w:rPr>
            </w:pPr>
            <w:r w:rsidRPr="007101C4">
              <w:rPr>
                <w:b/>
                <w:sz w:val="16"/>
                <w:szCs w:val="16"/>
                <w:lang w:val="es-CL"/>
              </w:rPr>
              <w:t>44</w:t>
            </w:r>
          </w:p>
        </w:tc>
        <w:tc>
          <w:tcPr>
            <w:tcW w:w="1554" w:type="dxa"/>
            <w:noWrap/>
            <w:vAlign w:val="center"/>
          </w:tcPr>
          <w:p w14:paraId="4C69101A" w14:textId="40003B0B" w:rsidR="00687B1E" w:rsidRPr="007101C4" w:rsidRDefault="003906C1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CL"/>
              </w:rPr>
            </w:pPr>
            <w:r w:rsidRPr="007101C4">
              <w:rPr>
                <w:b/>
                <w:sz w:val="16"/>
                <w:szCs w:val="16"/>
                <w:lang w:val="es-CL"/>
              </w:rPr>
              <w:t>1666</w:t>
            </w:r>
          </w:p>
        </w:tc>
        <w:tc>
          <w:tcPr>
            <w:tcW w:w="1560" w:type="dxa"/>
            <w:noWrap/>
            <w:vAlign w:val="center"/>
          </w:tcPr>
          <w:p w14:paraId="759B88EA" w14:textId="77777777" w:rsidR="00687B1E" w:rsidRPr="007101C4" w:rsidRDefault="00687B1E" w:rsidP="00D33857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es-CL"/>
              </w:rPr>
            </w:pPr>
            <w:r w:rsidRPr="007101C4">
              <w:rPr>
                <w:b/>
                <w:sz w:val="16"/>
                <w:szCs w:val="16"/>
                <w:lang w:val="es-CL"/>
              </w:rPr>
              <w:t>100%</w:t>
            </w:r>
          </w:p>
        </w:tc>
      </w:tr>
    </w:tbl>
    <w:p w14:paraId="67DA9AF7" w14:textId="77777777" w:rsidR="00911626" w:rsidRDefault="00911626" w:rsidP="008C4D3D">
      <w:pPr>
        <w:ind w:left="0" w:hanging="2"/>
        <w:rPr>
          <w:sz w:val="16"/>
          <w:szCs w:val="16"/>
        </w:rPr>
      </w:pPr>
    </w:p>
    <w:p w14:paraId="7C72EB5E" w14:textId="77777777" w:rsidR="00911626" w:rsidRDefault="00911626" w:rsidP="008C4D3D">
      <w:pPr>
        <w:ind w:left="0" w:hanging="2"/>
        <w:rPr>
          <w:sz w:val="16"/>
          <w:szCs w:val="16"/>
        </w:rPr>
      </w:pPr>
    </w:p>
    <w:p w14:paraId="58D201AC" w14:textId="77777777" w:rsidR="00C47C76" w:rsidRDefault="00911626" w:rsidP="008C4D3D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C47C76">
        <w:rPr>
          <w:sz w:val="16"/>
          <w:szCs w:val="16"/>
        </w:rPr>
        <w:t xml:space="preserve"> </w:t>
      </w:r>
    </w:p>
    <w:p w14:paraId="3C89736B" w14:textId="77777777" w:rsidR="00C47C76" w:rsidRDefault="00C47C76" w:rsidP="008C4D3D">
      <w:pPr>
        <w:ind w:left="0" w:hanging="2"/>
        <w:rPr>
          <w:sz w:val="16"/>
          <w:szCs w:val="16"/>
        </w:rPr>
      </w:pPr>
    </w:p>
    <w:p w14:paraId="0A66BAED" w14:textId="77777777" w:rsidR="00C47C76" w:rsidRDefault="00C47C76" w:rsidP="008C4D3D">
      <w:pPr>
        <w:ind w:left="0" w:hanging="2"/>
        <w:rPr>
          <w:sz w:val="16"/>
          <w:szCs w:val="16"/>
        </w:rPr>
      </w:pPr>
    </w:p>
    <w:p w14:paraId="6BE4CB49" w14:textId="77777777" w:rsidR="00C47C76" w:rsidRDefault="00C47C76" w:rsidP="008C4D3D">
      <w:pPr>
        <w:ind w:left="0" w:hanging="2"/>
        <w:rPr>
          <w:sz w:val="16"/>
          <w:szCs w:val="16"/>
        </w:rPr>
      </w:pPr>
    </w:p>
    <w:p w14:paraId="57D1077A" w14:textId="0DD9900B" w:rsidR="00CC236D" w:rsidRDefault="00C47C76" w:rsidP="008C4D3D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FF2A09">
        <w:rPr>
          <w:sz w:val="16"/>
          <w:szCs w:val="16"/>
        </w:rPr>
        <w:t>CAP (2022)</w:t>
      </w:r>
    </w:p>
    <w:p w14:paraId="6E779FE1" w14:textId="77777777" w:rsidR="00CF39E4" w:rsidRDefault="00CF39E4" w:rsidP="008C4D3D">
      <w:pPr>
        <w:ind w:left="0" w:hanging="2"/>
        <w:rPr>
          <w:sz w:val="16"/>
          <w:szCs w:val="16"/>
        </w:rPr>
      </w:pPr>
    </w:p>
    <w:p w14:paraId="4DA52643" w14:textId="1D849C3B" w:rsidR="00911626" w:rsidRDefault="004C13D5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Los</w:t>
      </w:r>
      <w:r w:rsidR="00911626">
        <w:rPr>
          <w:sz w:val="24"/>
          <w:szCs w:val="24"/>
        </w:rPr>
        <w:t xml:space="preserve"> datos entregados confirman el</w:t>
      </w:r>
      <w:r w:rsidR="008E64EC">
        <w:rPr>
          <w:sz w:val="24"/>
          <w:szCs w:val="24"/>
        </w:rPr>
        <w:t xml:space="preserve"> porcentaje de participación </w:t>
      </w:r>
      <w:r>
        <w:rPr>
          <w:sz w:val="24"/>
          <w:szCs w:val="24"/>
        </w:rPr>
        <w:t>de</w:t>
      </w:r>
      <w:r w:rsidR="00911626">
        <w:rPr>
          <w:sz w:val="24"/>
          <w:szCs w:val="24"/>
        </w:rPr>
        <w:t xml:space="preserve"> los/as estudiantes ingreso 2022 en cada uno de los talleres realizados, en que se puede apreciar el porcentaje más alto en el taller ¡Profe! ¿Qué hay qué hacer?, </w:t>
      </w:r>
      <w:r w:rsidR="00911626" w:rsidRPr="00911626">
        <w:rPr>
          <w:sz w:val="24"/>
          <w:szCs w:val="24"/>
        </w:rPr>
        <w:t>asociado a la co</w:t>
      </w:r>
      <w:r w:rsidR="00911626">
        <w:rPr>
          <w:sz w:val="24"/>
          <w:szCs w:val="24"/>
        </w:rPr>
        <w:t xml:space="preserve">mprensión de instrucciones (orales/escritas); y </w:t>
      </w:r>
      <w:r w:rsidR="00C47C76">
        <w:rPr>
          <w:sz w:val="24"/>
          <w:szCs w:val="24"/>
        </w:rPr>
        <w:t xml:space="preserve">una baja participación en </w:t>
      </w:r>
      <w:r w:rsidR="00C47C76" w:rsidRPr="00C47C76">
        <w:rPr>
          <w:sz w:val="24"/>
          <w:szCs w:val="24"/>
        </w:rPr>
        <w:t xml:space="preserve">el taller ¡Ha llegado E-mail!, enfocado en la redacción de un correo formal e institucional, </w:t>
      </w:r>
      <w:r w:rsidR="00C47C76">
        <w:rPr>
          <w:sz w:val="24"/>
          <w:szCs w:val="24"/>
        </w:rPr>
        <w:t xml:space="preserve">cuyo </w:t>
      </w:r>
      <w:r w:rsidR="00C47C76" w:rsidRPr="00C47C76">
        <w:rPr>
          <w:sz w:val="24"/>
          <w:szCs w:val="24"/>
        </w:rPr>
        <w:t xml:space="preserve">conocimiento </w:t>
      </w:r>
      <w:r w:rsidR="00C47C76">
        <w:rPr>
          <w:sz w:val="24"/>
          <w:szCs w:val="24"/>
        </w:rPr>
        <w:t xml:space="preserve">es </w:t>
      </w:r>
      <w:r w:rsidR="00C47C76" w:rsidRPr="00C47C76">
        <w:rPr>
          <w:sz w:val="24"/>
          <w:szCs w:val="24"/>
        </w:rPr>
        <w:t xml:space="preserve">necesario </w:t>
      </w:r>
      <w:r w:rsidR="00C47C76">
        <w:rPr>
          <w:sz w:val="24"/>
          <w:szCs w:val="24"/>
        </w:rPr>
        <w:t>en el contexto académico.</w:t>
      </w:r>
    </w:p>
    <w:p w14:paraId="036A41A1" w14:textId="77777777" w:rsidR="009F431F" w:rsidRDefault="009F431F" w:rsidP="006E719B">
      <w:pPr>
        <w:ind w:left="0" w:hanging="2"/>
        <w:rPr>
          <w:sz w:val="24"/>
          <w:szCs w:val="24"/>
        </w:rPr>
      </w:pPr>
    </w:p>
    <w:p w14:paraId="3FEDD755" w14:textId="5CF8B62E" w:rsidR="00F32333" w:rsidRDefault="002264D8" w:rsidP="006E719B">
      <w:pPr>
        <w:ind w:left="0" w:hanging="2"/>
        <w:rPr>
          <w:sz w:val="24"/>
          <w:szCs w:val="24"/>
        </w:rPr>
      </w:pPr>
      <w:r w:rsidRPr="00DA39D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</w:t>
      </w:r>
      <w:r w:rsidR="00045231">
        <w:rPr>
          <w:b/>
          <w:sz w:val="24"/>
          <w:szCs w:val="24"/>
        </w:rPr>
        <w:t xml:space="preserve"> Cuestionario</w:t>
      </w:r>
      <w:r w:rsidR="00B66D23">
        <w:rPr>
          <w:b/>
          <w:sz w:val="24"/>
          <w:szCs w:val="24"/>
        </w:rPr>
        <w:t xml:space="preserve"> de opinión</w:t>
      </w:r>
      <w:r w:rsidRPr="00DA39DD">
        <w:rPr>
          <w:b/>
          <w:sz w:val="24"/>
          <w:szCs w:val="24"/>
        </w:rPr>
        <w:t>:</w:t>
      </w:r>
    </w:p>
    <w:p w14:paraId="0C55632D" w14:textId="017C6EC6" w:rsidR="00793C4B" w:rsidRDefault="00045231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El cuestionario</w:t>
      </w:r>
      <w:r w:rsidR="00857248">
        <w:rPr>
          <w:sz w:val="24"/>
          <w:szCs w:val="24"/>
        </w:rPr>
        <w:t xml:space="preserve"> de opinión</w:t>
      </w:r>
      <w:r>
        <w:rPr>
          <w:sz w:val="24"/>
          <w:szCs w:val="24"/>
        </w:rPr>
        <w:t xml:space="preserve"> se confeccionó en un Q</w:t>
      </w:r>
      <w:r w:rsidR="00C47C76">
        <w:rPr>
          <w:sz w:val="24"/>
          <w:szCs w:val="24"/>
        </w:rPr>
        <w:t xml:space="preserve">uestionPro, </w:t>
      </w:r>
      <w:r w:rsidR="00857248">
        <w:rPr>
          <w:sz w:val="24"/>
          <w:szCs w:val="24"/>
        </w:rPr>
        <w:t xml:space="preserve">se </w:t>
      </w:r>
      <w:r w:rsidR="004C2CC8">
        <w:rPr>
          <w:sz w:val="24"/>
          <w:szCs w:val="24"/>
        </w:rPr>
        <w:t>especificaron</w:t>
      </w:r>
      <w:r w:rsidR="00EF08CD">
        <w:rPr>
          <w:sz w:val="24"/>
          <w:szCs w:val="24"/>
        </w:rPr>
        <w:t xml:space="preserve"> una serie de categorías de evaluación</w:t>
      </w:r>
      <w:r w:rsidR="00687B1E">
        <w:rPr>
          <w:sz w:val="24"/>
          <w:szCs w:val="24"/>
        </w:rPr>
        <w:t xml:space="preserve"> y </w:t>
      </w:r>
      <w:r w:rsidR="00EF08CD">
        <w:rPr>
          <w:sz w:val="24"/>
          <w:szCs w:val="24"/>
        </w:rPr>
        <w:t>las afirm</w:t>
      </w:r>
      <w:r w:rsidR="004C2CC8">
        <w:rPr>
          <w:sz w:val="24"/>
          <w:szCs w:val="24"/>
        </w:rPr>
        <w:t>aciones posibles de</w:t>
      </w:r>
      <w:r w:rsidR="001E7DA8">
        <w:rPr>
          <w:sz w:val="24"/>
          <w:szCs w:val="24"/>
        </w:rPr>
        <w:t xml:space="preserve"> elegir</w:t>
      </w:r>
      <w:r w:rsidR="00C47C76">
        <w:rPr>
          <w:sz w:val="24"/>
          <w:szCs w:val="24"/>
        </w:rPr>
        <w:t>.</w:t>
      </w:r>
      <w:r w:rsidR="001E7DA8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a </w:t>
      </w:r>
      <w:r w:rsidR="00EF08CD">
        <w:rPr>
          <w:sz w:val="24"/>
          <w:szCs w:val="24"/>
        </w:rPr>
        <w:t>Tabla 3</w:t>
      </w:r>
      <w:r w:rsidR="00793C4B">
        <w:rPr>
          <w:sz w:val="24"/>
          <w:szCs w:val="24"/>
        </w:rPr>
        <w:t xml:space="preserve"> </w:t>
      </w:r>
      <w:r w:rsidR="004B2B28" w:rsidRPr="004B2B28">
        <w:rPr>
          <w:sz w:val="24"/>
          <w:szCs w:val="24"/>
        </w:rPr>
        <w:t>incluye información asociada a la participación de lo</w:t>
      </w:r>
      <w:r w:rsidR="004B2B28">
        <w:rPr>
          <w:sz w:val="24"/>
          <w:szCs w:val="24"/>
        </w:rPr>
        <w:t>s estudiantes en los talleres</w:t>
      </w:r>
      <w:r w:rsidR="00F278BF">
        <w:rPr>
          <w:sz w:val="24"/>
          <w:szCs w:val="24"/>
        </w:rPr>
        <w:t>,</w:t>
      </w:r>
      <w:r w:rsidR="004B2B28">
        <w:rPr>
          <w:sz w:val="24"/>
          <w:szCs w:val="24"/>
        </w:rPr>
        <w:t xml:space="preserve"> </w:t>
      </w:r>
      <w:r w:rsidR="00F278BF">
        <w:rPr>
          <w:sz w:val="24"/>
          <w:szCs w:val="24"/>
        </w:rPr>
        <w:t xml:space="preserve">como </w:t>
      </w:r>
      <w:r w:rsidR="004B2B28">
        <w:rPr>
          <w:sz w:val="24"/>
          <w:szCs w:val="24"/>
        </w:rPr>
        <w:t>al responder la encuesta; la Tabla</w:t>
      </w:r>
      <w:r w:rsidR="00793C4B">
        <w:rPr>
          <w:sz w:val="24"/>
          <w:szCs w:val="24"/>
        </w:rPr>
        <w:t xml:space="preserve"> 4</w:t>
      </w:r>
      <w:r w:rsidR="004B2B28">
        <w:rPr>
          <w:sz w:val="24"/>
          <w:szCs w:val="24"/>
        </w:rPr>
        <w:t xml:space="preserve"> entrega datos sobre </w:t>
      </w:r>
      <w:r w:rsidR="00445713">
        <w:rPr>
          <w:sz w:val="24"/>
          <w:szCs w:val="24"/>
        </w:rPr>
        <w:t>l</w:t>
      </w:r>
      <w:r w:rsidR="00206460">
        <w:rPr>
          <w:sz w:val="24"/>
          <w:szCs w:val="24"/>
        </w:rPr>
        <w:t xml:space="preserve">a </w:t>
      </w:r>
      <w:r w:rsidR="00445713">
        <w:rPr>
          <w:sz w:val="24"/>
          <w:szCs w:val="24"/>
        </w:rPr>
        <w:t xml:space="preserve">opinión manifestada en </w:t>
      </w:r>
      <w:r w:rsidR="004B2B28">
        <w:rPr>
          <w:sz w:val="24"/>
          <w:szCs w:val="24"/>
        </w:rPr>
        <w:t>las categorías de evaluación</w:t>
      </w:r>
      <w:r w:rsidR="00445713">
        <w:rPr>
          <w:sz w:val="24"/>
          <w:szCs w:val="24"/>
        </w:rPr>
        <w:t>.</w:t>
      </w:r>
    </w:p>
    <w:p w14:paraId="7A5CA722" w14:textId="138C28C0" w:rsidR="00E00BE4" w:rsidRPr="00857817" w:rsidRDefault="00E00BE4" w:rsidP="00FF2A09">
      <w:pPr>
        <w:ind w:left="0" w:hanging="2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Tabla 3</w:t>
      </w:r>
    </w:p>
    <w:p w14:paraId="4F84C07B" w14:textId="4715C28E" w:rsidR="00E00BE4" w:rsidRDefault="00E00BE4" w:rsidP="00E00BE4">
      <w:pPr>
        <w:ind w:left="0" w:hanging="2"/>
        <w:rPr>
          <w:sz w:val="24"/>
          <w:szCs w:val="24"/>
        </w:rPr>
      </w:pPr>
      <w:r>
        <w:rPr>
          <w:sz w:val="16"/>
          <w:szCs w:val="16"/>
        </w:rPr>
        <w:t>P</w:t>
      </w:r>
      <w:r w:rsidR="00445713">
        <w:rPr>
          <w:sz w:val="16"/>
          <w:szCs w:val="16"/>
        </w:rPr>
        <w:t>articipantes Cuestionario de O</w:t>
      </w:r>
      <w:r w:rsidR="00045231">
        <w:rPr>
          <w:sz w:val="16"/>
          <w:szCs w:val="16"/>
        </w:rPr>
        <w:t>pinión</w:t>
      </w:r>
      <w:r w:rsidR="007101C4">
        <w:rPr>
          <w:sz w:val="16"/>
          <w:szCs w:val="16"/>
        </w:rPr>
        <w:t xml:space="preserve"> Talleres</w:t>
      </w:r>
    </w:p>
    <w:tbl>
      <w:tblPr>
        <w:tblStyle w:val="Tablanormal25"/>
        <w:tblW w:w="7797" w:type="dxa"/>
        <w:tblLook w:val="04A0" w:firstRow="1" w:lastRow="0" w:firstColumn="1" w:lastColumn="0" w:noHBand="0" w:noVBand="1"/>
      </w:tblPr>
      <w:tblGrid>
        <w:gridCol w:w="2410"/>
        <w:gridCol w:w="1521"/>
        <w:gridCol w:w="1172"/>
        <w:gridCol w:w="416"/>
        <w:gridCol w:w="1002"/>
        <w:gridCol w:w="567"/>
        <w:gridCol w:w="1523"/>
      </w:tblGrid>
      <w:tr w:rsidR="00986522" w:rsidRPr="007101C4" w14:paraId="4E83657B" w14:textId="77777777" w:rsidTr="00D3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62CD8827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FACULTADES </w:t>
            </w:r>
          </w:p>
          <w:p w14:paraId="01ED3476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UNIVERSIDAD</w:t>
            </w:r>
          </w:p>
        </w:tc>
        <w:tc>
          <w:tcPr>
            <w:tcW w:w="1256" w:type="dxa"/>
            <w:noWrap/>
            <w:hideMark/>
          </w:tcPr>
          <w:p w14:paraId="040242C0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CARRERAS</w:t>
            </w:r>
          </w:p>
          <w:p w14:paraId="65C775D9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PARTICIPANTES TALLERES </w:t>
            </w:r>
          </w:p>
        </w:tc>
        <w:tc>
          <w:tcPr>
            <w:tcW w:w="1286" w:type="dxa"/>
            <w:gridSpan w:val="2"/>
          </w:tcPr>
          <w:p w14:paraId="3000FC36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ESTUDIANTES PARTICIPANTES TALLERES</w:t>
            </w:r>
          </w:p>
        </w:tc>
        <w:tc>
          <w:tcPr>
            <w:tcW w:w="1569" w:type="dxa"/>
            <w:gridSpan w:val="2"/>
            <w:noWrap/>
            <w:hideMark/>
          </w:tcPr>
          <w:p w14:paraId="30D86DDF" w14:textId="0DAC574E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ESTUDIANTES  PARTICIPANTES </w:t>
            </w:r>
            <w:r w:rsidR="00831900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                 </w:t>
            </w:r>
            <w:r w:rsidR="004E141D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CUESTIONARIO</w:t>
            </w:r>
          </w:p>
        </w:tc>
        <w:tc>
          <w:tcPr>
            <w:tcW w:w="1276" w:type="dxa"/>
            <w:noWrap/>
            <w:hideMark/>
          </w:tcPr>
          <w:p w14:paraId="79FBDE13" w14:textId="58120884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PORCENTAJE PARTICIPACIÓN </w:t>
            </w:r>
            <w:r w:rsidR="004E141D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CUESTIONARIO</w:t>
            </w:r>
          </w:p>
        </w:tc>
      </w:tr>
      <w:tr w:rsidR="00986522" w:rsidRPr="007101C4" w14:paraId="15A4EFF8" w14:textId="77777777" w:rsidTr="00D3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1D8ECC9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Agrarias y Forestales</w:t>
            </w:r>
          </w:p>
        </w:tc>
        <w:tc>
          <w:tcPr>
            <w:tcW w:w="1256" w:type="dxa"/>
            <w:noWrap/>
            <w:hideMark/>
          </w:tcPr>
          <w:p w14:paraId="1A00B157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4</w:t>
            </w:r>
          </w:p>
        </w:tc>
        <w:tc>
          <w:tcPr>
            <w:tcW w:w="870" w:type="dxa"/>
          </w:tcPr>
          <w:p w14:paraId="27A013AD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101</w:t>
            </w:r>
          </w:p>
        </w:tc>
        <w:tc>
          <w:tcPr>
            <w:tcW w:w="1418" w:type="dxa"/>
            <w:gridSpan w:val="2"/>
            <w:noWrap/>
            <w:hideMark/>
          </w:tcPr>
          <w:p w14:paraId="431F88BF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53</w:t>
            </w:r>
          </w:p>
        </w:tc>
        <w:tc>
          <w:tcPr>
            <w:tcW w:w="1843" w:type="dxa"/>
            <w:gridSpan w:val="2"/>
            <w:noWrap/>
          </w:tcPr>
          <w:p w14:paraId="2BCDEA5E" w14:textId="3C96E9F3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3,18%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        </w:t>
            </w:r>
          </w:p>
        </w:tc>
      </w:tr>
      <w:tr w:rsidR="00986522" w:rsidRPr="007101C4" w14:paraId="1BAC003B" w14:textId="77777777" w:rsidTr="00D338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7396AC12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Básicas</w:t>
            </w:r>
          </w:p>
        </w:tc>
        <w:tc>
          <w:tcPr>
            <w:tcW w:w="1256" w:type="dxa"/>
            <w:noWrap/>
          </w:tcPr>
          <w:p w14:paraId="76542A78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870" w:type="dxa"/>
          </w:tcPr>
          <w:p w14:paraId="15EE2838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107</w:t>
            </w:r>
          </w:p>
        </w:tc>
        <w:tc>
          <w:tcPr>
            <w:tcW w:w="1418" w:type="dxa"/>
            <w:gridSpan w:val="2"/>
            <w:noWrap/>
          </w:tcPr>
          <w:p w14:paraId="6C89B219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75</w:t>
            </w:r>
          </w:p>
        </w:tc>
        <w:tc>
          <w:tcPr>
            <w:tcW w:w="1843" w:type="dxa"/>
            <w:gridSpan w:val="2"/>
            <w:noWrap/>
          </w:tcPr>
          <w:p w14:paraId="79826D67" w14:textId="6CEED409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4,50%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448E4161" w14:textId="77777777" w:rsidTr="00D3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30919BFF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de la Educación</w:t>
            </w:r>
          </w:p>
        </w:tc>
        <w:tc>
          <w:tcPr>
            <w:tcW w:w="1256" w:type="dxa"/>
            <w:noWrap/>
          </w:tcPr>
          <w:p w14:paraId="5D1A40D4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70" w:type="dxa"/>
          </w:tcPr>
          <w:p w14:paraId="5335F1E3" w14:textId="2EAFB6E6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252</w:t>
            </w:r>
          </w:p>
        </w:tc>
        <w:tc>
          <w:tcPr>
            <w:tcW w:w="1418" w:type="dxa"/>
            <w:gridSpan w:val="2"/>
            <w:noWrap/>
          </w:tcPr>
          <w:p w14:paraId="578D6861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165</w:t>
            </w:r>
          </w:p>
        </w:tc>
        <w:tc>
          <w:tcPr>
            <w:tcW w:w="1843" w:type="dxa"/>
            <w:gridSpan w:val="2"/>
            <w:noWrap/>
          </w:tcPr>
          <w:p w14:paraId="66EA460D" w14:textId="67720281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9,90%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5A81CE1B" w14:textId="77777777" w:rsidTr="00D338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206F0C38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de la Ingeniería</w:t>
            </w:r>
          </w:p>
        </w:tc>
        <w:tc>
          <w:tcPr>
            <w:tcW w:w="1256" w:type="dxa"/>
            <w:noWrap/>
          </w:tcPr>
          <w:p w14:paraId="5F347BFC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870" w:type="dxa"/>
          </w:tcPr>
          <w:p w14:paraId="7B8562DC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403</w:t>
            </w:r>
          </w:p>
        </w:tc>
        <w:tc>
          <w:tcPr>
            <w:tcW w:w="1418" w:type="dxa"/>
            <w:gridSpan w:val="2"/>
            <w:noWrap/>
          </w:tcPr>
          <w:p w14:paraId="472E9CD7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126</w:t>
            </w:r>
          </w:p>
        </w:tc>
        <w:tc>
          <w:tcPr>
            <w:tcW w:w="1843" w:type="dxa"/>
            <w:gridSpan w:val="2"/>
            <w:noWrap/>
          </w:tcPr>
          <w:p w14:paraId="6243B4F4" w14:textId="0CE3DD36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7,56%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5CC3617C" w14:textId="77777777" w:rsidTr="00D3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40CCB701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de la Salud</w:t>
            </w:r>
          </w:p>
        </w:tc>
        <w:tc>
          <w:tcPr>
            <w:tcW w:w="1256" w:type="dxa"/>
            <w:noWrap/>
          </w:tcPr>
          <w:p w14:paraId="08956900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70" w:type="dxa"/>
          </w:tcPr>
          <w:p w14:paraId="66E9CAFD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447</w:t>
            </w:r>
          </w:p>
        </w:tc>
        <w:tc>
          <w:tcPr>
            <w:tcW w:w="1418" w:type="dxa"/>
            <w:gridSpan w:val="2"/>
            <w:noWrap/>
          </w:tcPr>
          <w:p w14:paraId="321D2946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283</w:t>
            </w:r>
          </w:p>
        </w:tc>
        <w:tc>
          <w:tcPr>
            <w:tcW w:w="1843" w:type="dxa"/>
            <w:gridSpan w:val="2"/>
            <w:noWrap/>
          </w:tcPr>
          <w:p w14:paraId="23C52258" w14:textId="6FA9A022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16,99%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6307B2BF" w14:textId="77777777" w:rsidTr="00D338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4E7FB1E1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Religiosas y Filosóficas</w:t>
            </w:r>
          </w:p>
        </w:tc>
        <w:tc>
          <w:tcPr>
            <w:tcW w:w="1256" w:type="dxa"/>
            <w:noWrap/>
          </w:tcPr>
          <w:p w14:paraId="13D7EACB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70" w:type="dxa"/>
          </w:tcPr>
          <w:p w14:paraId="5D57305B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418" w:type="dxa"/>
            <w:gridSpan w:val="2"/>
            <w:noWrap/>
          </w:tcPr>
          <w:p w14:paraId="74E6FF41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14:paraId="5CDB458A" w14:textId="5A03ADF1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0,24%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4D1A7DB2" w14:textId="77777777" w:rsidTr="00D3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39612DA4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Ciencias Sociales y Económicas</w:t>
            </w:r>
          </w:p>
        </w:tc>
        <w:tc>
          <w:tcPr>
            <w:tcW w:w="1256" w:type="dxa"/>
            <w:noWrap/>
          </w:tcPr>
          <w:p w14:paraId="6020C7C4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70" w:type="dxa"/>
          </w:tcPr>
          <w:p w14:paraId="649C8637" w14:textId="13DC32A3" w:rsidR="00986522" w:rsidRPr="007101C4" w:rsidRDefault="00E654D0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239</w:t>
            </w:r>
          </w:p>
        </w:tc>
        <w:tc>
          <w:tcPr>
            <w:tcW w:w="1418" w:type="dxa"/>
            <w:gridSpan w:val="2"/>
            <w:noWrap/>
          </w:tcPr>
          <w:p w14:paraId="63D5C7EA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123</w:t>
            </w:r>
          </w:p>
        </w:tc>
        <w:tc>
          <w:tcPr>
            <w:tcW w:w="1843" w:type="dxa"/>
            <w:gridSpan w:val="2"/>
            <w:noWrap/>
          </w:tcPr>
          <w:p w14:paraId="1B635758" w14:textId="22791A17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7,38%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74935FB4" w14:textId="77777777" w:rsidTr="00D3385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0C54EE62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Medicina</w:t>
            </w:r>
          </w:p>
        </w:tc>
        <w:tc>
          <w:tcPr>
            <w:tcW w:w="1256" w:type="dxa"/>
            <w:noWrap/>
          </w:tcPr>
          <w:p w14:paraId="3149DB7A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70" w:type="dxa"/>
          </w:tcPr>
          <w:p w14:paraId="7975A1CC" w14:textId="5E27D376" w:rsidR="00986522" w:rsidRPr="007101C4" w:rsidRDefault="00BA080B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113</w:t>
            </w:r>
          </w:p>
        </w:tc>
        <w:tc>
          <w:tcPr>
            <w:tcW w:w="1418" w:type="dxa"/>
            <w:gridSpan w:val="2"/>
            <w:noWrap/>
          </w:tcPr>
          <w:p w14:paraId="30CCFE14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75</w:t>
            </w:r>
          </w:p>
        </w:tc>
        <w:tc>
          <w:tcPr>
            <w:tcW w:w="1843" w:type="dxa"/>
            <w:gridSpan w:val="2"/>
            <w:noWrap/>
          </w:tcPr>
          <w:p w14:paraId="433C1F8E" w14:textId="73B21363" w:rsidR="00986522" w:rsidRPr="007101C4" w:rsidRDefault="0069080C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>4,50%</w:t>
            </w:r>
            <w:r w:rsidR="00D33857"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eastAsia="es-CL"/>
              </w:rPr>
              <w:t xml:space="preserve">         </w:t>
            </w:r>
          </w:p>
        </w:tc>
      </w:tr>
      <w:tr w:rsidR="00986522" w:rsidRPr="007101C4" w14:paraId="14F6F488" w14:textId="77777777" w:rsidTr="00D33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4CB636B" w14:textId="75D23169" w:rsidR="00986522" w:rsidRPr="007101C4" w:rsidRDefault="00986522" w:rsidP="007101C4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T</w:t>
            </w:r>
            <w:r w:rsidR="007101C4">
              <w:rPr>
                <w:rFonts w:ascii="Times New Roman" w:hAnsi="Times New Roman"/>
                <w:color w:val="000000"/>
                <w:position w:val="0"/>
                <w:sz w:val="16"/>
                <w:szCs w:val="16"/>
                <w:lang w:val="es-CL" w:eastAsia="es-CL"/>
              </w:rPr>
              <w:t>OTALES</w:t>
            </w:r>
          </w:p>
        </w:tc>
        <w:tc>
          <w:tcPr>
            <w:tcW w:w="1256" w:type="dxa"/>
            <w:noWrap/>
          </w:tcPr>
          <w:p w14:paraId="19B1D06C" w14:textId="77777777" w:rsidR="00986522" w:rsidRPr="007101C4" w:rsidRDefault="00986522" w:rsidP="00986522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b/>
                <w:position w:val="0"/>
                <w:sz w:val="16"/>
                <w:szCs w:val="16"/>
                <w:lang w:val="es-CL" w:eastAsia="es-CL"/>
              </w:rPr>
              <w:t>40</w:t>
            </w:r>
          </w:p>
        </w:tc>
        <w:tc>
          <w:tcPr>
            <w:tcW w:w="870" w:type="dxa"/>
          </w:tcPr>
          <w:p w14:paraId="55957CD3" w14:textId="7C2308A3" w:rsidR="00986522" w:rsidRPr="007101C4" w:rsidRDefault="00BA080B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eastAsia="es-CL"/>
              </w:rPr>
            </w:pPr>
            <w:r w:rsidRPr="007101C4"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eastAsia="es-CL"/>
              </w:rPr>
              <w:t>1666</w:t>
            </w:r>
          </w:p>
        </w:tc>
        <w:tc>
          <w:tcPr>
            <w:tcW w:w="1418" w:type="dxa"/>
            <w:gridSpan w:val="2"/>
            <w:noWrap/>
            <w:hideMark/>
          </w:tcPr>
          <w:p w14:paraId="62E29054" w14:textId="77777777" w:rsidR="00986522" w:rsidRPr="007101C4" w:rsidRDefault="00986522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  <w:tc>
          <w:tcPr>
            <w:tcW w:w="1843" w:type="dxa"/>
            <w:gridSpan w:val="2"/>
            <w:noWrap/>
          </w:tcPr>
          <w:p w14:paraId="28C7D303" w14:textId="17258372" w:rsidR="00986522" w:rsidRPr="007101C4" w:rsidRDefault="00BA080B" w:rsidP="00D33857">
            <w:pPr>
              <w:suppressAutoHyphens w:val="0"/>
              <w:spacing w:line="240" w:lineRule="auto"/>
              <w:ind w:leftChars="0" w:left="0" w:firstLineChars="0" w:hanging="2"/>
              <w:jc w:val="right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101C4"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val="es-CL" w:eastAsia="es-CL"/>
              </w:rPr>
              <w:t>54,26</w:t>
            </w:r>
            <w:r w:rsidR="00D33857" w:rsidRPr="007101C4">
              <w:rPr>
                <w:rFonts w:ascii="Times New Roman" w:hAnsi="Times New Roman"/>
                <w:b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        </w:t>
            </w:r>
          </w:p>
        </w:tc>
      </w:tr>
    </w:tbl>
    <w:p w14:paraId="048659AA" w14:textId="070060CD" w:rsidR="00FF2A09" w:rsidRPr="007101C4" w:rsidRDefault="00FF2A09" w:rsidP="00FF2A09">
      <w:pPr>
        <w:ind w:left="0" w:hanging="2"/>
        <w:rPr>
          <w:sz w:val="16"/>
          <w:szCs w:val="16"/>
        </w:rPr>
      </w:pPr>
      <w:r w:rsidRPr="007101C4">
        <w:rPr>
          <w:sz w:val="16"/>
          <w:szCs w:val="16"/>
        </w:rPr>
        <w:t>CAP (2022)</w:t>
      </w:r>
    </w:p>
    <w:p w14:paraId="3078203A" w14:textId="2F82B8D4" w:rsidR="00445713" w:rsidRDefault="00445713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D33857">
        <w:rPr>
          <w:sz w:val="24"/>
          <w:szCs w:val="24"/>
        </w:rPr>
        <w:t xml:space="preserve">código QR del </w:t>
      </w:r>
      <w:r>
        <w:rPr>
          <w:sz w:val="24"/>
          <w:szCs w:val="24"/>
        </w:rPr>
        <w:t>cuestionario de opinión</w:t>
      </w:r>
      <w:r w:rsidRPr="00445713">
        <w:rPr>
          <w:sz w:val="24"/>
          <w:szCs w:val="24"/>
        </w:rPr>
        <w:t xml:space="preserve"> </w:t>
      </w:r>
      <w:r w:rsidR="00156A5E">
        <w:rPr>
          <w:sz w:val="24"/>
          <w:szCs w:val="24"/>
        </w:rPr>
        <w:t>se</w:t>
      </w:r>
      <w:r w:rsidR="008B7F00">
        <w:rPr>
          <w:sz w:val="24"/>
          <w:szCs w:val="24"/>
        </w:rPr>
        <w:t xml:space="preserve"> comparte</w:t>
      </w:r>
      <w:r w:rsidR="004E141D">
        <w:rPr>
          <w:sz w:val="24"/>
          <w:szCs w:val="24"/>
        </w:rPr>
        <w:t xml:space="preserve"> al término de cada taller y la opción de responder</w:t>
      </w:r>
      <w:r w:rsidR="00156A5E">
        <w:rPr>
          <w:sz w:val="24"/>
          <w:szCs w:val="24"/>
        </w:rPr>
        <w:t xml:space="preserve"> es </w:t>
      </w:r>
      <w:r w:rsidR="00D33857">
        <w:rPr>
          <w:sz w:val="24"/>
          <w:szCs w:val="24"/>
        </w:rPr>
        <w:t xml:space="preserve">totalmente </w:t>
      </w:r>
      <w:r w:rsidR="00156A5E">
        <w:rPr>
          <w:sz w:val="24"/>
          <w:szCs w:val="24"/>
        </w:rPr>
        <w:t xml:space="preserve">voluntaria, </w:t>
      </w:r>
      <w:r w:rsidR="00D33857">
        <w:rPr>
          <w:sz w:val="24"/>
          <w:szCs w:val="24"/>
        </w:rPr>
        <w:t xml:space="preserve">lo que </w:t>
      </w:r>
      <w:r w:rsidR="004E141D">
        <w:rPr>
          <w:sz w:val="24"/>
          <w:szCs w:val="24"/>
        </w:rPr>
        <w:t xml:space="preserve">puede explicar </w:t>
      </w:r>
      <w:r w:rsidR="00F278BF">
        <w:rPr>
          <w:sz w:val="24"/>
          <w:szCs w:val="24"/>
        </w:rPr>
        <w:t xml:space="preserve">que </w:t>
      </w:r>
      <w:r w:rsidR="004E141D">
        <w:rPr>
          <w:sz w:val="24"/>
          <w:szCs w:val="24"/>
        </w:rPr>
        <w:t xml:space="preserve">los porcentajes de </w:t>
      </w:r>
      <w:r w:rsidR="00176A12">
        <w:rPr>
          <w:sz w:val="24"/>
          <w:szCs w:val="24"/>
        </w:rPr>
        <w:t>respuesta n</w:t>
      </w:r>
      <w:r w:rsidR="00F278BF">
        <w:rPr>
          <w:sz w:val="24"/>
          <w:szCs w:val="24"/>
        </w:rPr>
        <w:t>o alcancen el 60%</w:t>
      </w:r>
      <w:r w:rsidR="00176A12">
        <w:rPr>
          <w:sz w:val="24"/>
          <w:szCs w:val="24"/>
        </w:rPr>
        <w:t xml:space="preserve"> del total de estudiantes que participaron </w:t>
      </w:r>
      <w:r w:rsidR="00B520A2">
        <w:rPr>
          <w:sz w:val="24"/>
          <w:szCs w:val="24"/>
        </w:rPr>
        <w:t>en</w:t>
      </w:r>
      <w:r w:rsidR="00176A12">
        <w:rPr>
          <w:sz w:val="24"/>
          <w:szCs w:val="24"/>
        </w:rPr>
        <w:t xml:space="preserve"> los talleres.</w:t>
      </w:r>
      <w:r w:rsidR="00D33857">
        <w:rPr>
          <w:sz w:val="24"/>
          <w:szCs w:val="24"/>
        </w:rPr>
        <w:t xml:space="preserve"> </w:t>
      </w:r>
    </w:p>
    <w:p w14:paraId="625B7202" w14:textId="1E1606BB" w:rsidR="00857817" w:rsidRPr="00857817" w:rsidRDefault="00E00BE4" w:rsidP="006E719B">
      <w:pPr>
        <w:ind w:left="0" w:hanging="2"/>
        <w:rPr>
          <w:b/>
          <w:sz w:val="16"/>
          <w:szCs w:val="16"/>
        </w:rPr>
      </w:pPr>
      <w:r>
        <w:rPr>
          <w:b/>
          <w:sz w:val="16"/>
          <w:szCs w:val="16"/>
        </w:rPr>
        <w:t>Tabla 4</w:t>
      </w:r>
    </w:p>
    <w:p w14:paraId="2F839556" w14:textId="65534A45" w:rsidR="00857817" w:rsidRPr="007101C4" w:rsidRDefault="00793C4B" w:rsidP="006E719B">
      <w:pPr>
        <w:ind w:left="0" w:hanging="2"/>
        <w:rPr>
          <w:i/>
          <w:sz w:val="24"/>
          <w:szCs w:val="24"/>
        </w:rPr>
      </w:pPr>
      <w:r w:rsidRPr="007101C4">
        <w:rPr>
          <w:i/>
          <w:sz w:val="16"/>
          <w:szCs w:val="16"/>
        </w:rPr>
        <w:t>Opinión</w:t>
      </w:r>
      <w:r w:rsidR="00857817" w:rsidRPr="007101C4">
        <w:rPr>
          <w:i/>
          <w:sz w:val="16"/>
          <w:szCs w:val="16"/>
        </w:rPr>
        <w:t xml:space="preserve"> Talleres Comunicación Efectiva</w:t>
      </w:r>
    </w:p>
    <w:tbl>
      <w:tblPr>
        <w:tblStyle w:val="Tablanormal24"/>
        <w:tblW w:w="9706" w:type="dxa"/>
        <w:tblLook w:val="04A0" w:firstRow="1" w:lastRow="0" w:firstColumn="1" w:lastColumn="0" w:noHBand="0" w:noVBand="1"/>
      </w:tblPr>
      <w:tblGrid>
        <w:gridCol w:w="4574"/>
        <w:gridCol w:w="1386"/>
        <w:gridCol w:w="138"/>
        <w:gridCol w:w="1386"/>
        <w:gridCol w:w="1025"/>
        <w:gridCol w:w="1248"/>
      </w:tblGrid>
      <w:tr w:rsidR="00F94BA3" w:rsidRPr="005F040C" w14:paraId="3E26C70E" w14:textId="77777777" w:rsidTr="00331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3C9215C2" w14:textId="27FAA770" w:rsidR="00F94BA3" w:rsidRDefault="00F94BA3" w:rsidP="00F94B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CATEGORÍA</w:t>
            </w: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S</w:t>
            </w:r>
          </w:p>
          <w:p w14:paraId="476698E3" w14:textId="55F63D57" w:rsidR="00F94BA3" w:rsidRDefault="00F94BA3" w:rsidP="00F94B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DE</w:t>
            </w:r>
          </w:p>
          <w:p w14:paraId="4DE04F09" w14:textId="4B59999A" w:rsidR="00F94BA3" w:rsidRPr="007640C5" w:rsidRDefault="00F94BA3" w:rsidP="00F94BA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EVALUACIÓN</w:t>
            </w:r>
          </w:p>
        </w:tc>
        <w:tc>
          <w:tcPr>
            <w:tcW w:w="1386" w:type="dxa"/>
            <w:noWrap/>
            <w:hideMark/>
          </w:tcPr>
          <w:p w14:paraId="3B760F42" w14:textId="7A5DD5C3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</w:t>
            </w: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DESACUERDO</w:t>
            </w: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/ MUY EN DESACUERDO </w:t>
            </w:r>
          </w:p>
        </w:tc>
        <w:tc>
          <w:tcPr>
            <w:tcW w:w="1524" w:type="dxa"/>
            <w:gridSpan w:val="2"/>
            <w:noWrap/>
            <w:hideMark/>
          </w:tcPr>
          <w:p w14:paraId="6CD72987" w14:textId="77777777" w:rsidR="00F94BA3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DE </w:t>
            </w:r>
          </w:p>
          <w:p w14:paraId="3B342AAC" w14:textId="2CE1C88A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ACUERDO</w:t>
            </w:r>
          </w:p>
        </w:tc>
        <w:tc>
          <w:tcPr>
            <w:tcW w:w="1002" w:type="dxa"/>
            <w:noWrap/>
            <w:hideMark/>
          </w:tcPr>
          <w:p w14:paraId="5B55DE33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MUY DE ACUERDO</w:t>
            </w:r>
          </w:p>
        </w:tc>
        <w:tc>
          <w:tcPr>
            <w:tcW w:w="1220" w:type="dxa"/>
            <w:noWrap/>
            <w:hideMark/>
          </w:tcPr>
          <w:p w14:paraId="083A42F1" w14:textId="3F649F04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TOTAL</w:t>
            </w:r>
            <w:r w:rsidR="0018335A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RESPUESTAS</w:t>
            </w:r>
          </w:p>
        </w:tc>
      </w:tr>
      <w:tr w:rsidR="00F94BA3" w:rsidRPr="005F040C" w14:paraId="0407310F" w14:textId="77777777" w:rsidTr="00331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70AF4411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Identificación de capacidades para la comunicación con otros</w:t>
            </w:r>
          </w:p>
        </w:tc>
        <w:tc>
          <w:tcPr>
            <w:tcW w:w="1524" w:type="dxa"/>
            <w:gridSpan w:val="2"/>
            <w:noWrap/>
            <w:hideMark/>
          </w:tcPr>
          <w:p w14:paraId="57850FFD" w14:textId="675FD520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26C349DC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273</w:t>
            </w:r>
          </w:p>
        </w:tc>
        <w:tc>
          <w:tcPr>
            <w:tcW w:w="1002" w:type="dxa"/>
            <w:noWrap/>
            <w:hideMark/>
          </w:tcPr>
          <w:p w14:paraId="2CF53472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575</w:t>
            </w:r>
          </w:p>
        </w:tc>
        <w:tc>
          <w:tcPr>
            <w:tcW w:w="1220" w:type="dxa"/>
            <w:noWrap/>
            <w:hideMark/>
          </w:tcPr>
          <w:p w14:paraId="55E9C3BE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5DD2A827" w14:textId="77777777" w:rsidTr="00331C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22F1C88B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Adecuación de comunicación según contexto</w:t>
            </w:r>
          </w:p>
        </w:tc>
        <w:tc>
          <w:tcPr>
            <w:tcW w:w="1524" w:type="dxa"/>
            <w:gridSpan w:val="2"/>
            <w:noWrap/>
            <w:hideMark/>
          </w:tcPr>
          <w:p w14:paraId="1CCAC862" w14:textId="1BA7C8E5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2A762A8C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224</w:t>
            </w:r>
          </w:p>
        </w:tc>
        <w:tc>
          <w:tcPr>
            <w:tcW w:w="1002" w:type="dxa"/>
            <w:noWrap/>
            <w:hideMark/>
          </w:tcPr>
          <w:p w14:paraId="124B19A0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624</w:t>
            </w:r>
          </w:p>
        </w:tc>
        <w:tc>
          <w:tcPr>
            <w:tcW w:w="1220" w:type="dxa"/>
            <w:noWrap/>
            <w:hideMark/>
          </w:tcPr>
          <w:p w14:paraId="6622BDA7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10F1875C" w14:textId="77777777" w:rsidTr="00331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7589BD00" w14:textId="16AFC784" w:rsidR="00F94BA3" w:rsidRPr="007640C5" w:rsidRDefault="00F94BA3" w:rsidP="00331C8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Entrega</w:t>
            </w:r>
            <w:r w:rsidR="00331C82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 herramientas </w:t>
            </w: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 xml:space="preserve">desarrollo de habilidades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co</w:t>
            </w: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municativas</w:t>
            </w:r>
          </w:p>
        </w:tc>
        <w:tc>
          <w:tcPr>
            <w:tcW w:w="1524" w:type="dxa"/>
            <w:gridSpan w:val="2"/>
            <w:noWrap/>
            <w:hideMark/>
          </w:tcPr>
          <w:p w14:paraId="59C99E38" w14:textId="42C24F82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56</w:t>
            </w:r>
          </w:p>
        </w:tc>
        <w:tc>
          <w:tcPr>
            <w:tcW w:w="1386" w:type="dxa"/>
            <w:noWrap/>
            <w:hideMark/>
          </w:tcPr>
          <w:p w14:paraId="26C7B57E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235</w:t>
            </w:r>
          </w:p>
        </w:tc>
        <w:tc>
          <w:tcPr>
            <w:tcW w:w="1002" w:type="dxa"/>
            <w:noWrap/>
            <w:hideMark/>
          </w:tcPr>
          <w:p w14:paraId="568A72DF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613</w:t>
            </w:r>
          </w:p>
        </w:tc>
        <w:tc>
          <w:tcPr>
            <w:tcW w:w="1220" w:type="dxa"/>
            <w:noWrap/>
            <w:hideMark/>
          </w:tcPr>
          <w:p w14:paraId="1865B586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27E4D94C" w14:textId="77777777" w:rsidTr="00331C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1CE2984F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Espacio de diálogo y discusión</w:t>
            </w:r>
          </w:p>
        </w:tc>
        <w:tc>
          <w:tcPr>
            <w:tcW w:w="1524" w:type="dxa"/>
            <w:gridSpan w:val="2"/>
            <w:noWrap/>
            <w:hideMark/>
          </w:tcPr>
          <w:p w14:paraId="7ADCA483" w14:textId="6D3DC3F4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55</w:t>
            </w:r>
          </w:p>
        </w:tc>
        <w:tc>
          <w:tcPr>
            <w:tcW w:w="1386" w:type="dxa"/>
            <w:noWrap/>
            <w:hideMark/>
          </w:tcPr>
          <w:p w14:paraId="7DA02F7F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209</w:t>
            </w:r>
          </w:p>
        </w:tc>
        <w:tc>
          <w:tcPr>
            <w:tcW w:w="1002" w:type="dxa"/>
            <w:noWrap/>
            <w:hideMark/>
          </w:tcPr>
          <w:p w14:paraId="054B095C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640</w:t>
            </w:r>
          </w:p>
        </w:tc>
        <w:tc>
          <w:tcPr>
            <w:tcW w:w="1220" w:type="dxa"/>
            <w:noWrap/>
            <w:hideMark/>
          </w:tcPr>
          <w:p w14:paraId="2AB2C964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635089DB" w14:textId="77777777" w:rsidTr="00331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1170F587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Desarrollo continuo y ordenado de las actividades</w:t>
            </w:r>
          </w:p>
        </w:tc>
        <w:tc>
          <w:tcPr>
            <w:tcW w:w="1524" w:type="dxa"/>
            <w:gridSpan w:val="2"/>
            <w:noWrap/>
            <w:hideMark/>
          </w:tcPr>
          <w:p w14:paraId="3EDC465F" w14:textId="173CC564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47</w:t>
            </w:r>
          </w:p>
        </w:tc>
        <w:tc>
          <w:tcPr>
            <w:tcW w:w="1386" w:type="dxa"/>
            <w:noWrap/>
            <w:hideMark/>
          </w:tcPr>
          <w:p w14:paraId="23848195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208</w:t>
            </w:r>
          </w:p>
        </w:tc>
        <w:tc>
          <w:tcPr>
            <w:tcW w:w="1002" w:type="dxa"/>
            <w:noWrap/>
            <w:hideMark/>
          </w:tcPr>
          <w:p w14:paraId="2D6BE727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649</w:t>
            </w:r>
          </w:p>
        </w:tc>
        <w:tc>
          <w:tcPr>
            <w:tcW w:w="1220" w:type="dxa"/>
            <w:noWrap/>
            <w:hideMark/>
          </w:tcPr>
          <w:p w14:paraId="1F8F9B96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7AAE4D0F" w14:textId="77777777" w:rsidTr="00331C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23C57186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Apoyos visuales utilizados</w:t>
            </w:r>
          </w:p>
        </w:tc>
        <w:tc>
          <w:tcPr>
            <w:tcW w:w="1524" w:type="dxa"/>
            <w:gridSpan w:val="2"/>
            <w:noWrap/>
            <w:hideMark/>
          </w:tcPr>
          <w:p w14:paraId="000F4F53" w14:textId="5335B0FB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54</w:t>
            </w:r>
          </w:p>
        </w:tc>
        <w:tc>
          <w:tcPr>
            <w:tcW w:w="1386" w:type="dxa"/>
            <w:noWrap/>
            <w:hideMark/>
          </w:tcPr>
          <w:p w14:paraId="6662D0A2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234</w:t>
            </w:r>
          </w:p>
        </w:tc>
        <w:tc>
          <w:tcPr>
            <w:tcW w:w="1002" w:type="dxa"/>
            <w:noWrap/>
            <w:hideMark/>
          </w:tcPr>
          <w:p w14:paraId="77EABA81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616</w:t>
            </w:r>
          </w:p>
        </w:tc>
        <w:tc>
          <w:tcPr>
            <w:tcW w:w="1220" w:type="dxa"/>
            <w:noWrap/>
            <w:hideMark/>
          </w:tcPr>
          <w:p w14:paraId="0301E4AC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2B97E0C5" w14:textId="77777777" w:rsidTr="00331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0BCF2999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Fomento de la participación</w:t>
            </w:r>
          </w:p>
        </w:tc>
        <w:tc>
          <w:tcPr>
            <w:tcW w:w="1524" w:type="dxa"/>
            <w:gridSpan w:val="2"/>
            <w:noWrap/>
            <w:hideMark/>
          </w:tcPr>
          <w:p w14:paraId="0E208725" w14:textId="48EE2249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57</w:t>
            </w:r>
          </w:p>
        </w:tc>
        <w:tc>
          <w:tcPr>
            <w:tcW w:w="1386" w:type="dxa"/>
            <w:noWrap/>
            <w:hideMark/>
          </w:tcPr>
          <w:p w14:paraId="10ED3C6F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235</w:t>
            </w:r>
          </w:p>
        </w:tc>
        <w:tc>
          <w:tcPr>
            <w:tcW w:w="1002" w:type="dxa"/>
            <w:noWrap/>
            <w:hideMark/>
          </w:tcPr>
          <w:p w14:paraId="78342552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612</w:t>
            </w:r>
          </w:p>
        </w:tc>
        <w:tc>
          <w:tcPr>
            <w:tcW w:w="1220" w:type="dxa"/>
            <w:noWrap/>
            <w:hideMark/>
          </w:tcPr>
          <w:p w14:paraId="0388A112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2D3E9C69" w14:textId="77777777" w:rsidTr="00331C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7C96A600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Resolución de consultas e inquietudes</w:t>
            </w:r>
          </w:p>
        </w:tc>
        <w:tc>
          <w:tcPr>
            <w:tcW w:w="1524" w:type="dxa"/>
            <w:gridSpan w:val="2"/>
            <w:noWrap/>
            <w:hideMark/>
          </w:tcPr>
          <w:p w14:paraId="42DA64AC" w14:textId="61A4DB3B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50</w:t>
            </w:r>
          </w:p>
        </w:tc>
        <w:tc>
          <w:tcPr>
            <w:tcW w:w="1386" w:type="dxa"/>
            <w:noWrap/>
            <w:hideMark/>
          </w:tcPr>
          <w:p w14:paraId="4F54E3C3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202</w:t>
            </w:r>
          </w:p>
        </w:tc>
        <w:tc>
          <w:tcPr>
            <w:tcW w:w="1002" w:type="dxa"/>
            <w:noWrap/>
            <w:hideMark/>
          </w:tcPr>
          <w:p w14:paraId="06B2A269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652</w:t>
            </w:r>
          </w:p>
        </w:tc>
        <w:tc>
          <w:tcPr>
            <w:tcW w:w="1220" w:type="dxa"/>
            <w:noWrap/>
            <w:hideMark/>
          </w:tcPr>
          <w:p w14:paraId="0E0D3F35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195A739A" w14:textId="77777777" w:rsidTr="00331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56033EE9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Espacio dinámico</w:t>
            </w:r>
          </w:p>
        </w:tc>
        <w:tc>
          <w:tcPr>
            <w:tcW w:w="1524" w:type="dxa"/>
            <w:gridSpan w:val="2"/>
            <w:noWrap/>
            <w:hideMark/>
          </w:tcPr>
          <w:p w14:paraId="43D77237" w14:textId="00FC44F3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50</w:t>
            </w:r>
          </w:p>
        </w:tc>
        <w:tc>
          <w:tcPr>
            <w:tcW w:w="1386" w:type="dxa"/>
            <w:noWrap/>
            <w:hideMark/>
          </w:tcPr>
          <w:p w14:paraId="3B458D36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196</w:t>
            </w:r>
          </w:p>
        </w:tc>
        <w:tc>
          <w:tcPr>
            <w:tcW w:w="1002" w:type="dxa"/>
            <w:noWrap/>
            <w:hideMark/>
          </w:tcPr>
          <w:p w14:paraId="7647134D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658</w:t>
            </w:r>
          </w:p>
        </w:tc>
        <w:tc>
          <w:tcPr>
            <w:tcW w:w="1220" w:type="dxa"/>
            <w:noWrap/>
            <w:hideMark/>
          </w:tcPr>
          <w:p w14:paraId="1FBC6424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  <w:tr w:rsidR="00F94BA3" w:rsidRPr="005F040C" w14:paraId="6A9C65D3" w14:textId="77777777" w:rsidTr="00331C8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noWrap/>
            <w:hideMark/>
          </w:tcPr>
          <w:p w14:paraId="3E11891A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b w:val="0"/>
                <w:color w:val="000000"/>
                <w:position w:val="0"/>
                <w:sz w:val="16"/>
                <w:szCs w:val="16"/>
                <w:lang w:val="es-CL" w:eastAsia="es-CL"/>
              </w:rPr>
              <w:t>Respeto de los tiempos establecidos</w:t>
            </w:r>
          </w:p>
        </w:tc>
        <w:tc>
          <w:tcPr>
            <w:tcW w:w="1524" w:type="dxa"/>
            <w:gridSpan w:val="2"/>
            <w:noWrap/>
            <w:hideMark/>
          </w:tcPr>
          <w:p w14:paraId="50CFBD6F" w14:textId="24691F3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52</w:t>
            </w:r>
          </w:p>
        </w:tc>
        <w:tc>
          <w:tcPr>
            <w:tcW w:w="1386" w:type="dxa"/>
            <w:noWrap/>
            <w:hideMark/>
          </w:tcPr>
          <w:p w14:paraId="4CA32550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189</w:t>
            </w:r>
          </w:p>
        </w:tc>
        <w:tc>
          <w:tcPr>
            <w:tcW w:w="1002" w:type="dxa"/>
            <w:noWrap/>
            <w:hideMark/>
          </w:tcPr>
          <w:p w14:paraId="29DB4DAC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663</w:t>
            </w:r>
          </w:p>
        </w:tc>
        <w:tc>
          <w:tcPr>
            <w:tcW w:w="1220" w:type="dxa"/>
            <w:noWrap/>
            <w:hideMark/>
          </w:tcPr>
          <w:p w14:paraId="5D3F90A1" w14:textId="77777777" w:rsidR="00F94BA3" w:rsidRPr="007640C5" w:rsidRDefault="00F94BA3" w:rsidP="00C031B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</w:pPr>
            <w:r w:rsidRPr="007640C5">
              <w:rPr>
                <w:rFonts w:ascii="Times New Roman" w:eastAsia="Times New Roman" w:hAnsi="Times New Roman" w:cs="Times New Roman"/>
                <w:color w:val="000000"/>
                <w:position w:val="0"/>
                <w:sz w:val="16"/>
                <w:szCs w:val="16"/>
                <w:lang w:val="es-CL" w:eastAsia="es-CL"/>
              </w:rPr>
              <w:t>904</w:t>
            </w:r>
          </w:p>
        </w:tc>
      </w:tr>
    </w:tbl>
    <w:p w14:paraId="783B88FE" w14:textId="77777777" w:rsidR="005F040C" w:rsidRDefault="005F040C" w:rsidP="005F040C">
      <w:pPr>
        <w:ind w:left="0" w:hanging="2"/>
        <w:rPr>
          <w:sz w:val="16"/>
          <w:szCs w:val="16"/>
        </w:rPr>
      </w:pPr>
      <w:r w:rsidRPr="00F20354">
        <w:rPr>
          <w:sz w:val="16"/>
          <w:szCs w:val="16"/>
        </w:rPr>
        <w:t>CAP (2022)</w:t>
      </w:r>
    </w:p>
    <w:p w14:paraId="5DCEF097" w14:textId="0EE714EE" w:rsidR="002C0596" w:rsidRDefault="00AF7275" w:rsidP="0076579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Analizando los datos compartidos</w:t>
      </w:r>
      <w:r w:rsidR="004050E5">
        <w:rPr>
          <w:sz w:val="24"/>
          <w:szCs w:val="24"/>
        </w:rPr>
        <w:t xml:space="preserve">, </w:t>
      </w:r>
      <w:r w:rsidR="00176A12">
        <w:rPr>
          <w:sz w:val="24"/>
          <w:szCs w:val="24"/>
        </w:rPr>
        <w:t xml:space="preserve">los talleres son evaluados favorablemente, destacándose que </w:t>
      </w:r>
      <w:r w:rsidR="00D7432E">
        <w:rPr>
          <w:sz w:val="24"/>
          <w:szCs w:val="24"/>
        </w:rPr>
        <w:t>las afirmaciones “D</w:t>
      </w:r>
      <w:r w:rsidR="00D7432E" w:rsidRPr="00D7432E">
        <w:rPr>
          <w:sz w:val="24"/>
          <w:szCs w:val="24"/>
        </w:rPr>
        <w:t>e acuerdo</w:t>
      </w:r>
      <w:r w:rsidR="00D7432E">
        <w:rPr>
          <w:sz w:val="24"/>
          <w:szCs w:val="24"/>
        </w:rPr>
        <w:t xml:space="preserve"> y M</w:t>
      </w:r>
      <w:r w:rsidR="00D7432E" w:rsidRPr="00D7432E">
        <w:rPr>
          <w:sz w:val="24"/>
          <w:szCs w:val="24"/>
        </w:rPr>
        <w:t>uy de acuerdo</w:t>
      </w:r>
      <w:r w:rsidR="003A15CC">
        <w:rPr>
          <w:sz w:val="24"/>
          <w:szCs w:val="24"/>
        </w:rPr>
        <w:t>”</w:t>
      </w:r>
      <w:r w:rsidR="00071F7F">
        <w:rPr>
          <w:sz w:val="24"/>
          <w:szCs w:val="24"/>
        </w:rPr>
        <w:t xml:space="preserve"> en las distintas categorías</w:t>
      </w:r>
      <w:r w:rsidR="00176A12">
        <w:rPr>
          <w:sz w:val="24"/>
          <w:szCs w:val="24"/>
        </w:rPr>
        <w:t>,</w:t>
      </w:r>
      <w:r w:rsidR="00071F7F">
        <w:rPr>
          <w:sz w:val="24"/>
          <w:szCs w:val="24"/>
        </w:rPr>
        <w:t xml:space="preserve"> s</w:t>
      </w:r>
      <w:r w:rsidR="00D7432E">
        <w:rPr>
          <w:sz w:val="24"/>
          <w:szCs w:val="24"/>
        </w:rPr>
        <w:t xml:space="preserve">on instancias valoradas por </w:t>
      </w:r>
      <w:r w:rsidR="00D7432E" w:rsidRPr="00D7432E">
        <w:rPr>
          <w:sz w:val="24"/>
          <w:szCs w:val="24"/>
        </w:rPr>
        <w:t>los/as estudiantes</w:t>
      </w:r>
      <w:r w:rsidR="00176A12">
        <w:rPr>
          <w:sz w:val="24"/>
          <w:szCs w:val="24"/>
        </w:rPr>
        <w:t xml:space="preserve">, apreciando aspectos como </w:t>
      </w:r>
      <w:r w:rsidR="00071F7F">
        <w:rPr>
          <w:sz w:val="24"/>
          <w:szCs w:val="24"/>
        </w:rPr>
        <w:t>l</w:t>
      </w:r>
      <w:r w:rsidR="00D7432E">
        <w:rPr>
          <w:sz w:val="24"/>
          <w:szCs w:val="24"/>
        </w:rPr>
        <w:t>a entrega de herramienta</w:t>
      </w:r>
      <w:r w:rsidR="004050E5">
        <w:rPr>
          <w:sz w:val="24"/>
          <w:szCs w:val="24"/>
        </w:rPr>
        <w:t>s</w:t>
      </w:r>
      <w:r w:rsidR="00904DB9">
        <w:rPr>
          <w:sz w:val="24"/>
          <w:szCs w:val="24"/>
        </w:rPr>
        <w:t xml:space="preserve"> para comunicarse, </w:t>
      </w:r>
      <w:r w:rsidR="00071F7F">
        <w:rPr>
          <w:sz w:val="24"/>
          <w:szCs w:val="24"/>
        </w:rPr>
        <w:t>generar u</w:t>
      </w:r>
      <w:r w:rsidR="00D7432E">
        <w:rPr>
          <w:sz w:val="24"/>
          <w:szCs w:val="24"/>
        </w:rPr>
        <w:t>n espacio de diálogo y discusión</w:t>
      </w:r>
      <w:r w:rsidR="00071F7F">
        <w:rPr>
          <w:sz w:val="24"/>
          <w:szCs w:val="24"/>
        </w:rPr>
        <w:t xml:space="preserve">, </w:t>
      </w:r>
      <w:r w:rsidR="00904DB9">
        <w:rPr>
          <w:sz w:val="24"/>
          <w:szCs w:val="24"/>
        </w:rPr>
        <w:t>como también, el respeto por</w:t>
      </w:r>
      <w:r w:rsidR="00470D44">
        <w:rPr>
          <w:sz w:val="24"/>
          <w:szCs w:val="24"/>
        </w:rPr>
        <w:t xml:space="preserve"> los tiempos establecid</w:t>
      </w:r>
      <w:r w:rsidR="00071F7F">
        <w:rPr>
          <w:sz w:val="24"/>
          <w:szCs w:val="24"/>
        </w:rPr>
        <w:t>os.</w:t>
      </w:r>
    </w:p>
    <w:p w14:paraId="048C55FC" w14:textId="247490C1" w:rsidR="00857817" w:rsidRDefault="0050464E" w:rsidP="006E719B">
      <w:pPr>
        <w:ind w:left="0" w:hanging="2"/>
        <w:rPr>
          <w:sz w:val="24"/>
          <w:szCs w:val="24"/>
        </w:rPr>
      </w:pPr>
      <w:r w:rsidRPr="00DA39DD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3 </w:t>
      </w:r>
      <w:r w:rsidR="003E5449">
        <w:rPr>
          <w:b/>
          <w:sz w:val="24"/>
          <w:szCs w:val="24"/>
        </w:rPr>
        <w:t>Talleres y</w:t>
      </w:r>
      <w:r w:rsidR="009F431F">
        <w:rPr>
          <w:b/>
          <w:sz w:val="24"/>
          <w:szCs w:val="24"/>
        </w:rPr>
        <w:t xml:space="preserve"> permanencia</w:t>
      </w:r>
      <w:r w:rsidR="00623E74">
        <w:rPr>
          <w:b/>
          <w:sz w:val="24"/>
          <w:szCs w:val="24"/>
        </w:rPr>
        <w:t xml:space="preserve"> </w:t>
      </w:r>
    </w:p>
    <w:p w14:paraId="109C4B22" w14:textId="3917B68B" w:rsidR="008874DE" w:rsidRDefault="006C5DAD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Una vez que se ingresa a la universidad, el desafío recién comienza</w:t>
      </w:r>
      <w:r w:rsidR="002402B1">
        <w:rPr>
          <w:sz w:val="24"/>
          <w:szCs w:val="24"/>
        </w:rPr>
        <w:t xml:space="preserve">, </w:t>
      </w:r>
      <w:r w:rsidR="00904DB9">
        <w:rPr>
          <w:sz w:val="24"/>
          <w:szCs w:val="24"/>
        </w:rPr>
        <w:t xml:space="preserve">y ante </w:t>
      </w:r>
      <w:r w:rsidR="002402B1">
        <w:rPr>
          <w:sz w:val="24"/>
          <w:szCs w:val="24"/>
        </w:rPr>
        <w:t>el sentido de permanecer son los apo</w:t>
      </w:r>
      <w:r w:rsidR="00904DB9">
        <w:rPr>
          <w:sz w:val="24"/>
          <w:szCs w:val="24"/>
        </w:rPr>
        <w:t>yos, talleres, e instancias de inducción y acogida, l</w:t>
      </w:r>
      <w:r w:rsidR="00904DB9" w:rsidRPr="00904DB9">
        <w:rPr>
          <w:sz w:val="24"/>
          <w:szCs w:val="24"/>
        </w:rPr>
        <w:t>o</w:t>
      </w:r>
      <w:r w:rsidR="00CF39E4">
        <w:rPr>
          <w:sz w:val="24"/>
          <w:szCs w:val="24"/>
        </w:rPr>
        <w:t>s</w:t>
      </w:r>
      <w:r w:rsidR="00904DB9" w:rsidRPr="00904DB9">
        <w:rPr>
          <w:sz w:val="24"/>
          <w:szCs w:val="24"/>
        </w:rPr>
        <w:t xml:space="preserve"> que cobra</w:t>
      </w:r>
      <w:r w:rsidR="00CF39E4">
        <w:rPr>
          <w:sz w:val="24"/>
          <w:szCs w:val="24"/>
        </w:rPr>
        <w:t>n</w:t>
      </w:r>
      <w:r w:rsidR="00904DB9" w:rsidRPr="00904DB9">
        <w:rPr>
          <w:sz w:val="24"/>
          <w:szCs w:val="24"/>
        </w:rPr>
        <w:t xml:space="preserve"> mayor relevancia</w:t>
      </w:r>
      <w:r w:rsidR="00C831B4">
        <w:rPr>
          <w:sz w:val="24"/>
          <w:szCs w:val="24"/>
        </w:rPr>
        <w:t xml:space="preserve">. </w:t>
      </w:r>
      <w:r w:rsidR="002402B1">
        <w:rPr>
          <w:sz w:val="24"/>
          <w:szCs w:val="24"/>
        </w:rPr>
        <w:t>Según Espinoza y González (2015) “</w:t>
      </w:r>
      <w:r w:rsidRPr="006C5DAD">
        <w:rPr>
          <w:sz w:val="24"/>
          <w:szCs w:val="24"/>
        </w:rPr>
        <w:t>la permanencia, se trata de eliminar cualquier impedimento o discriminación que restrinja la sobrevivencia del estudiante en el</w:t>
      </w:r>
      <w:r>
        <w:rPr>
          <w:sz w:val="24"/>
          <w:szCs w:val="24"/>
        </w:rPr>
        <w:t xml:space="preserve"> </w:t>
      </w:r>
      <w:r w:rsidRPr="006C5DAD">
        <w:rPr>
          <w:sz w:val="24"/>
          <w:szCs w:val="24"/>
        </w:rPr>
        <w:t>sistema, asegurando que aquellos individuos con iguales necesidades, potencialidades y logros anteriores ten</w:t>
      </w:r>
      <w:r w:rsidR="008874DE">
        <w:rPr>
          <w:sz w:val="24"/>
          <w:szCs w:val="24"/>
        </w:rPr>
        <w:t xml:space="preserve">gan el mismo progreso educativo” (p. </w:t>
      </w:r>
      <w:r w:rsidR="0094277E">
        <w:rPr>
          <w:sz w:val="24"/>
          <w:szCs w:val="24"/>
        </w:rPr>
        <w:t xml:space="preserve">567). </w:t>
      </w:r>
    </w:p>
    <w:p w14:paraId="0428C71E" w14:textId="6B0AB120" w:rsidR="008F0813" w:rsidRDefault="0067593C" w:rsidP="009F431F">
      <w:pPr>
        <w:ind w:left="0" w:hanging="2"/>
        <w:rPr>
          <w:b/>
          <w:sz w:val="16"/>
          <w:szCs w:val="16"/>
        </w:rPr>
      </w:pPr>
      <w:r>
        <w:rPr>
          <w:sz w:val="24"/>
          <w:szCs w:val="24"/>
        </w:rPr>
        <w:t>Es por ello</w:t>
      </w:r>
      <w:r w:rsidR="009F431F">
        <w:rPr>
          <w:sz w:val="24"/>
          <w:szCs w:val="24"/>
        </w:rPr>
        <w:t xml:space="preserve"> y a modo de comparación, </w:t>
      </w:r>
      <w:r w:rsidR="008F0813">
        <w:rPr>
          <w:sz w:val="24"/>
          <w:szCs w:val="24"/>
        </w:rPr>
        <w:t>se comparten los datos obtenidos (Tabla 5) de</w:t>
      </w:r>
      <w:r>
        <w:rPr>
          <w:sz w:val="24"/>
          <w:szCs w:val="24"/>
        </w:rPr>
        <w:t xml:space="preserve"> los talleres de comunicación </w:t>
      </w:r>
      <w:r w:rsidR="008F0813">
        <w:rPr>
          <w:sz w:val="24"/>
          <w:szCs w:val="24"/>
        </w:rPr>
        <w:t>efectiva que se l</w:t>
      </w:r>
      <w:r>
        <w:rPr>
          <w:sz w:val="24"/>
          <w:szCs w:val="24"/>
        </w:rPr>
        <w:t>levaron</w:t>
      </w:r>
      <w:r w:rsidR="00E21BFE">
        <w:rPr>
          <w:sz w:val="24"/>
          <w:szCs w:val="24"/>
        </w:rPr>
        <w:t xml:space="preserve"> a cabo en los años 2021 y 2022, convocando a los/as estudiantes de dichas cohortes.</w:t>
      </w:r>
      <w:r>
        <w:rPr>
          <w:sz w:val="24"/>
          <w:szCs w:val="24"/>
        </w:rPr>
        <w:t xml:space="preserve"> La primera instancia se realizó en modalidad virtual sincrónica</w:t>
      </w:r>
      <w:r w:rsidR="00E21BFE">
        <w:rPr>
          <w:sz w:val="24"/>
          <w:szCs w:val="24"/>
        </w:rPr>
        <w:t>,</w:t>
      </w:r>
      <w:r w:rsidR="009F431F">
        <w:rPr>
          <w:sz w:val="24"/>
          <w:szCs w:val="24"/>
        </w:rPr>
        <w:t xml:space="preserve"> a</w:t>
      </w:r>
      <w:r w:rsidR="008F0813">
        <w:rPr>
          <w:sz w:val="24"/>
          <w:szCs w:val="24"/>
        </w:rPr>
        <w:t xml:space="preserve"> través de la plataforma Teams, con una hora de duración. </w:t>
      </w:r>
      <w:r w:rsidR="00E21BFE">
        <w:rPr>
          <w:sz w:val="24"/>
          <w:szCs w:val="24"/>
        </w:rPr>
        <w:t xml:space="preserve">Sin embargo, este año, los talleres se </w:t>
      </w:r>
      <w:r w:rsidR="008F0813">
        <w:rPr>
          <w:sz w:val="24"/>
          <w:szCs w:val="24"/>
        </w:rPr>
        <w:lastRenderedPageBreak/>
        <w:t>realizaron de</w:t>
      </w:r>
      <w:r w:rsidR="00E21BFE">
        <w:rPr>
          <w:sz w:val="24"/>
          <w:szCs w:val="24"/>
        </w:rPr>
        <w:t xml:space="preserve"> manera presencial</w:t>
      </w:r>
      <w:r w:rsidR="008F0813">
        <w:rPr>
          <w:sz w:val="24"/>
          <w:szCs w:val="24"/>
        </w:rPr>
        <w:t xml:space="preserve">, reservando salas y auditorios, considerando el mismo tiempo </w:t>
      </w:r>
      <w:r w:rsidR="00CF39E4">
        <w:rPr>
          <w:sz w:val="24"/>
          <w:szCs w:val="24"/>
        </w:rPr>
        <w:t xml:space="preserve">de duración </w:t>
      </w:r>
      <w:r w:rsidR="008F0813">
        <w:rPr>
          <w:sz w:val="24"/>
          <w:szCs w:val="24"/>
        </w:rPr>
        <w:t>que en</w:t>
      </w:r>
      <w:r w:rsidR="009F431F">
        <w:rPr>
          <w:sz w:val="24"/>
          <w:szCs w:val="24"/>
        </w:rPr>
        <w:t xml:space="preserve"> la versión</w:t>
      </w:r>
      <w:r w:rsidR="008F0813">
        <w:rPr>
          <w:sz w:val="24"/>
          <w:szCs w:val="24"/>
        </w:rPr>
        <w:t xml:space="preserve"> 2021.</w:t>
      </w:r>
    </w:p>
    <w:p w14:paraId="4ABA88AE" w14:textId="1D313772" w:rsidR="00BD2133" w:rsidRPr="00F20354" w:rsidRDefault="00E00BE4" w:rsidP="003E78C0">
      <w:pPr>
        <w:ind w:left="0" w:hanging="2"/>
        <w:jc w:val="left"/>
        <w:rPr>
          <w:b/>
          <w:sz w:val="16"/>
          <w:szCs w:val="16"/>
        </w:rPr>
      </w:pPr>
      <w:r w:rsidRPr="003B7842">
        <w:rPr>
          <w:b/>
          <w:sz w:val="16"/>
          <w:szCs w:val="16"/>
        </w:rPr>
        <w:t>Tabla 5</w:t>
      </w:r>
      <w:r w:rsidR="008071CF">
        <w:rPr>
          <w:b/>
          <w:sz w:val="16"/>
          <w:szCs w:val="16"/>
        </w:rPr>
        <w:t xml:space="preserve"> </w:t>
      </w:r>
    </w:p>
    <w:tbl>
      <w:tblPr>
        <w:tblStyle w:val="SimplesTabela2"/>
        <w:tblpPr w:leftFromText="141" w:rightFromText="141" w:vertAnchor="text" w:horzAnchor="margin" w:tblpY="234"/>
        <w:tblW w:w="6237" w:type="dxa"/>
        <w:tblLook w:val="04A0" w:firstRow="1" w:lastRow="0" w:firstColumn="1" w:lastColumn="0" w:noHBand="0" w:noVBand="1"/>
      </w:tblPr>
      <w:tblGrid>
        <w:gridCol w:w="1134"/>
        <w:gridCol w:w="142"/>
        <w:gridCol w:w="142"/>
        <w:gridCol w:w="1701"/>
        <w:gridCol w:w="141"/>
        <w:gridCol w:w="1276"/>
        <w:gridCol w:w="1701"/>
      </w:tblGrid>
      <w:tr w:rsidR="003A5E80" w:rsidRPr="009E3158" w14:paraId="4BC9E814" w14:textId="77777777" w:rsidTr="003A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noWrap/>
            <w:vAlign w:val="center"/>
          </w:tcPr>
          <w:p w14:paraId="0285C5AD" w14:textId="77777777" w:rsidR="003A5E80" w:rsidRPr="00CD0EFD" w:rsidRDefault="003A5E80" w:rsidP="003A5E80">
            <w:pPr>
              <w:spacing w:after="120"/>
              <w:ind w:left="0" w:hanging="2"/>
              <w:jc w:val="center"/>
              <w:textDirection w:val="lrTb"/>
              <w:rPr>
                <w:sz w:val="16"/>
                <w:szCs w:val="16"/>
                <w:lang w:val="es-CL"/>
              </w:rPr>
            </w:pPr>
            <w:r>
              <w:rPr>
                <w:color w:val="000000"/>
                <w:position w:val="0"/>
                <w:sz w:val="16"/>
                <w:szCs w:val="16"/>
                <w:lang w:eastAsia="en-US"/>
              </w:rPr>
              <w:t>AÑO                       INGRESO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0FD313F" w14:textId="77777777" w:rsidR="003A5E80" w:rsidRDefault="003A5E80" w:rsidP="003A5E80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color w:val="000000"/>
                <w:position w:val="0"/>
                <w:sz w:val="16"/>
                <w:szCs w:val="16"/>
                <w:lang w:eastAsia="en-US"/>
              </w:rPr>
              <w:t xml:space="preserve">CANTIDAD                    </w:t>
            </w:r>
            <w:r w:rsidRPr="00CD0EFD">
              <w:rPr>
                <w:color w:val="000000"/>
                <w:position w:val="0"/>
                <w:sz w:val="16"/>
                <w:szCs w:val="16"/>
                <w:lang w:eastAsia="en-US"/>
              </w:rPr>
              <w:t xml:space="preserve">ESTUDIANTES </w:t>
            </w:r>
            <w:r>
              <w:rPr>
                <w:color w:val="000000"/>
                <w:position w:val="0"/>
                <w:sz w:val="16"/>
                <w:szCs w:val="16"/>
                <w:lang w:eastAsia="en-US"/>
              </w:rPr>
              <w:t xml:space="preserve"> PARTICIPANTES TALLERES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14:paraId="6C572EF4" w14:textId="77777777" w:rsidR="003A5E80" w:rsidRPr="009E3158" w:rsidRDefault="003A5E80" w:rsidP="003A5E80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CANTIDAD                                          ESTUDIANTES                                           SITUACIÓN REGULAR</w:t>
            </w:r>
          </w:p>
        </w:tc>
        <w:tc>
          <w:tcPr>
            <w:tcW w:w="1701" w:type="dxa"/>
            <w:shd w:val="clear" w:color="auto" w:fill="auto"/>
          </w:tcPr>
          <w:p w14:paraId="67B13B27" w14:textId="77777777" w:rsidR="003A5E80" w:rsidRDefault="003A5E80" w:rsidP="003A5E80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PORCENTAJE</w:t>
            </w:r>
          </w:p>
          <w:p w14:paraId="15373265" w14:textId="77777777" w:rsidR="003A5E80" w:rsidRDefault="003A5E80" w:rsidP="003A5E80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DE</w:t>
            </w:r>
          </w:p>
          <w:p w14:paraId="0194FD66" w14:textId="77777777" w:rsidR="003A5E80" w:rsidRDefault="003A5E80" w:rsidP="003A5E80">
            <w:pPr>
              <w:ind w:left="0" w:hanging="2"/>
              <w:jc w:val="center"/>
              <w:textDirection w:val="lrT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RETENCIÓN</w:t>
            </w:r>
          </w:p>
        </w:tc>
      </w:tr>
      <w:tr w:rsidR="003A5E80" w:rsidRPr="009E3158" w14:paraId="6C79059F" w14:textId="77777777" w:rsidTr="00E21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3"/>
            <w:noWrap/>
            <w:vAlign w:val="center"/>
          </w:tcPr>
          <w:p w14:paraId="1BD91FAF" w14:textId="77777777" w:rsidR="003A5E80" w:rsidRPr="00447D76" w:rsidRDefault="003A5E80" w:rsidP="003A5E8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 xml:space="preserve">        2021</w:t>
            </w:r>
          </w:p>
        </w:tc>
        <w:tc>
          <w:tcPr>
            <w:tcW w:w="1842" w:type="dxa"/>
            <w:gridSpan w:val="2"/>
            <w:vAlign w:val="center"/>
          </w:tcPr>
          <w:p w14:paraId="33F479F3" w14:textId="53AF2617" w:rsidR="003A5E80" w:rsidRDefault="003A5E80" w:rsidP="003A5E80">
            <w:pPr>
              <w:ind w:left="0" w:hanging="2"/>
              <w:jc w:val="left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</w:t>
            </w:r>
            <w:r w:rsidR="00E21BFE">
              <w:rPr>
                <w:sz w:val="16"/>
                <w:szCs w:val="16"/>
                <w:lang w:val="es-CL"/>
              </w:rPr>
              <w:t xml:space="preserve">         </w:t>
            </w:r>
            <w:r>
              <w:rPr>
                <w:sz w:val="16"/>
                <w:szCs w:val="16"/>
                <w:lang w:val="es-CL"/>
              </w:rPr>
              <w:t>950</w:t>
            </w:r>
          </w:p>
          <w:p w14:paraId="73A14866" w14:textId="46B6289B" w:rsidR="00E21BFE" w:rsidRDefault="00E21BFE" w:rsidP="003A5E80">
            <w:pPr>
              <w:ind w:left="0" w:hanging="2"/>
              <w:jc w:val="left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(modalidad virtual)</w:t>
            </w:r>
          </w:p>
        </w:tc>
        <w:tc>
          <w:tcPr>
            <w:tcW w:w="1276" w:type="dxa"/>
            <w:noWrap/>
            <w:vAlign w:val="center"/>
          </w:tcPr>
          <w:p w14:paraId="0D636A5E" w14:textId="77777777" w:rsidR="003A5E80" w:rsidRPr="00B41621" w:rsidRDefault="003A5E80" w:rsidP="003A5E80">
            <w:pPr>
              <w:ind w:left="0" w:hanging="2"/>
              <w:jc w:val="left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  </w:t>
            </w:r>
            <w:r w:rsidRPr="00B41621">
              <w:rPr>
                <w:sz w:val="16"/>
                <w:szCs w:val="16"/>
                <w:lang w:val="es-CL"/>
              </w:rPr>
              <w:t>830</w:t>
            </w:r>
            <w:r>
              <w:rPr>
                <w:sz w:val="16"/>
                <w:szCs w:val="16"/>
                <w:lang w:val="es-CL"/>
              </w:rPr>
              <w:t xml:space="preserve">  </w:t>
            </w:r>
          </w:p>
        </w:tc>
        <w:tc>
          <w:tcPr>
            <w:tcW w:w="1701" w:type="dxa"/>
          </w:tcPr>
          <w:p w14:paraId="39F44E9F" w14:textId="77777777" w:rsidR="003A5E80" w:rsidRPr="00396BCF" w:rsidRDefault="003A5E80" w:rsidP="003A5E80">
            <w:pPr>
              <w:ind w:left="0" w:hanging="2"/>
              <w:jc w:val="center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  <w:lang w:val="es-CL"/>
              </w:rPr>
            </w:pPr>
            <w:r w:rsidRPr="00B41621">
              <w:rPr>
                <w:sz w:val="16"/>
                <w:szCs w:val="16"/>
                <w:lang w:val="es-CL"/>
              </w:rPr>
              <w:t>87,37%</w:t>
            </w:r>
            <w:r>
              <w:rPr>
                <w:sz w:val="16"/>
                <w:szCs w:val="16"/>
                <w:lang w:val="es-CL"/>
              </w:rPr>
              <w:t xml:space="preserve">                     (al 27/09/22)</w:t>
            </w:r>
          </w:p>
        </w:tc>
      </w:tr>
      <w:tr w:rsidR="00E21BFE" w:rsidRPr="009E3158" w14:paraId="32B0EE07" w14:textId="77777777" w:rsidTr="00E21BF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noWrap/>
            <w:vAlign w:val="center"/>
          </w:tcPr>
          <w:p w14:paraId="79D9991F" w14:textId="77777777" w:rsidR="003A5E80" w:rsidRDefault="003A5E80" w:rsidP="003A5E8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 w:val="0"/>
                <w:sz w:val="16"/>
                <w:szCs w:val="16"/>
                <w:lang w:val="es-CL"/>
              </w:rPr>
            </w:pPr>
            <w:r>
              <w:rPr>
                <w:b w:val="0"/>
                <w:sz w:val="16"/>
                <w:szCs w:val="16"/>
                <w:lang w:val="es-CL"/>
              </w:rPr>
              <w:t xml:space="preserve">        2022</w:t>
            </w:r>
          </w:p>
        </w:tc>
        <w:tc>
          <w:tcPr>
            <w:tcW w:w="1984" w:type="dxa"/>
            <w:gridSpan w:val="3"/>
            <w:vAlign w:val="center"/>
          </w:tcPr>
          <w:p w14:paraId="39DA9654" w14:textId="659EF6C3" w:rsidR="003A5E80" w:rsidRDefault="00E21BFE" w:rsidP="003A5E80">
            <w:pPr>
              <w:ind w:left="0" w:hanging="2"/>
              <w:jc w:val="left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       </w:t>
            </w:r>
            <w:r w:rsidR="003A5E80" w:rsidRPr="00447D76">
              <w:rPr>
                <w:sz w:val="16"/>
                <w:szCs w:val="16"/>
                <w:lang w:val="es-CL"/>
              </w:rPr>
              <w:t>1660</w:t>
            </w:r>
          </w:p>
          <w:p w14:paraId="2BD43DEA" w14:textId="7BD9DB84" w:rsidR="00E21BFE" w:rsidRPr="00447D76" w:rsidRDefault="00E21BFE" w:rsidP="003A5E80">
            <w:pPr>
              <w:ind w:left="0" w:hanging="2"/>
              <w:jc w:val="left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(modalidad presencial)</w:t>
            </w:r>
          </w:p>
        </w:tc>
        <w:tc>
          <w:tcPr>
            <w:tcW w:w="1276" w:type="dxa"/>
            <w:noWrap/>
            <w:vAlign w:val="center"/>
          </w:tcPr>
          <w:p w14:paraId="0857F308" w14:textId="77777777" w:rsidR="003A5E80" w:rsidRDefault="003A5E80" w:rsidP="003A5E80">
            <w:pPr>
              <w:ind w:left="0" w:hanging="2"/>
              <w:jc w:val="left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1658</w:t>
            </w:r>
          </w:p>
        </w:tc>
        <w:tc>
          <w:tcPr>
            <w:tcW w:w="1701" w:type="dxa"/>
          </w:tcPr>
          <w:p w14:paraId="31133626" w14:textId="77777777" w:rsidR="003A5E80" w:rsidRDefault="003A5E80" w:rsidP="003A5E80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99,87%</w:t>
            </w:r>
          </w:p>
          <w:p w14:paraId="49112B24" w14:textId="77777777" w:rsidR="003A5E80" w:rsidRDefault="003A5E80" w:rsidP="003A5E80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(al 30/06/22)</w:t>
            </w:r>
          </w:p>
        </w:tc>
      </w:tr>
    </w:tbl>
    <w:p w14:paraId="0FBE7B78" w14:textId="6678C09A" w:rsidR="00CD0EFD" w:rsidRPr="00BD2133" w:rsidRDefault="00BD2133" w:rsidP="006E719B">
      <w:pPr>
        <w:ind w:left="0" w:hanging="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Estudiantes </w:t>
      </w:r>
      <w:r w:rsidR="003A5E80">
        <w:rPr>
          <w:i/>
          <w:sz w:val="16"/>
          <w:szCs w:val="16"/>
        </w:rPr>
        <w:t xml:space="preserve">participantes Talleres </w:t>
      </w:r>
      <w:r w:rsidR="00447D76">
        <w:rPr>
          <w:i/>
          <w:sz w:val="16"/>
          <w:szCs w:val="16"/>
        </w:rPr>
        <w:t xml:space="preserve">y </w:t>
      </w:r>
      <w:r w:rsidR="003A5E80">
        <w:rPr>
          <w:i/>
          <w:sz w:val="16"/>
          <w:szCs w:val="16"/>
        </w:rPr>
        <w:t>situación regular</w:t>
      </w:r>
    </w:p>
    <w:p w14:paraId="6DA52C13" w14:textId="29A7AA90" w:rsidR="003B7842" w:rsidRDefault="003B7842" w:rsidP="006E719B">
      <w:pPr>
        <w:ind w:left="0" w:hanging="2"/>
        <w:rPr>
          <w:sz w:val="16"/>
          <w:szCs w:val="16"/>
        </w:rPr>
      </w:pPr>
    </w:p>
    <w:p w14:paraId="2E9B4532" w14:textId="5B601074" w:rsidR="003B7842" w:rsidRDefault="003B7842" w:rsidP="006E719B">
      <w:pPr>
        <w:ind w:left="0" w:hanging="2"/>
        <w:rPr>
          <w:sz w:val="16"/>
          <w:szCs w:val="16"/>
        </w:rPr>
      </w:pPr>
    </w:p>
    <w:p w14:paraId="0F64096F" w14:textId="7C40F32E" w:rsidR="003B7842" w:rsidRDefault="003B7842" w:rsidP="006E719B">
      <w:pPr>
        <w:ind w:left="0" w:hanging="2"/>
        <w:rPr>
          <w:sz w:val="16"/>
          <w:szCs w:val="16"/>
        </w:rPr>
      </w:pPr>
    </w:p>
    <w:p w14:paraId="62BE270B" w14:textId="063D5DC7" w:rsidR="003A5E80" w:rsidRDefault="003A5E80" w:rsidP="006E719B">
      <w:pPr>
        <w:ind w:left="0" w:hanging="2"/>
        <w:rPr>
          <w:sz w:val="16"/>
          <w:szCs w:val="16"/>
        </w:rPr>
      </w:pPr>
    </w:p>
    <w:p w14:paraId="7B434028" w14:textId="6BDB3D9D" w:rsidR="003A5E80" w:rsidRDefault="003A5E80" w:rsidP="006E719B">
      <w:pPr>
        <w:ind w:left="0" w:hanging="2"/>
        <w:rPr>
          <w:sz w:val="16"/>
          <w:szCs w:val="16"/>
        </w:rPr>
      </w:pPr>
    </w:p>
    <w:p w14:paraId="6083371F" w14:textId="7FB0B01C" w:rsidR="00741840" w:rsidRDefault="00BE56AD" w:rsidP="006E719B">
      <w:pPr>
        <w:ind w:left="0" w:hanging="2"/>
        <w:rPr>
          <w:sz w:val="16"/>
          <w:szCs w:val="16"/>
        </w:rPr>
      </w:pPr>
      <w:r w:rsidRPr="00F20354">
        <w:rPr>
          <w:sz w:val="16"/>
          <w:szCs w:val="16"/>
        </w:rPr>
        <w:t>CAP (2022)</w:t>
      </w:r>
    </w:p>
    <w:p w14:paraId="089F2CC3" w14:textId="77777777" w:rsidR="009F431F" w:rsidRDefault="008F0813" w:rsidP="008F0813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acuerdo a la Tabla 5 es posible evidenciar la cantidad de estudiantes participantes en cada año, donde surge una </w:t>
      </w:r>
      <w:r w:rsidR="00D002E7">
        <w:rPr>
          <w:sz w:val="24"/>
          <w:szCs w:val="24"/>
        </w:rPr>
        <w:t>baja notable en el 2021, la</w:t>
      </w:r>
      <w:r>
        <w:rPr>
          <w:sz w:val="24"/>
          <w:szCs w:val="24"/>
        </w:rPr>
        <w:t xml:space="preserve"> que puede explicarse por la modalidad utilizada. En cuanto a la</w:t>
      </w:r>
      <w:r w:rsidR="00D002E7">
        <w:rPr>
          <w:sz w:val="24"/>
          <w:szCs w:val="24"/>
        </w:rPr>
        <w:t xml:space="preserve"> permanencia de dichos estudiantes en la universidad, teniendo como fechas de referencia las que se indican, </w:t>
      </w:r>
      <w:r w:rsidR="00D253BF">
        <w:rPr>
          <w:sz w:val="24"/>
          <w:szCs w:val="24"/>
        </w:rPr>
        <w:t>también el porcentaje de retención se ve afectado, a diferencia, de los datos que se mu</w:t>
      </w:r>
      <w:r w:rsidR="00D002E7">
        <w:rPr>
          <w:sz w:val="24"/>
          <w:szCs w:val="24"/>
        </w:rPr>
        <w:t>estra</w:t>
      </w:r>
      <w:r w:rsidR="00D253BF">
        <w:rPr>
          <w:sz w:val="24"/>
          <w:szCs w:val="24"/>
        </w:rPr>
        <w:t>n en</w:t>
      </w:r>
      <w:r w:rsidR="00D002E7">
        <w:rPr>
          <w:sz w:val="24"/>
          <w:szCs w:val="24"/>
        </w:rPr>
        <w:t xml:space="preserve"> la cohorte 2022</w:t>
      </w:r>
      <w:r w:rsidR="00D253BF">
        <w:rPr>
          <w:sz w:val="24"/>
          <w:szCs w:val="24"/>
        </w:rPr>
        <w:t xml:space="preserve">, con </w:t>
      </w:r>
      <w:r w:rsidR="00D002E7">
        <w:rPr>
          <w:sz w:val="24"/>
          <w:szCs w:val="24"/>
        </w:rPr>
        <w:t>un porcentaje</w:t>
      </w:r>
      <w:r w:rsidR="00D253BF">
        <w:rPr>
          <w:sz w:val="24"/>
          <w:szCs w:val="24"/>
        </w:rPr>
        <w:t xml:space="preserve"> </w:t>
      </w:r>
      <w:r>
        <w:rPr>
          <w:sz w:val="24"/>
          <w:szCs w:val="24"/>
        </w:rPr>
        <w:t>mayor</w:t>
      </w:r>
      <w:r w:rsidR="00D253BF">
        <w:rPr>
          <w:sz w:val="24"/>
          <w:szCs w:val="24"/>
        </w:rPr>
        <w:t>, con clases presenciales, que evidentemente se prefieren a las virtuales.</w:t>
      </w:r>
      <w:r w:rsidR="009F431F">
        <w:rPr>
          <w:sz w:val="24"/>
          <w:szCs w:val="24"/>
        </w:rPr>
        <w:t xml:space="preserve"> </w:t>
      </w:r>
    </w:p>
    <w:p w14:paraId="1E0E57A8" w14:textId="75ACFE28" w:rsidR="00D002E7" w:rsidRDefault="00D002E7" w:rsidP="008F0813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En cuanto al status de estudiantes regulares de pregrado, se consideran a todos aquellos que siguen con su avance curricular, manteniéndose en la universidad, activos, asistiendo a clases y cursando cada uno de sus cursos. </w:t>
      </w:r>
    </w:p>
    <w:p w14:paraId="73DE7DDF" w14:textId="0981F655" w:rsidR="00DA0DA7" w:rsidRDefault="00D002E7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Desde una visión más amplia,</w:t>
      </w:r>
      <w:r w:rsidR="00DA0DA7">
        <w:rPr>
          <w:sz w:val="24"/>
          <w:szCs w:val="24"/>
        </w:rPr>
        <w:t xml:space="preserve"> la retención de estudiantes de 1er año</w:t>
      </w:r>
      <w:r w:rsidR="00D253BF">
        <w:rPr>
          <w:sz w:val="24"/>
          <w:szCs w:val="24"/>
        </w:rPr>
        <w:t>, cohorte de ingreso 2020</w:t>
      </w:r>
      <w:r w:rsidR="00DA0DA7">
        <w:rPr>
          <w:sz w:val="24"/>
          <w:szCs w:val="24"/>
        </w:rPr>
        <w:t>, según datos e</w:t>
      </w:r>
      <w:r w:rsidR="00D253BF">
        <w:rPr>
          <w:sz w:val="24"/>
          <w:szCs w:val="24"/>
        </w:rPr>
        <w:t xml:space="preserve">stadísticos entregados por </w:t>
      </w:r>
      <w:r w:rsidR="00DA0DA7">
        <w:rPr>
          <w:sz w:val="24"/>
          <w:szCs w:val="24"/>
        </w:rPr>
        <w:t>el</w:t>
      </w:r>
      <w:r w:rsidR="00D253BF">
        <w:rPr>
          <w:sz w:val="24"/>
          <w:szCs w:val="24"/>
        </w:rPr>
        <w:t xml:space="preserve"> Ministerio de Educación (2021), </w:t>
      </w:r>
      <w:r w:rsidR="00DA0DA7">
        <w:rPr>
          <w:sz w:val="24"/>
          <w:szCs w:val="24"/>
        </w:rPr>
        <w:t xml:space="preserve">esta universidad </w:t>
      </w:r>
      <w:r w:rsidR="00D253BF">
        <w:rPr>
          <w:sz w:val="24"/>
          <w:szCs w:val="24"/>
        </w:rPr>
        <w:t xml:space="preserve">chilena </w:t>
      </w:r>
      <w:r w:rsidR="00DA0DA7">
        <w:rPr>
          <w:sz w:val="24"/>
          <w:szCs w:val="24"/>
        </w:rPr>
        <w:t xml:space="preserve">se encuentra entre las regiones que </w:t>
      </w:r>
      <w:r w:rsidR="00CE13A6">
        <w:rPr>
          <w:sz w:val="24"/>
          <w:szCs w:val="24"/>
        </w:rPr>
        <w:t>la</w:t>
      </w:r>
      <w:r w:rsidR="00DA0DA7">
        <w:rPr>
          <w:sz w:val="24"/>
          <w:szCs w:val="24"/>
        </w:rPr>
        <w:t xml:space="preserve"> lideran (</w:t>
      </w:r>
      <w:r w:rsidR="00D253BF">
        <w:rPr>
          <w:sz w:val="24"/>
          <w:szCs w:val="24"/>
        </w:rPr>
        <w:t xml:space="preserve">84,5%), </w:t>
      </w:r>
      <w:r w:rsidR="00F2417C">
        <w:rPr>
          <w:sz w:val="24"/>
          <w:szCs w:val="24"/>
        </w:rPr>
        <w:t xml:space="preserve">aun </w:t>
      </w:r>
      <w:r w:rsidR="00D253BF">
        <w:rPr>
          <w:sz w:val="24"/>
          <w:szCs w:val="24"/>
        </w:rPr>
        <w:t>considerando que dicho período dio inicio a las clases</w:t>
      </w:r>
      <w:r w:rsidR="00DA0DA7">
        <w:rPr>
          <w:sz w:val="24"/>
          <w:szCs w:val="24"/>
        </w:rPr>
        <w:t xml:space="preserve"> en modalidad virtual. </w:t>
      </w:r>
    </w:p>
    <w:p w14:paraId="5423CDBE" w14:textId="77777777" w:rsidR="00D253BF" w:rsidRDefault="00D253BF" w:rsidP="006E719B">
      <w:pPr>
        <w:ind w:left="0" w:hanging="2"/>
        <w:rPr>
          <w:b/>
          <w:sz w:val="24"/>
          <w:szCs w:val="24"/>
        </w:rPr>
      </w:pPr>
    </w:p>
    <w:p w14:paraId="09BF2EA2" w14:textId="2CBF5FFC" w:rsidR="006E719B" w:rsidRDefault="00CE5466" w:rsidP="006E719B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E719B">
        <w:rPr>
          <w:b/>
          <w:sz w:val="24"/>
          <w:szCs w:val="24"/>
        </w:rPr>
        <w:t>. Conclusiones</w:t>
      </w:r>
      <w:r w:rsidR="00623E74">
        <w:rPr>
          <w:b/>
          <w:sz w:val="24"/>
          <w:szCs w:val="24"/>
        </w:rPr>
        <w:t xml:space="preserve"> </w:t>
      </w:r>
    </w:p>
    <w:p w14:paraId="28629EEF" w14:textId="0A3CDA90" w:rsidR="00C47300" w:rsidRDefault="00C47300" w:rsidP="006E719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El ingreso a la Educación Superior es una decisión que no se toma a la ligera, marca un antes y un después en la vida de cualquier estudiante, es por ello que, las Instituciones de Edu</w:t>
      </w:r>
      <w:r w:rsidR="00061A5E">
        <w:rPr>
          <w:sz w:val="24"/>
          <w:szCs w:val="24"/>
        </w:rPr>
        <w:t>c</w:t>
      </w:r>
      <w:r>
        <w:rPr>
          <w:sz w:val="24"/>
          <w:szCs w:val="24"/>
        </w:rPr>
        <w:t>ación Superior (IES)</w:t>
      </w:r>
      <w:r w:rsidR="00061A5E">
        <w:rPr>
          <w:sz w:val="24"/>
          <w:szCs w:val="24"/>
        </w:rPr>
        <w:t xml:space="preserve"> deben ocuparse de propiciar instancias que guíen el proceso de inducción y acogida. Dichas actividades deben enfocarse en el desarrollo y fortalecimiento de habilidades cognitivas, sociales y comunicativas, </w:t>
      </w:r>
      <w:r w:rsidR="004050E5">
        <w:rPr>
          <w:sz w:val="24"/>
          <w:szCs w:val="24"/>
        </w:rPr>
        <w:t xml:space="preserve">facilitando la inserción de </w:t>
      </w:r>
      <w:r w:rsidR="00061A5E">
        <w:rPr>
          <w:sz w:val="24"/>
          <w:szCs w:val="24"/>
        </w:rPr>
        <w:t xml:space="preserve">los/as estudiantes </w:t>
      </w:r>
      <w:r w:rsidR="004050E5">
        <w:rPr>
          <w:sz w:val="24"/>
          <w:szCs w:val="24"/>
        </w:rPr>
        <w:t>a</w:t>
      </w:r>
      <w:r w:rsidR="00061A5E">
        <w:rPr>
          <w:sz w:val="24"/>
          <w:szCs w:val="24"/>
        </w:rPr>
        <w:t xml:space="preserve"> un contexto que desconocen, pero que necesitan pertenecer. </w:t>
      </w:r>
    </w:p>
    <w:p w14:paraId="05D00CC4" w14:textId="40EE5EDB" w:rsidR="00E656A5" w:rsidRDefault="00061A5E" w:rsidP="00E656A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La realización de los</w:t>
      </w:r>
      <w:r w:rsidR="00E656A5">
        <w:rPr>
          <w:sz w:val="24"/>
          <w:szCs w:val="24"/>
        </w:rPr>
        <w:t xml:space="preserve"> talleres </w:t>
      </w:r>
      <w:r w:rsidR="001D1AA6">
        <w:rPr>
          <w:sz w:val="24"/>
          <w:szCs w:val="24"/>
        </w:rPr>
        <w:t xml:space="preserve">de comunicación efectiva </w:t>
      </w:r>
      <w:r w:rsidR="00E656A5">
        <w:rPr>
          <w:sz w:val="24"/>
          <w:szCs w:val="24"/>
        </w:rPr>
        <w:t>de la semana CTU reafirma</w:t>
      </w:r>
      <w:r>
        <w:rPr>
          <w:sz w:val="24"/>
          <w:szCs w:val="24"/>
        </w:rPr>
        <w:t>n</w:t>
      </w:r>
      <w:r w:rsidR="00E656A5">
        <w:rPr>
          <w:sz w:val="24"/>
          <w:szCs w:val="24"/>
        </w:rPr>
        <w:t xml:space="preserve"> </w:t>
      </w:r>
      <w:r w:rsidR="004050E5">
        <w:rPr>
          <w:sz w:val="24"/>
          <w:szCs w:val="24"/>
        </w:rPr>
        <w:t xml:space="preserve">su importancia para </w:t>
      </w:r>
      <w:r w:rsidR="00E656A5">
        <w:rPr>
          <w:sz w:val="24"/>
          <w:szCs w:val="24"/>
        </w:rPr>
        <w:t>enfrentar las exigencias propias</w:t>
      </w:r>
      <w:r w:rsidR="001D1AA6">
        <w:rPr>
          <w:sz w:val="24"/>
          <w:szCs w:val="24"/>
        </w:rPr>
        <w:t xml:space="preserve"> de cada disciplina de estudio, coincidiendo con lo señalado por </w:t>
      </w:r>
      <w:r w:rsidR="00E656A5" w:rsidRPr="00437BD6">
        <w:rPr>
          <w:sz w:val="24"/>
          <w:szCs w:val="24"/>
        </w:rPr>
        <w:t>Ezcurra</w:t>
      </w:r>
      <w:r w:rsidR="00E656A5">
        <w:rPr>
          <w:sz w:val="24"/>
          <w:szCs w:val="24"/>
        </w:rPr>
        <w:t xml:space="preserve"> (</w:t>
      </w:r>
      <w:r w:rsidR="00E656A5" w:rsidRPr="00437BD6">
        <w:rPr>
          <w:sz w:val="24"/>
          <w:szCs w:val="24"/>
        </w:rPr>
        <w:t>2011</w:t>
      </w:r>
      <w:r w:rsidR="00E656A5">
        <w:rPr>
          <w:sz w:val="24"/>
          <w:szCs w:val="24"/>
        </w:rPr>
        <w:t xml:space="preserve">, citado en Navarro, 2018) </w:t>
      </w:r>
      <w:r w:rsidR="001D1AA6">
        <w:rPr>
          <w:sz w:val="24"/>
          <w:szCs w:val="24"/>
        </w:rPr>
        <w:t xml:space="preserve">que, </w:t>
      </w:r>
      <w:r w:rsidR="00E656A5">
        <w:rPr>
          <w:sz w:val="24"/>
          <w:szCs w:val="24"/>
        </w:rPr>
        <w:t>para tran</w:t>
      </w:r>
      <w:r w:rsidR="00E656A5" w:rsidRPr="008D2FD8">
        <w:rPr>
          <w:sz w:val="24"/>
          <w:szCs w:val="24"/>
        </w:rPr>
        <w:t>sitar la universidad, el estudiante debe reforzar y desarrollar habilidades cognitivas que le permitan analizar, sintet</w:t>
      </w:r>
      <w:r w:rsidR="00207294">
        <w:rPr>
          <w:sz w:val="24"/>
          <w:szCs w:val="24"/>
        </w:rPr>
        <w:t>izar, relacionar la información,</w:t>
      </w:r>
      <w:r w:rsidR="001D1AA6">
        <w:rPr>
          <w:sz w:val="24"/>
          <w:szCs w:val="24"/>
        </w:rPr>
        <w:t xml:space="preserve"> </w:t>
      </w:r>
      <w:r w:rsidR="00207294">
        <w:rPr>
          <w:sz w:val="24"/>
          <w:szCs w:val="24"/>
        </w:rPr>
        <w:t>entre otras. Aunque l</w:t>
      </w:r>
      <w:r w:rsidR="00E656A5">
        <w:rPr>
          <w:sz w:val="24"/>
          <w:szCs w:val="24"/>
        </w:rPr>
        <w:t xml:space="preserve">eer, escribir o comunicarse oralmente, no lo es todo señala Navarro (2018), hacen falta también </w:t>
      </w:r>
      <w:r w:rsidR="001D1AA6">
        <w:rPr>
          <w:sz w:val="24"/>
          <w:szCs w:val="24"/>
        </w:rPr>
        <w:t>fomentar</w:t>
      </w:r>
      <w:r w:rsidR="00E656A5">
        <w:rPr>
          <w:sz w:val="24"/>
          <w:szCs w:val="24"/>
        </w:rPr>
        <w:t xml:space="preserve"> habilidades metacognitivas</w:t>
      </w:r>
      <w:r w:rsidR="001D1AA6">
        <w:rPr>
          <w:sz w:val="24"/>
          <w:szCs w:val="24"/>
        </w:rPr>
        <w:t xml:space="preserve">, </w:t>
      </w:r>
      <w:r w:rsidR="00E656A5">
        <w:rPr>
          <w:sz w:val="24"/>
          <w:szCs w:val="24"/>
        </w:rPr>
        <w:t>metalingüísticas</w:t>
      </w:r>
      <w:r w:rsidR="001D1AA6">
        <w:rPr>
          <w:sz w:val="24"/>
          <w:szCs w:val="24"/>
        </w:rPr>
        <w:t xml:space="preserve"> y pensamiento crítico</w:t>
      </w:r>
      <w:r w:rsidR="00E656A5">
        <w:rPr>
          <w:sz w:val="24"/>
          <w:szCs w:val="24"/>
        </w:rPr>
        <w:t>,</w:t>
      </w:r>
      <w:r w:rsidR="001D1AA6">
        <w:rPr>
          <w:sz w:val="24"/>
          <w:szCs w:val="24"/>
        </w:rPr>
        <w:t xml:space="preserve"> </w:t>
      </w:r>
      <w:r w:rsidR="00E656A5">
        <w:rPr>
          <w:sz w:val="24"/>
          <w:szCs w:val="24"/>
        </w:rPr>
        <w:t xml:space="preserve">ante la realidad que los rodea, “que les permita </w:t>
      </w:r>
      <w:r w:rsidR="00E656A5" w:rsidRPr="009A4589">
        <w:rPr>
          <w:sz w:val="24"/>
          <w:szCs w:val="24"/>
        </w:rPr>
        <w:t>analizar situaciones nuevas, reconocer expectativas y demandas retóricas (objetivos comun</w:t>
      </w:r>
      <w:r w:rsidR="00E656A5">
        <w:rPr>
          <w:sz w:val="24"/>
          <w:szCs w:val="24"/>
        </w:rPr>
        <w:t>icativos, interlocutores, patro</w:t>
      </w:r>
      <w:r w:rsidR="00E656A5" w:rsidRPr="009A4589">
        <w:rPr>
          <w:sz w:val="24"/>
          <w:szCs w:val="24"/>
        </w:rPr>
        <w:t>nes discursivos, formatos), y adecuarse a ellas o nego</w:t>
      </w:r>
      <w:r w:rsidR="00E656A5">
        <w:rPr>
          <w:sz w:val="24"/>
          <w:szCs w:val="24"/>
        </w:rPr>
        <w:t>ciarlas, discutirlas y transfor</w:t>
      </w:r>
      <w:r w:rsidR="00E656A5" w:rsidRPr="009A4589">
        <w:rPr>
          <w:sz w:val="24"/>
          <w:szCs w:val="24"/>
        </w:rPr>
        <w:t>mar</w:t>
      </w:r>
      <w:r w:rsidR="00E656A5">
        <w:rPr>
          <w:sz w:val="24"/>
          <w:szCs w:val="24"/>
        </w:rPr>
        <w:t xml:space="preserve">las en la medida de lo posible” (p. 14). </w:t>
      </w:r>
    </w:p>
    <w:p w14:paraId="1BBE9C96" w14:textId="2CCCFDDD" w:rsidR="00207294" w:rsidRDefault="00207294" w:rsidP="00E656A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La participación en</w:t>
      </w:r>
      <w:r w:rsidR="00CC01C4">
        <w:rPr>
          <w:sz w:val="24"/>
          <w:szCs w:val="24"/>
        </w:rPr>
        <w:t xml:space="preserve"> los talleres, como parte de las activi</w:t>
      </w:r>
      <w:r>
        <w:rPr>
          <w:sz w:val="24"/>
          <w:szCs w:val="24"/>
        </w:rPr>
        <w:t xml:space="preserve">dades </w:t>
      </w:r>
      <w:r w:rsidR="00CC01C4">
        <w:rPr>
          <w:sz w:val="24"/>
          <w:szCs w:val="24"/>
        </w:rPr>
        <w:t>de inducción y</w:t>
      </w:r>
      <w:r>
        <w:rPr>
          <w:sz w:val="24"/>
          <w:szCs w:val="24"/>
        </w:rPr>
        <w:t xml:space="preserve"> la valoración que los estudiantes tengan d</w:t>
      </w:r>
      <w:r w:rsidR="00F2417C">
        <w:rPr>
          <w:sz w:val="24"/>
          <w:szCs w:val="24"/>
        </w:rPr>
        <w:t xml:space="preserve">e ellas es importante, porque se </w:t>
      </w:r>
      <w:r>
        <w:rPr>
          <w:sz w:val="24"/>
          <w:szCs w:val="24"/>
        </w:rPr>
        <w:t>va</w:t>
      </w:r>
      <w:r w:rsidR="00F2417C">
        <w:rPr>
          <w:sz w:val="24"/>
          <w:szCs w:val="24"/>
        </w:rPr>
        <w:t>n</w:t>
      </w:r>
      <w:r>
        <w:rPr>
          <w:sz w:val="24"/>
          <w:szCs w:val="24"/>
        </w:rPr>
        <w:t xml:space="preserve"> concientizando de </w:t>
      </w:r>
      <w:r w:rsidR="00CC01C4">
        <w:rPr>
          <w:sz w:val="24"/>
          <w:szCs w:val="24"/>
        </w:rPr>
        <w:t xml:space="preserve">sus propias capacidades para enfrentar la universidad y del apoyo que </w:t>
      </w:r>
      <w:r w:rsidR="00F2417C">
        <w:rPr>
          <w:sz w:val="24"/>
          <w:szCs w:val="24"/>
        </w:rPr>
        <w:t>requieren para lograr avanzar.</w:t>
      </w:r>
      <w:r w:rsidR="00CC01C4">
        <w:rPr>
          <w:sz w:val="24"/>
          <w:szCs w:val="24"/>
        </w:rPr>
        <w:t xml:space="preserve"> Es por ello, que la responsabilidad de ofrecer dichas herramientas recae en las </w:t>
      </w:r>
      <w:r w:rsidR="00F2417C">
        <w:rPr>
          <w:sz w:val="24"/>
          <w:szCs w:val="24"/>
        </w:rPr>
        <w:t>IES</w:t>
      </w:r>
      <w:r w:rsidR="003E5449">
        <w:rPr>
          <w:sz w:val="24"/>
          <w:szCs w:val="24"/>
        </w:rPr>
        <w:t>, quienes deben propiciarlas y fomentarlas.</w:t>
      </w:r>
    </w:p>
    <w:p w14:paraId="1658583A" w14:textId="1CDE78CA" w:rsidR="00F2417C" w:rsidRDefault="00D253BF" w:rsidP="00CE13A6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cuanto a la </w:t>
      </w:r>
      <w:r w:rsidR="001D1AA6">
        <w:rPr>
          <w:sz w:val="24"/>
          <w:szCs w:val="24"/>
        </w:rPr>
        <w:t xml:space="preserve">permanencia y </w:t>
      </w:r>
      <w:r>
        <w:rPr>
          <w:sz w:val="24"/>
          <w:szCs w:val="24"/>
        </w:rPr>
        <w:t>retención</w:t>
      </w:r>
      <w:r w:rsidR="001D1AA6">
        <w:rPr>
          <w:sz w:val="24"/>
          <w:szCs w:val="24"/>
        </w:rPr>
        <w:t xml:space="preserve"> de los estudiantes, de acuerdo</w:t>
      </w:r>
      <w:r w:rsidR="00F2417C">
        <w:rPr>
          <w:sz w:val="24"/>
          <w:szCs w:val="24"/>
        </w:rPr>
        <w:t xml:space="preserve"> a los datos entregados, resultó</w:t>
      </w:r>
      <w:r w:rsidR="001D1AA6">
        <w:rPr>
          <w:sz w:val="24"/>
          <w:szCs w:val="24"/>
        </w:rPr>
        <w:t xml:space="preserve"> cla</w:t>
      </w:r>
      <w:r w:rsidR="00C950AB">
        <w:rPr>
          <w:sz w:val="24"/>
          <w:szCs w:val="24"/>
        </w:rPr>
        <w:t>ve la modalidad en que se llevaron</w:t>
      </w:r>
      <w:r w:rsidR="001D1AA6">
        <w:rPr>
          <w:sz w:val="24"/>
          <w:szCs w:val="24"/>
        </w:rPr>
        <w:t xml:space="preserve"> a cabo las actividades, evidenciando que la presencialidad es irremplazable</w:t>
      </w:r>
      <w:r w:rsidR="00F2417C">
        <w:rPr>
          <w:sz w:val="24"/>
          <w:szCs w:val="24"/>
        </w:rPr>
        <w:t xml:space="preserve">, porque </w:t>
      </w:r>
      <w:r w:rsidR="001D1AA6">
        <w:rPr>
          <w:sz w:val="24"/>
          <w:szCs w:val="24"/>
        </w:rPr>
        <w:t xml:space="preserve">la motivación de participar cambia, más allá de </w:t>
      </w:r>
      <w:r w:rsidR="00C950AB">
        <w:rPr>
          <w:sz w:val="24"/>
          <w:szCs w:val="24"/>
        </w:rPr>
        <w:t>l</w:t>
      </w:r>
      <w:r w:rsidR="00F2417C">
        <w:rPr>
          <w:sz w:val="24"/>
          <w:szCs w:val="24"/>
        </w:rPr>
        <w:t xml:space="preserve">o </w:t>
      </w:r>
      <w:r w:rsidR="00C950AB">
        <w:rPr>
          <w:sz w:val="24"/>
          <w:szCs w:val="24"/>
        </w:rPr>
        <w:t>didáctica que pueda ser la propuesta en sí. Los estudiantes se acompañan al momento de aprender, y hacerlo al lado de un par, les permite potenciar sus habil</w:t>
      </w:r>
      <w:r w:rsidR="00CF39E4">
        <w:rPr>
          <w:sz w:val="24"/>
          <w:szCs w:val="24"/>
        </w:rPr>
        <w:t>idades comunicativas y sociales.</w:t>
      </w:r>
    </w:p>
    <w:p w14:paraId="624FFE23" w14:textId="0B7244EE" w:rsidR="00577B47" w:rsidRDefault="00CE13A6" w:rsidP="00CE13A6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Abandonar la Educación Superior debe ser la última opción para cualquier estudiante, </w:t>
      </w:r>
      <w:r w:rsidR="00F2417C">
        <w:rPr>
          <w:sz w:val="24"/>
          <w:szCs w:val="24"/>
        </w:rPr>
        <w:t>aunque</w:t>
      </w:r>
      <w:r w:rsidR="00577B47">
        <w:rPr>
          <w:sz w:val="24"/>
          <w:szCs w:val="24"/>
        </w:rPr>
        <w:t xml:space="preserve"> haya contado con una </w:t>
      </w:r>
      <w:r w:rsidR="00F2417C">
        <w:rPr>
          <w:sz w:val="24"/>
          <w:szCs w:val="24"/>
        </w:rPr>
        <w:t>d</w:t>
      </w:r>
      <w:r w:rsidR="00577B47">
        <w:rPr>
          <w:sz w:val="24"/>
          <w:szCs w:val="24"/>
        </w:rPr>
        <w:t>eficiente formación escolar o una mala preparación para ingresar a la universidad, lo clave es que las</w:t>
      </w:r>
      <w:r w:rsidR="00F2417C">
        <w:rPr>
          <w:sz w:val="24"/>
          <w:szCs w:val="24"/>
        </w:rPr>
        <w:t xml:space="preserve"> IES</w:t>
      </w:r>
      <w:r w:rsidR="00577B47">
        <w:rPr>
          <w:sz w:val="24"/>
          <w:szCs w:val="24"/>
        </w:rPr>
        <w:t xml:space="preserve"> propicien instancias de apoyo, acompañamiento e inducción, fortaleciendo y afianzando </w:t>
      </w:r>
      <w:r w:rsidR="00F2417C">
        <w:rPr>
          <w:sz w:val="24"/>
          <w:szCs w:val="24"/>
        </w:rPr>
        <w:t>sus</w:t>
      </w:r>
      <w:r w:rsidR="00577B47">
        <w:rPr>
          <w:sz w:val="24"/>
          <w:szCs w:val="24"/>
        </w:rPr>
        <w:t xml:space="preserve"> habilidades</w:t>
      </w:r>
      <w:r w:rsidR="00F2417C">
        <w:rPr>
          <w:sz w:val="24"/>
          <w:szCs w:val="24"/>
        </w:rPr>
        <w:t xml:space="preserve"> </w:t>
      </w:r>
      <w:r w:rsidR="00577B47">
        <w:rPr>
          <w:sz w:val="24"/>
          <w:szCs w:val="24"/>
        </w:rPr>
        <w:t>para iniciar su formación académica.</w:t>
      </w:r>
    </w:p>
    <w:p w14:paraId="61E6DBC4" w14:textId="77777777" w:rsidR="00577B47" w:rsidRDefault="00577B47" w:rsidP="00CE13A6">
      <w:pPr>
        <w:ind w:left="0" w:hanging="2"/>
        <w:rPr>
          <w:sz w:val="24"/>
          <w:szCs w:val="24"/>
        </w:rPr>
      </w:pPr>
    </w:p>
    <w:p w14:paraId="6DE874E3" w14:textId="77777777" w:rsidR="001065D2" w:rsidRDefault="00177CB2">
      <w:pPr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Referencias</w:t>
      </w:r>
      <w:r w:rsidR="00495879">
        <w:rPr>
          <w:b/>
          <w:sz w:val="24"/>
          <w:szCs w:val="24"/>
        </w:rPr>
        <w:t xml:space="preserve">  </w:t>
      </w:r>
    </w:p>
    <w:p w14:paraId="785ABBE0" w14:textId="1B6B2C10" w:rsidR="0051635A" w:rsidRPr="008041A5" w:rsidRDefault="00A9281C" w:rsidP="006556EB">
      <w:pPr>
        <w:shd w:val="clear" w:color="auto" w:fill="FFFFFF"/>
        <w:ind w:left="0" w:hanging="2"/>
        <w:rPr>
          <w:rStyle w:val="Hyperlink"/>
          <w:sz w:val="18"/>
          <w:szCs w:val="18"/>
        </w:rPr>
      </w:pPr>
      <w:r w:rsidRPr="00082003">
        <w:rPr>
          <w:sz w:val="18"/>
          <w:szCs w:val="18"/>
        </w:rPr>
        <w:t>Espinoza</w:t>
      </w:r>
      <w:r w:rsidRPr="008041A5">
        <w:rPr>
          <w:sz w:val="18"/>
          <w:szCs w:val="18"/>
        </w:rPr>
        <w:t>, O.  y González, L. (2015). Equidad en el Sistema de Educación Superior en Chile: Acceso, Perm</w:t>
      </w:r>
      <w:r w:rsidR="00A40FFC" w:rsidRPr="008041A5">
        <w:rPr>
          <w:sz w:val="18"/>
          <w:szCs w:val="18"/>
        </w:rPr>
        <w:t>anencia, Desempeño y Resultados XII.</w:t>
      </w:r>
      <w:r w:rsidR="0051635A" w:rsidRPr="008041A5">
        <w:rPr>
          <w:sz w:val="18"/>
          <w:szCs w:val="18"/>
        </w:rPr>
        <w:t xml:space="preserve"> </w:t>
      </w:r>
      <w:r w:rsidR="00A40FFC" w:rsidRPr="008041A5">
        <w:rPr>
          <w:i/>
          <w:sz w:val="18"/>
          <w:szCs w:val="18"/>
        </w:rPr>
        <w:t xml:space="preserve">En La educación superior de Chile: transformación, desarrollo y crisis. </w:t>
      </w:r>
      <w:r w:rsidR="0051635A" w:rsidRPr="008041A5">
        <w:rPr>
          <w:sz w:val="18"/>
          <w:szCs w:val="18"/>
        </w:rPr>
        <w:t>[Archivo PDF].</w:t>
      </w:r>
      <w:r w:rsidRPr="008041A5">
        <w:rPr>
          <w:sz w:val="18"/>
          <w:szCs w:val="18"/>
        </w:rPr>
        <w:t xml:space="preserve"> </w:t>
      </w:r>
      <w:hyperlink r:id="rId12" w:history="1">
        <w:r w:rsidR="0051635A" w:rsidRPr="008041A5">
          <w:rPr>
            <w:rStyle w:val="Hyperlink"/>
            <w:sz w:val="18"/>
            <w:szCs w:val="18"/>
          </w:rPr>
          <w:t>http://www.luisedogonzalez.cl/pdf/2015/2015-01.pdf</w:t>
        </w:r>
      </w:hyperlink>
    </w:p>
    <w:p w14:paraId="1AFEA1D1" w14:textId="77777777" w:rsidR="00B27D62" w:rsidRDefault="008041A5" w:rsidP="006556EB">
      <w:pPr>
        <w:shd w:val="clear" w:color="auto" w:fill="FFFFFF"/>
        <w:ind w:left="0" w:hanging="2"/>
        <w:rPr>
          <w:rStyle w:val="Hyperlink"/>
          <w:color w:val="000000" w:themeColor="text1"/>
          <w:sz w:val="18"/>
          <w:szCs w:val="18"/>
          <w:u w:val="none"/>
        </w:rPr>
      </w:pPr>
      <w:r w:rsidRPr="00082003">
        <w:rPr>
          <w:rStyle w:val="Hyperlink"/>
          <w:color w:val="000000" w:themeColor="text1"/>
          <w:sz w:val="18"/>
          <w:szCs w:val="18"/>
          <w:u w:val="none"/>
        </w:rPr>
        <w:t>García,</w:t>
      </w:r>
      <w:r>
        <w:rPr>
          <w:rStyle w:val="Hyperlink"/>
          <w:color w:val="000000" w:themeColor="text1"/>
          <w:sz w:val="18"/>
          <w:szCs w:val="18"/>
          <w:u w:val="none"/>
        </w:rPr>
        <w:t xml:space="preserve"> M., García C., D., Biencinto, Ch., González, C. (2009). </w:t>
      </w:r>
      <w:r w:rsidRPr="008041A5">
        <w:rPr>
          <w:rStyle w:val="Hyperlink"/>
          <w:color w:val="000000" w:themeColor="text1"/>
          <w:sz w:val="18"/>
          <w:szCs w:val="18"/>
          <w:u w:val="none"/>
        </w:rPr>
        <w:t>De la exclusión a la inclusión: una forma de entender y atender la diversidad cultural en las instituciones escolares</w:t>
      </w:r>
      <w:r>
        <w:rPr>
          <w:rStyle w:val="Hyperlink"/>
          <w:color w:val="000000" w:themeColor="text1"/>
          <w:sz w:val="18"/>
          <w:szCs w:val="18"/>
          <w:u w:val="none"/>
        </w:rPr>
        <w:t xml:space="preserve">. </w:t>
      </w:r>
      <w:r w:rsidRPr="008041A5">
        <w:rPr>
          <w:rStyle w:val="Hyperlink"/>
          <w:color w:val="000000" w:themeColor="text1"/>
          <w:sz w:val="18"/>
          <w:szCs w:val="18"/>
          <w:u w:val="none"/>
        </w:rPr>
        <w:t>Rev. Psicopedagogía</w:t>
      </w:r>
      <w:r w:rsidR="00E302DD">
        <w:rPr>
          <w:rStyle w:val="Hyperlink"/>
          <w:color w:val="000000" w:themeColor="text1"/>
          <w:sz w:val="18"/>
          <w:szCs w:val="18"/>
          <w:u w:val="none"/>
        </w:rPr>
        <w:t>,</w:t>
      </w:r>
      <w:r w:rsidRPr="008041A5">
        <w:rPr>
          <w:rStyle w:val="Hyperlink"/>
          <w:color w:val="000000" w:themeColor="text1"/>
          <w:sz w:val="18"/>
          <w:szCs w:val="18"/>
          <w:u w:val="none"/>
        </w:rPr>
        <w:t xml:space="preserve"> 26(79): 108-23</w:t>
      </w:r>
      <w:r w:rsidR="00E302DD">
        <w:rPr>
          <w:rStyle w:val="Hyperlink"/>
          <w:color w:val="000000" w:themeColor="text1"/>
          <w:sz w:val="18"/>
          <w:szCs w:val="18"/>
          <w:u w:val="none"/>
        </w:rPr>
        <w:t xml:space="preserve">. </w:t>
      </w:r>
      <w:hyperlink r:id="rId13" w:history="1">
        <w:r w:rsidR="00E302DD" w:rsidRPr="007151C0">
          <w:rPr>
            <w:rStyle w:val="Hyperlink"/>
            <w:sz w:val="18"/>
            <w:szCs w:val="18"/>
          </w:rPr>
          <w:t>http://www.revistapsicopedagogia.com.br/detalhes/273/de-la-exclusion-a-la-inclusion--una-forma-de-entender-y-atender-la-diversidad-cultural-en-las-instituciones-escolares</w:t>
        </w:r>
      </w:hyperlink>
    </w:p>
    <w:p w14:paraId="686019DE" w14:textId="359294C3" w:rsidR="00B27D62" w:rsidRPr="00B27D62" w:rsidRDefault="00B27D62" w:rsidP="006556EB">
      <w:pPr>
        <w:shd w:val="clear" w:color="auto" w:fill="FFFFFF"/>
        <w:ind w:left="0" w:hanging="2"/>
        <w:rPr>
          <w:color w:val="000000" w:themeColor="text1"/>
          <w:sz w:val="18"/>
          <w:szCs w:val="18"/>
        </w:rPr>
      </w:pPr>
      <w:r>
        <w:rPr>
          <w:rStyle w:val="Hyperlink"/>
          <w:color w:val="000000" w:themeColor="text1"/>
          <w:sz w:val="18"/>
          <w:szCs w:val="18"/>
          <w:u w:val="none"/>
        </w:rPr>
        <w:t>M</w:t>
      </w:r>
      <w:r w:rsidR="003E78C0" w:rsidRPr="00082003">
        <w:rPr>
          <w:sz w:val="18"/>
          <w:szCs w:val="18"/>
        </w:rPr>
        <w:t>inisterio de Educación</w:t>
      </w:r>
      <w:r w:rsidR="003E78C0" w:rsidRPr="008041A5">
        <w:rPr>
          <w:sz w:val="18"/>
          <w:szCs w:val="18"/>
        </w:rPr>
        <w:t xml:space="preserve">. Subsecretaría Educación Superior. (2021). Base de datos </w:t>
      </w:r>
      <w:r>
        <w:rPr>
          <w:sz w:val="18"/>
          <w:szCs w:val="18"/>
        </w:rPr>
        <w:t>universidades. [Archivo PDF].</w:t>
      </w:r>
      <w:r w:rsidRPr="00B27D62">
        <w:t xml:space="preserve"> </w:t>
      </w:r>
      <w:hyperlink r:id="rId14" w:history="1">
        <w:r w:rsidRPr="007151C0">
          <w:rPr>
            <w:rStyle w:val="Hyperlink"/>
            <w:sz w:val="18"/>
            <w:szCs w:val="18"/>
          </w:rPr>
          <w:t>https://brunner.cl/2021/09/retencion-de-primer-ano-en-el-sistema/</w:t>
        </w:r>
      </w:hyperlink>
    </w:p>
    <w:p w14:paraId="3A199E1E" w14:textId="46593365" w:rsidR="006556EB" w:rsidRDefault="008D2FD8" w:rsidP="006556EB">
      <w:pPr>
        <w:shd w:val="clear" w:color="auto" w:fill="FFFFFF"/>
        <w:ind w:left="0" w:hanging="2"/>
        <w:rPr>
          <w:sz w:val="18"/>
          <w:szCs w:val="18"/>
        </w:rPr>
      </w:pPr>
      <w:r w:rsidRPr="008041A5">
        <w:rPr>
          <w:sz w:val="18"/>
          <w:szCs w:val="18"/>
        </w:rPr>
        <w:t xml:space="preserve">Navarro, F., Aparicio, G., Montolío, E., Eiras, M., Galván, C., Moragas, F., </w:t>
      </w:r>
      <w:r w:rsidR="006556EB" w:rsidRPr="008041A5">
        <w:rPr>
          <w:sz w:val="18"/>
          <w:szCs w:val="18"/>
        </w:rPr>
        <w:t xml:space="preserve">Obregón, C., Pisano, A., Romagnoli, A. y </w:t>
      </w:r>
      <w:r w:rsidRPr="008041A5">
        <w:rPr>
          <w:sz w:val="18"/>
          <w:szCs w:val="18"/>
        </w:rPr>
        <w:t xml:space="preserve">Rusell, G. (2018). </w:t>
      </w:r>
      <w:r w:rsidRPr="008041A5">
        <w:rPr>
          <w:i/>
          <w:sz w:val="18"/>
          <w:szCs w:val="18"/>
        </w:rPr>
        <w:t>Manual de lectura, escritura y oralidad académicas para ingresantes a la universidad.</w:t>
      </w:r>
      <w:r w:rsidR="006556EB" w:rsidRPr="008041A5">
        <w:rPr>
          <w:sz w:val="18"/>
          <w:szCs w:val="18"/>
        </w:rPr>
        <w:t xml:space="preserve"> [Archivo PDF]. Editorial </w:t>
      </w:r>
      <w:r w:rsidRPr="008041A5">
        <w:rPr>
          <w:sz w:val="18"/>
          <w:szCs w:val="18"/>
        </w:rPr>
        <w:t>Universidad Nacional de Quilmes</w:t>
      </w:r>
      <w:r w:rsidR="00380755">
        <w:rPr>
          <w:sz w:val="18"/>
          <w:szCs w:val="18"/>
        </w:rPr>
        <w:t xml:space="preserve">. </w:t>
      </w:r>
      <w:hyperlink r:id="rId15" w:history="1">
        <w:r w:rsidR="00380755" w:rsidRPr="007151C0">
          <w:rPr>
            <w:rStyle w:val="Hyperlink"/>
            <w:sz w:val="18"/>
            <w:szCs w:val="18"/>
          </w:rPr>
          <w:t>https://academica.uncoma.edu.ar/wp-content/uploads/2022/07/01-Navarro-y-Aparicio-Manual-de-lectura-escritura-y-oralidad-academicas-para-ingresantes-a-la-universidad.pdf</w:t>
        </w:r>
      </w:hyperlink>
    </w:p>
    <w:p w14:paraId="06E39E4B" w14:textId="43696F84" w:rsidR="00F2521A" w:rsidRPr="008041A5" w:rsidRDefault="00F2521A" w:rsidP="00F2521A">
      <w:pPr>
        <w:shd w:val="clear" w:color="auto" w:fill="FFFFFF"/>
        <w:ind w:left="0" w:hanging="2"/>
        <w:rPr>
          <w:sz w:val="18"/>
          <w:szCs w:val="18"/>
        </w:rPr>
      </w:pPr>
      <w:r w:rsidRPr="00082003">
        <w:rPr>
          <w:sz w:val="18"/>
          <w:szCs w:val="18"/>
        </w:rPr>
        <w:t>Ramírez, L., y</w:t>
      </w:r>
      <w:r w:rsidRPr="008041A5">
        <w:rPr>
          <w:sz w:val="18"/>
          <w:szCs w:val="18"/>
        </w:rPr>
        <w:t xml:space="preserve"> Martín, J. (2018). </w:t>
      </w:r>
      <w:r w:rsidRPr="008041A5">
        <w:rPr>
          <w:i/>
          <w:sz w:val="18"/>
          <w:szCs w:val="18"/>
        </w:rPr>
        <w:t>Significado del Proceso de Inserción a la Vida Universitaria: Desde una Perspectiva de Aprendizaje como Práctica Social.</w:t>
      </w:r>
      <w:r w:rsidRPr="008041A5">
        <w:rPr>
          <w:sz w:val="18"/>
          <w:szCs w:val="18"/>
        </w:rPr>
        <w:t xml:space="preserve"> Revista Latinoamericana de Educación Inclusiva, 12(1), 149-162                                                   </w:t>
      </w:r>
      <w:hyperlink r:id="rId16" w:history="1">
        <w:r w:rsidRPr="008041A5">
          <w:rPr>
            <w:rStyle w:val="Hyperlink"/>
            <w:sz w:val="18"/>
            <w:szCs w:val="18"/>
          </w:rPr>
          <w:t>https://doi.org/10.4067/S0718-73782018000100010</w:t>
        </w:r>
      </w:hyperlink>
    </w:p>
    <w:p w14:paraId="78416D39" w14:textId="47C88B36" w:rsidR="00495879" w:rsidRPr="008041A5" w:rsidRDefault="006556EB" w:rsidP="00A9281C">
      <w:pPr>
        <w:shd w:val="clear" w:color="auto" w:fill="FFFFFF"/>
        <w:ind w:left="0" w:hanging="2"/>
        <w:rPr>
          <w:sz w:val="18"/>
          <w:szCs w:val="18"/>
        </w:rPr>
      </w:pPr>
      <w:r w:rsidRPr="008041A5">
        <w:rPr>
          <w:sz w:val="18"/>
          <w:szCs w:val="18"/>
        </w:rPr>
        <w:tab/>
      </w:r>
      <w:r w:rsidR="00495879" w:rsidRPr="00082003">
        <w:rPr>
          <w:sz w:val="18"/>
          <w:szCs w:val="18"/>
        </w:rPr>
        <w:t>Rodríguez-Saltos, E., Moya</w:t>
      </w:r>
      <w:r w:rsidR="00495879" w:rsidRPr="008041A5">
        <w:rPr>
          <w:sz w:val="18"/>
          <w:szCs w:val="18"/>
        </w:rPr>
        <w:t xml:space="preserve">-Martínez, M., y Rodríguez-Gámez, M. (2020). </w:t>
      </w:r>
      <w:r w:rsidR="00A9281C" w:rsidRPr="008041A5">
        <w:rPr>
          <w:i/>
          <w:sz w:val="18"/>
          <w:szCs w:val="18"/>
        </w:rPr>
        <w:t xml:space="preserve">Importancia de la </w:t>
      </w:r>
      <w:r w:rsidR="00495879" w:rsidRPr="008041A5">
        <w:rPr>
          <w:i/>
          <w:sz w:val="18"/>
          <w:szCs w:val="18"/>
        </w:rPr>
        <w:t>empatía docente-estudiante como estrategia para el desarrollo académico.</w:t>
      </w:r>
      <w:r w:rsidR="00495879" w:rsidRPr="008041A5">
        <w:rPr>
          <w:sz w:val="18"/>
          <w:szCs w:val="18"/>
        </w:rPr>
        <w:t xml:space="preserve"> Dom. Cien., Vol. </w:t>
      </w:r>
      <w:r w:rsidR="00495879" w:rsidRPr="008041A5">
        <w:rPr>
          <w:sz w:val="18"/>
          <w:szCs w:val="18"/>
        </w:rPr>
        <w:tab/>
        <w:t xml:space="preserve">6, núm. 2, Especial junio (pp. 23-50). </w:t>
      </w:r>
      <w:r w:rsidRPr="008041A5">
        <w:rPr>
          <w:sz w:val="18"/>
          <w:szCs w:val="18"/>
        </w:rPr>
        <w:tab/>
      </w:r>
      <w:r w:rsidRPr="008041A5">
        <w:rPr>
          <w:sz w:val="18"/>
          <w:szCs w:val="18"/>
        </w:rPr>
        <w:tab/>
      </w:r>
      <w:r w:rsidRPr="008041A5">
        <w:rPr>
          <w:sz w:val="18"/>
          <w:szCs w:val="18"/>
        </w:rPr>
        <w:tab/>
        <w:t xml:space="preserve">                  </w:t>
      </w:r>
      <w:r w:rsidR="00495879" w:rsidRPr="008041A5">
        <w:rPr>
          <w:sz w:val="18"/>
          <w:szCs w:val="18"/>
        </w:rPr>
        <w:t xml:space="preserve">DOI: </w:t>
      </w:r>
      <w:hyperlink r:id="rId17" w:history="1">
        <w:r w:rsidR="00495879" w:rsidRPr="008041A5">
          <w:rPr>
            <w:rStyle w:val="Hyperlink"/>
            <w:sz w:val="18"/>
            <w:szCs w:val="18"/>
          </w:rPr>
          <w:t>http://dx.doi.org/10.23857/dc.v6i3.1205</w:t>
        </w:r>
      </w:hyperlink>
    </w:p>
    <w:p w14:paraId="180D9318" w14:textId="64B90BA0" w:rsidR="00A9281C" w:rsidRDefault="00495879">
      <w:pPr>
        <w:shd w:val="clear" w:color="auto" w:fill="FFFFFF"/>
        <w:ind w:left="0" w:hanging="2"/>
        <w:rPr>
          <w:sz w:val="18"/>
          <w:szCs w:val="18"/>
        </w:rPr>
      </w:pPr>
      <w:r w:rsidRPr="00082003">
        <w:rPr>
          <w:sz w:val="18"/>
          <w:szCs w:val="18"/>
        </w:rPr>
        <w:t>Universidad Católica</w:t>
      </w:r>
      <w:r w:rsidRPr="008041A5">
        <w:rPr>
          <w:sz w:val="18"/>
          <w:szCs w:val="18"/>
        </w:rPr>
        <w:t xml:space="preserve"> del Maule. (2022). </w:t>
      </w:r>
      <w:r w:rsidRPr="008041A5">
        <w:rPr>
          <w:i/>
          <w:sz w:val="18"/>
          <w:szCs w:val="18"/>
        </w:rPr>
        <w:t>Planificaciones actividades de inducción y acogida.</w:t>
      </w:r>
      <w:r w:rsidR="00A9281C" w:rsidRPr="008041A5">
        <w:rPr>
          <w:sz w:val="18"/>
          <w:szCs w:val="18"/>
        </w:rPr>
        <w:t xml:space="preserve"> </w:t>
      </w:r>
      <w:r w:rsidR="00586003">
        <w:rPr>
          <w:sz w:val="18"/>
          <w:szCs w:val="18"/>
        </w:rPr>
        <w:t xml:space="preserve">Centro de Apoyo al Aprendizaje (CAP). </w:t>
      </w:r>
      <w:r w:rsidR="00586003" w:rsidRPr="00586003">
        <w:rPr>
          <w:sz w:val="18"/>
          <w:szCs w:val="18"/>
        </w:rPr>
        <w:t>[Archivo PDF].</w:t>
      </w:r>
    </w:p>
    <w:p w14:paraId="29FFE699" w14:textId="51AA2129" w:rsidR="00380755" w:rsidRDefault="00380755">
      <w:pPr>
        <w:shd w:val="clear" w:color="auto" w:fill="FFFFFF"/>
        <w:ind w:left="0" w:hanging="2"/>
        <w:rPr>
          <w:sz w:val="18"/>
          <w:szCs w:val="18"/>
        </w:rPr>
      </w:pPr>
    </w:p>
    <w:sectPr w:rsidR="00380755" w:rsidSect="00CE546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876C" w14:textId="77777777" w:rsidR="004C2CAD" w:rsidRDefault="004C2C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D981B7" w14:textId="77777777" w:rsidR="004C2CAD" w:rsidRDefault="004C2C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71F7F" w:rsidRDefault="00071F7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71F7F" w:rsidRDefault="00071F7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071F7F" w:rsidRDefault="00071F7F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071F7F" w:rsidRDefault="00071F7F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  <w:lang w:val="es-CL" w:eastAsia="es-CL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21C7" w14:textId="77777777" w:rsidR="004C2CAD" w:rsidRDefault="004C2C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6F5A67" w14:textId="77777777" w:rsidR="004C2CAD" w:rsidRDefault="004C2C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71F7F" w:rsidRDefault="00071F7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071F7F" w:rsidRDefault="00071F7F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071F7F" w:rsidRPr="007E5704" w:rsidRDefault="00071F7F" w:rsidP="002839EF">
    <w:pPr>
      <w:pStyle w:val="Cabealho"/>
      <w:ind w:leftChars="0" w:left="0" w:firstLineChars="0" w:firstLine="0"/>
    </w:pPr>
    <w:r w:rsidRPr="002839EF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21F21F"/>
    <w:multiLevelType w:val="hybridMultilevel"/>
    <w:tmpl w:val="701CB1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49175054">
    <w:abstractNumId w:val="0"/>
  </w:num>
  <w:num w:numId="2" w16cid:durableId="44585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04DD1"/>
    <w:rsid w:val="00006E9D"/>
    <w:rsid w:val="000119FA"/>
    <w:rsid w:val="00012010"/>
    <w:rsid w:val="0002308D"/>
    <w:rsid w:val="00024F4D"/>
    <w:rsid w:val="00030D37"/>
    <w:rsid w:val="00045231"/>
    <w:rsid w:val="00052D05"/>
    <w:rsid w:val="00061A5E"/>
    <w:rsid w:val="00070209"/>
    <w:rsid w:val="00071F7F"/>
    <w:rsid w:val="00082003"/>
    <w:rsid w:val="00095234"/>
    <w:rsid w:val="000A02EB"/>
    <w:rsid w:val="000A1971"/>
    <w:rsid w:val="000A694A"/>
    <w:rsid w:val="000B141B"/>
    <w:rsid w:val="000C38F7"/>
    <w:rsid w:val="000E0206"/>
    <w:rsid w:val="000E6812"/>
    <w:rsid w:val="000F3190"/>
    <w:rsid w:val="001065D2"/>
    <w:rsid w:val="001159DF"/>
    <w:rsid w:val="00125640"/>
    <w:rsid w:val="00130471"/>
    <w:rsid w:val="00144381"/>
    <w:rsid w:val="00156A5E"/>
    <w:rsid w:val="00162B97"/>
    <w:rsid w:val="00176A12"/>
    <w:rsid w:val="00177CB2"/>
    <w:rsid w:val="0018335A"/>
    <w:rsid w:val="001843C4"/>
    <w:rsid w:val="001906E8"/>
    <w:rsid w:val="00192851"/>
    <w:rsid w:val="00192D89"/>
    <w:rsid w:val="001967A4"/>
    <w:rsid w:val="001A01A4"/>
    <w:rsid w:val="001C42AD"/>
    <w:rsid w:val="001C5536"/>
    <w:rsid w:val="001D1AA6"/>
    <w:rsid w:val="001D4DB4"/>
    <w:rsid w:val="001E1D7E"/>
    <w:rsid w:val="001E4345"/>
    <w:rsid w:val="001E7DA8"/>
    <w:rsid w:val="001F6EA3"/>
    <w:rsid w:val="00205008"/>
    <w:rsid w:val="00206460"/>
    <w:rsid w:val="00207294"/>
    <w:rsid w:val="002077E7"/>
    <w:rsid w:val="002133BC"/>
    <w:rsid w:val="00222565"/>
    <w:rsid w:val="002256AA"/>
    <w:rsid w:val="002264D8"/>
    <w:rsid w:val="002402B1"/>
    <w:rsid w:val="0024084B"/>
    <w:rsid w:val="00243D2B"/>
    <w:rsid w:val="0025589A"/>
    <w:rsid w:val="00257768"/>
    <w:rsid w:val="00263917"/>
    <w:rsid w:val="00265E02"/>
    <w:rsid w:val="002839EF"/>
    <w:rsid w:val="00283B54"/>
    <w:rsid w:val="002843B7"/>
    <w:rsid w:val="002904E3"/>
    <w:rsid w:val="00291E82"/>
    <w:rsid w:val="00292FAC"/>
    <w:rsid w:val="002B3F7C"/>
    <w:rsid w:val="002B4E7F"/>
    <w:rsid w:val="002C0596"/>
    <w:rsid w:val="002E2B76"/>
    <w:rsid w:val="002F2D75"/>
    <w:rsid w:val="002F7300"/>
    <w:rsid w:val="003055ED"/>
    <w:rsid w:val="003130DD"/>
    <w:rsid w:val="003141EA"/>
    <w:rsid w:val="003145BC"/>
    <w:rsid w:val="003303D5"/>
    <w:rsid w:val="00331C82"/>
    <w:rsid w:val="00333855"/>
    <w:rsid w:val="00333CA4"/>
    <w:rsid w:val="00344C30"/>
    <w:rsid w:val="00357C64"/>
    <w:rsid w:val="003714A7"/>
    <w:rsid w:val="0037218A"/>
    <w:rsid w:val="00380755"/>
    <w:rsid w:val="0038720A"/>
    <w:rsid w:val="003906C1"/>
    <w:rsid w:val="003A15CC"/>
    <w:rsid w:val="003A5E80"/>
    <w:rsid w:val="003B7842"/>
    <w:rsid w:val="003C0506"/>
    <w:rsid w:val="003C7757"/>
    <w:rsid w:val="003E26E4"/>
    <w:rsid w:val="003E5449"/>
    <w:rsid w:val="003E78C0"/>
    <w:rsid w:val="003F297F"/>
    <w:rsid w:val="003F390A"/>
    <w:rsid w:val="003F5199"/>
    <w:rsid w:val="00403645"/>
    <w:rsid w:val="004050E5"/>
    <w:rsid w:val="00410D8F"/>
    <w:rsid w:val="00417BA5"/>
    <w:rsid w:val="00425A3F"/>
    <w:rsid w:val="0043735D"/>
    <w:rsid w:val="00437BD6"/>
    <w:rsid w:val="00441633"/>
    <w:rsid w:val="00445713"/>
    <w:rsid w:val="00447D76"/>
    <w:rsid w:val="00450B72"/>
    <w:rsid w:val="00451A5F"/>
    <w:rsid w:val="00454ED6"/>
    <w:rsid w:val="00470D44"/>
    <w:rsid w:val="004779D3"/>
    <w:rsid w:val="00491445"/>
    <w:rsid w:val="00494B0E"/>
    <w:rsid w:val="00495879"/>
    <w:rsid w:val="004A7866"/>
    <w:rsid w:val="004B2B28"/>
    <w:rsid w:val="004C13D5"/>
    <w:rsid w:val="004C16E1"/>
    <w:rsid w:val="004C2CAD"/>
    <w:rsid w:val="004C2CC8"/>
    <w:rsid w:val="004D293A"/>
    <w:rsid w:val="004E0178"/>
    <w:rsid w:val="004E141D"/>
    <w:rsid w:val="004E38A0"/>
    <w:rsid w:val="004E753C"/>
    <w:rsid w:val="00500E88"/>
    <w:rsid w:val="0050464E"/>
    <w:rsid w:val="0051635A"/>
    <w:rsid w:val="00542AA2"/>
    <w:rsid w:val="005513AF"/>
    <w:rsid w:val="00553B8E"/>
    <w:rsid w:val="005621EC"/>
    <w:rsid w:val="00573E5A"/>
    <w:rsid w:val="00577B47"/>
    <w:rsid w:val="00586003"/>
    <w:rsid w:val="005A0698"/>
    <w:rsid w:val="005A0DAB"/>
    <w:rsid w:val="005A5319"/>
    <w:rsid w:val="005C4A38"/>
    <w:rsid w:val="005D7E0E"/>
    <w:rsid w:val="005E04E8"/>
    <w:rsid w:val="005E1B1A"/>
    <w:rsid w:val="005E73F6"/>
    <w:rsid w:val="005F040C"/>
    <w:rsid w:val="005F1593"/>
    <w:rsid w:val="0060066F"/>
    <w:rsid w:val="00607831"/>
    <w:rsid w:val="00610BD3"/>
    <w:rsid w:val="00611BF5"/>
    <w:rsid w:val="006215AA"/>
    <w:rsid w:val="00623E74"/>
    <w:rsid w:val="00626993"/>
    <w:rsid w:val="00631764"/>
    <w:rsid w:val="00637AA3"/>
    <w:rsid w:val="0064297C"/>
    <w:rsid w:val="00644B28"/>
    <w:rsid w:val="006527DF"/>
    <w:rsid w:val="00653343"/>
    <w:rsid w:val="006556EB"/>
    <w:rsid w:val="006700F3"/>
    <w:rsid w:val="0067593C"/>
    <w:rsid w:val="0067790F"/>
    <w:rsid w:val="00687B1E"/>
    <w:rsid w:val="0069080C"/>
    <w:rsid w:val="006A044E"/>
    <w:rsid w:val="006A093A"/>
    <w:rsid w:val="006A39C8"/>
    <w:rsid w:val="006A3CED"/>
    <w:rsid w:val="006A5979"/>
    <w:rsid w:val="006A66E8"/>
    <w:rsid w:val="006C0437"/>
    <w:rsid w:val="006C5DAD"/>
    <w:rsid w:val="006C7EE8"/>
    <w:rsid w:val="006E69AF"/>
    <w:rsid w:val="006E719B"/>
    <w:rsid w:val="007101C4"/>
    <w:rsid w:val="00711FB7"/>
    <w:rsid w:val="00714896"/>
    <w:rsid w:val="007207A3"/>
    <w:rsid w:val="00725390"/>
    <w:rsid w:val="007261B7"/>
    <w:rsid w:val="007329EC"/>
    <w:rsid w:val="00733BFC"/>
    <w:rsid w:val="00740E50"/>
    <w:rsid w:val="00740E77"/>
    <w:rsid w:val="00741840"/>
    <w:rsid w:val="00744A78"/>
    <w:rsid w:val="00753D64"/>
    <w:rsid w:val="00755019"/>
    <w:rsid w:val="007640C5"/>
    <w:rsid w:val="00765795"/>
    <w:rsid w:val="007709D5"/>
    <w:rsid w:val="007777FB"/>
    <w:rsid w:val="00785002"/>
    <w:rsid w:val="00793C4B"/>
    <w:rsid w:val="00794718"/>
    <w:rsid w:val="007A1C9D"/>
    <w:rsid w:val="007A670A"/>
    <w:rsid w:val="007A729E"/>
    <w:rsid w:val="007B05E5"/>
    <w:rsid w:val="007B47DD"/>
    <w:rsid w:val="007B5856"/>
    <w:rsid w:val="007C25AD"/>
    <w:rsid w:val="007D490D"/>
    <w:rsid w:val="007D650B"/>
    <w:rsid w:val="007E5704"/>
    <w:rsid w:val="007F0482"/>
    <w:rsid w:val="008041A5"/>
    <w:rsid w:val="008071CF"/>
    <w:rsid w:val="008106BD"/>
    <w:rsid w:val="008155FD"/>
    <w:rsid w:val="008310F0"/>
    <w:rsid w:val="00831900"/>
    <w:rsid w:val="008330B6"/>
    <w:rsid w:val="00835645"/>
    <w:rsid w:val="00837D2C"/>
    <w:rsid w:val="00857248"/>
    <w:rsid w:val="00857817"/>
    <w:rsid w:val="00860B01"/>
    <w:rsid w:val="00866A5E"/>
    <w:rsid w:val="00870C59"/>
    <w:rsid w:val="00885037"/>
    <w:rsid w:val="008874DE"/>
    <w:rsid w:val="00887FF8"/>
    <w:rsid w:val="0089041E"/>
    <w:rsid w:val="00893E6F"/>
    <w:rsid w:val="0089507B"/>
    <w:rsid w:val="008A400E"/>
    <w:rsid w:val="008B53E7"/>
    <w:rsid w:val="008B7F00"/>
    <w:rsid w:val="008C4D3D"/>
    <w:rsid w:val="008C71A6"/>
    <w:rsid w:val="008D2FD8"/>
    <w:rsid w:val="008D3E01"/>
    <w:rsid w:val="008D4EBE"/>
    <w:rsid w:val="008E0BA9"/>
    <w:rsid w:val="008E2CB8"/>
    <w:rsid w:val="008E64EC"/>
    <w:rsid w:val="008F0813"/>
    <w:rsid w:val="00904DB9"/>
    <w:rsid w:val="0090682F"/>
    <w:rsid w:val="00911626"/>
    <w:rsid w:val="009326DB"/>
    <w:rsid w:val="0094277E"/>
    <w:rsid w:val="0094336C"/>
    <w:rsid w:val="00965583"/>
    <w:rsid w:val="00980F8D"/>
    <w:rsid w:val="0098620C"/>
    <w:rsid w:val="00986522"/>
    <w:rsid w:val="00991F33"/>
    <w:rsid w:val="009A4589"/>
    <w:rsid w:val="009A7DDB"/>
    <w:rsid w:val="009B196F"/>
    <w:rsid w:val="009B63C5"/>
    <w:rsid w:val="009C0082"/>
    <w:rsid w:val="009C3E2D"/>
    <w:rsid w:val="009D31F5"/>
    <w:rsid w:val="009E01B6"/>
    <w:rsid w:val="009E3158"/>
    <w:rsid w:val="009E5643"/>
    <w:rsid w:val="009F026A"/>
    <w:rsid w:val="009F384A"/>
    <w:rsid w:val="009F431F"/>
    <w:rsid w:val="009F5854"/>
    <w:rsid w:val="00A03E9D"/>
    <w:rsid w:val="00A12C2A"/>
    <w:rsid w:val="00A21A9E"/>
    <w:rsid w:val="00A24183"/>
    <w:rsid w:val="00A250A2"/>
    <w:rsid w:val="00A336CB"/>
    <w:rsid w:val="00A3639E"/>
    <w:rsid w:val="00A40FFC"/>
    <w:rsid w:val="00A70D09"/>
    <w:rsid w:val="00A827FD"/>
    <w:rsid w:val="00A83462"/>
    <w:rsid w:val="00A9281C"/>
    <w:rsid w:val="00AB3198"/>
    <w:rsid w:val="00AB3BAB"/>
    <w:rsid w:val="00AC4247"/>
    <w:rsid w:val="00AC65F7"/>
    <w:rsid w:val="00AD353A"/>
    <w:rsid w:val="00AD4989"/>
    <w:rsid w:val="00AE5227"/>
    <w:rsid w:val="00AF5E0D"/>
    <w:rsid w:val="00AF7275"/>
    <w:rsid w:val="00B06788"/>
    <w:rsid w:val="00B20143"/>
    <w:rsid w:val="00B2530A"/>
    <w:rsid w:val="00B253C4"/>
    <w:rsid w:val="00B27D62"/>
    <w:rsid w:val="00B32F3B"/>
    <w:rsid w:val="00B464FD"/>
    <w:rsid w:val="00B47D5F"/>
    <w:rsid w:val="00B50DF1"/>
    <w:rsid w:val="00B520A2"/>
    <w:rsid w:val="00B66D23"/>
    <w:rsid w:val="00B670AA"/>
    <w:rsid w:val="00B84D75"/>
    <w:rsid w:val="00B9574F"/>
    <w:rsid w:val="00BA080B"/>
    <w:rsid w:val="00BB0081"/>
    <w:rsid w:val="00BB5F85"/>
    <w:rsid w:val="00BD04DB"/>
    <w:rsid w:val="00BD2133"/>
    <w:rsid w:val="00BD7BAE"/>
    <w:rsid w:val="00BE56AD"/>
    <w:rsid w:val="00BE73C7"/>
    <w:rsid w:val="00C031B5"/>
    <w:rsid w:val="00C0786F"/>
    <w:rsid w:val="00C14176"/>
    <w:rsid w:val="00C26019"/>
    <w:rsid w:val="00C31E47"/>
    <w:rsid w:val="00C3293B"/>
    <w:rsid w:val="00C47300"/>
    <w:rsid w:val="00C47C76"/>
    <w:rsid w:val="00C5398D"/>
    <w:rsid w:val="00C635AC"/>
    <w:rsid w:val="00C637C2"/>
    <w:rsid w:val="00C719AB"/>
    <w:rsid w:val="00C76FF9"/>
    <w:rsid w:val="00C831B4"/>
    <w:rsid w:val="00C950AB"/>
    <w:rsid w:val="00CB3206"/>
    <w:rsid w:val="00CB4D11"/>
    <w:rsid w:val="00CC01C4"/>
    <w:rsid w:val="00CC236D"/>
    <w:rsid w:val="00CD0EFD"/>
    <w:rsid w:val="00CE13A6"/>
    <w:rsid w:val="00CE2355"/>
    <w:rsid w:val="00CE5466"/>
    <w:rsid w:val="00CE564B"/>
    <w:rsid w:val="00CE7F3E"/>
    <w:rsid w:val="00CF39E4"/>
    <w:rsid w:val="00D002E7"/>
    <w:rsid w:val="00D063FC"/>
    <w:rsid w:val="00D17106"/>
    <w:rsid w:val="00D253BF"/>
    <w:rsid w:val="00D32CCC"/>
    <w:rsid w:val="00D33857"/>
    <w:rsid w:val="00D41AA3"/>
    <w:rsid w:val="00D46D75"/>
    <w:rsid w:val="00D473B2"/>
    <w:rsid w:val="00D502BB"/>
    <w:rsid w:val="00D51882"/>
    <w:rsid w:val="00D56CCE"/>
    <w:rsid w:val="00D602BB"/>
    <w:rsid w:val="00D63D53"/>
    <w:rsid w:val="00D6431B"/>
    <w:rsid w:val="00D710D6"/>
    <w:rsid w:val="00D726E5"/>
    <w:rsid w:val="00D73803"/>
    <w:rsid w:val="00D7432E"/>
    <w:rsid w:val="00D843A7"/>
    <w:rsid w:val="00D95722"/>
    <w:rsid w:val="00DA00FE"/>
    <w:rsid w:val="00DA0DA7"/>
    <w:rsid w:val="00DA39DD"/>
    <w:rsid w:val="00DB4B7C"/>
    <w:rsid w:val="00DC55EB"/>
    <w:rsid w:val="00DD19C3"/>
    <w:rsid w:val="00DF229D"/>
    <w:rsid w:val="00DF3DCE"/>
    <w:rsid w:val="00DF7C62"/>
    <w:rsid w:val="00E00BE4"/>
    <w:rsid w:val="00E013C8"/>
    <w:rsid w:val="00E14868"/>
    <w:rsid w:val="00E21BFE"/>
    <w:rsid w:val="00E302DD"/>
    <w:rsid w:val="00E33626"/>
    <w:rsid w:val="00E355A5"/>
    <w:rsid w:val="00E403D2"/>
    <w:rsid w:val="00E41ABC"/>
    <w:rsid w:val="00E43646"/>
    <w:rsid w:val="00E61A31"/>
    <w:rsid w:val="00E654D0"/>
    <w:rsid w:val="00E656A5"/>
    <w:rsid w:val="00E65BCC"/>
    <w:rsid w:val="00E67553"/>
    <w:rsid w:val="00E67BEC"/>
    <w:rsid w:val="00E73648"/>
    <w:rsid w:val="00E85140"/>
    <w:rsid w:val="00E87CF6"/>
    <w:rsid w:val="00EA357D"/>
    <w:rsid w:val="00EA4A61"/>
    <w:rsid w:val="00EC7A47"/>
    <w:rsid w:val="00ED41D1"/>
    <w:rsid w:val="00ED461F"/>
    <w:rsid w:val="00EF08CD"/>
    <w:rsid w:val="00EF610E"/>
    <w:rsid w:val="00F111A4"/>
    <w:rsid w:val="00F20354"/>
    <w:rsid w:val="00F239E1"/>
    <w:rsid w:val="00F2417C"/>
    <w:rsid w:val="00F24534"/>
    <w:rsid w:val="00F2521A"/>
    <w:rsid w:val="00F278BF"/>
    <w:rsid w:val="00F32333"/>
    <w:rsid w:val="00F62A76"/>
    <w:rsid w:val="00F63F42"/>
    <w:rsid w:val="00F71E95"/>
    <w:rsid w:val="00F74666"/>
    <w:rsid w:val="00F854BF"/>
    <w:rsid w:val="00F90002"/>
    <w:rsid w:val="00F91CBB"/>
    <w:rsid w:val="00F93AE3"/>
    <w:rsid w:val="00F94BA3"/>
    <w:rsid w:val="00FB599F"/>
    <w:rsid w:val="00FD0E43"/>
    <w:rsid w:val="00FF0C37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1">
    <w:name w:val="Tabla de cuadrícula 1 clara1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1">
    <w:name w:val="Tabla de cuadrícula 1 clara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1">
    <w:name w:val="Tabla de cuadrícula 1 Claro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1">
    <w:name w:val="Tabla de cuadrícula 1 clara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1">
    <w:name w:val="Tabla de cuadrícula 1 clara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1">
    <w:name w:val="Tabla de cuadrícula 1 clara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1">
    <w:name w:val="Tabla de cuadrícula 1 clara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1">
    <w:name w:val="Tabla de cuadrícula 2 - Énfasis 1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1">
    <w:name w:val="Tabla de cuadrícula 2 - Énfasis 21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1">
    <w:name w:val="Tabla de cuadrícula 2 - Énfasis 31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1">
    <w:name w:val="Tabla de cuadrícula 2 - Énfasis 41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1">
    <w:name w:val="Tabla de cuadrícula 2 - Énfasis 51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1">
    <w:name w:val="Tabla de cuadrícula 2 - Énfasis 61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1">
    <w:name w:val="Tabla de cuadrícul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1">
    <w:name w:val="Tabla de cuadrícul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1">
    <w:name w:val="Tabla de cuadrícul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1">
    <w:name w:val="Tabla de cuadrícul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1">
    <w:name w:val="Tabla de cuadrícul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1">
    <w:name w:val="Tabla de cuadrícul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1">
    <w:name w:val="Tabla de cuadrícul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1">
    <w:name w:val="Tabla de cuadrícul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1">
    <w:name w:val="Tabla de cuadrícul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1">
    <w:name w:val="Tabla de cuadrícul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1">
    <w:name w:val="Tabla de cuadrícul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1">
    <w:name w:val="Tabla de cuadrícul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1">
    <w:name w:val="Tabla de cuadrícula 5 oscura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1">
    <w:name w:val="Tabla de cuadrícula 5 oscura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1">
    <w:name w:val="Tabla de cuadrícula 5 oscura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1">
    <w:name w:val="Tabla de cuadrícula 5 oscura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1">
    <w:name w:val="Tabla de cuadrícula 5 oscura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1">
    <w:name w:val="Tabla de cuadrícula 5 oscura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1">
    <w:name w:val="Tabla de cuadrícula 5 oscura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1">
    <w:name w:val="Tabla de cuadrícul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1">
    <w:name w:val="Tabla de cuadrícul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1">
    <w:name w:val="Tabla de cuadrícul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1">
    <w:name w:val="Tabla de cuadrícul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1">
    <w:name w:val="Tabla de cuadrícul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1">
    <w:name w:val="Tabla de cuadrícul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1">
    <w:name w:val="Tabla de cuadrícul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1">
    <w:name w:val="Tabla de cuadrícula 7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1">
    <w:name w:val="Tabla de cuadrícul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1">
    <w:name w:val="Tabla de cuadrícul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1">
    <w:name w:val="Tabla de cuadrícul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1">
    <w:name w:val="Tabla de cuadrícul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1">
    <w:name w:val="Tabla de cuadrícul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1">
    <w:name w:val="Tabla de cuadrícul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1">
    <w:name w:val="Tabla con cuadrícula 21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1">
    <w:name w:val="Tabla con cuadrícula 31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1">
    <w:name w:val="Tabla con cuadrícula 41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1">
    <w:name w:val="Cuadrícula de tabla clara1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336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36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3626"/>
    <w:rPr>
      <w:position w:val="-1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36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626"/>
    <w:rPr>
      <w:b/>
      <w:bCs/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AF5E0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5E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15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2">
    <w:name w:val="Tabla normal 22"/>
    <w:basedOn w:val="Tabelanormal"/>
    <w:next w:val="SimplesTabela2"/>
    <w:uiPriority w:val="42"/>
    <w:rsid w:val="008310F0"/>
    <w:pPr>
      <w:spacing w:after="0"/>
      <w:jc w:val="left"/>
    </w:pPr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SimplesTabela2">
    <w:name w:val="Plain Table 2"/>
    <w:basedOn w:val="Tabelanormal"/>
    <w:uiPriority w:val="42"/>
    <w:rsid w:val="008310F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23">
    <w:name w:val="Tabla normal 23"/>
    <w:basedOn w:val="Tabelanormal"/>
    <w:next w:val="SimplesTabela2"/>
    <w:uiPriority w:val="42"/>
    <w:rsid w:val="002C0596"/>
    <w:pPr>
      <w:spacing w:after="0"/>
      <w:jc w:val="left"/>
    </w:pPr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4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381"/>
    <w:rPr>
      <w:rFonts w:ascii="Segoe UI" w:hAnsi="Segoe UI" w:cs="Segoe UI"/>
      <w:position w:val="-1"/>
      <w:sz w:val="18"/>
      <w:szCs w:val="18"/>
      <w:lang w:eastAsia="es-ES"/>
    </w:rPr>
  </w:style>
  <w:style w:type="character" w:styleId="HiperlinkVisitado">
    <w:name w:val="FollowedHyperlink"/>
    <w:basedOn w:val="Fontepargpadro"/>
    <w:uiPriority w:val="99"/>
    <w:semiHidden/>
    <w:unhideWhenUsed/>
    <w:rsid w:val="00061A5E"/>
    <w:rPr>
      <w:color w:val="800080" w:themeColor="followedHyperlink"/>
      <w:u w:val="single"/>
    </w:rPr>
  </w:style>
  <w:style w:type="table" w:customStyle="1" w:styleId="Tablanormal24">
    <w:name w:val="Tabla normal 24"/>
    <w:basedOn w:val="Tabelanormal"/>
    <w:next w:val="SimplesTabela2"/>
    <w:uiPriority w:val="42"/>
    <w:rsid w:val="00C031B5"/>
    <w:pPr>
      <w:spacing w:after="0"/>
      <w:jc w:val="left"/>
    </w:pPr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5">
    <w:name w:val="Tabla normal 25"/>
    <w:basedOn w:val="Tabelanormal"/>
    <w:next w:val="SimplesTabela2"/>
    <w:uiPriority w:val="42"/>
    <w:rsid w:val="00986522"/>
    <w:pPr>
      <w:spacing w:after="0"/>
      <w:jc w:val="left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vistapsicopedagogia.com.br/detalhes/273/de-la-exclusion-a-la-inclusion--una-forma-de-entender-y-atender-la-diversidad-cultural-en-las-instituciones-escolar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luisedogonzalez.cl/pdf/2015/2015-01.pdf" TargetMode="External"/><Relationship Id="rId17" Type="http://schemas.openxmlformats.org/officeDocument/2006/relationships/hyperlink" Target="http://dx.doi.org/10.23857/dc.v6i3.120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067/S0718-7378201800010001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arrera@ucm.c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cademica.uncoma.edu.ar/wp-content/uploads/2022/07/01-Navarro-y-Aparicio-Manual-de-lectura-escritura-y-oralidad-academicas-para-ingresantes-a-la-universidad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unner.cl/2021/09/retencion-de-primer-ano-en-el-sistema/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055C90393AF4EB4788E1E3BD42CE0" ma:contentTypeVersion="14" ma:contentTypeDescription="Crear nuevo documento." ma:contentTypeScope="" ma:versionID="c5727a72158b036d6cb7fa65c51dca7a">
  <xsd:schema xmlns:xsd="http://www.w3.org/2001/XMLSchema" xmlns:xs="http://www.w3.org/2001/XMLSchema" xmlns:p="http://schemas.microsoft.com/office/2006/metadata/properties" xmlns:ns3="86d52fa8-24c1-41c8-bfae-30a95f876dca" xmlns:ns4="817a5ee1-3368-41b4-8162-960cb687dbf5" targetNamespace="http://schemas.microsoft.com/office/2006/metadata/properties" ma:root="true" ma:fieldsID="7cb6a59f27cc81c4915cd678195fa4df" ns3:_="" ns4:_="">
    <xsd:import namespace="86d52fa8-24c1-41c8-bfae-30a95f876dca"/>
    <xsd:import namespace="817a5ee1-3368-41b4-8162-960cb687d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52fa8-24c1-41c8-bfae-30a95f87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5ee1-3368-41b4-8162-960cb687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74821EB5-3428-41B3-9B88-914FF2A7F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054EE-9DD7-4139-BA18-F50DFD5A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533BE-4A50-4D20-A534-50DFD5B6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52fa8-24c1-41c8-bfae-30a95f876dca"/>
    <ds:schemaRef ds:uri="817a5ee1-3368-41b4-8162-960cb687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3967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4</cp:revision>
  <dcterms:created xsi:type="dcterms:W3CDTF">2022-10-25T01:05:00Z</dcterms:created>
  <dcterms:modified xsi:type="dcterms:W3CDTF">2022-10-28T21:05:00Z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0x010100D50055C90393AF4EB4788E1E3BD42CE0</vt:lpwstr>
  </property>
</Properties>
</file>