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2153" w14:textId="77777777" w:rsidR="00B004A8" w:rsidRDefault="00000000">
      <w:pPr>
        <w:widowControl/>
        <w:jc w:val="center"/>
        <w:rPr>
          <w:b/>
          <w:sz w:val="20"/>
          <w:szCs w:val="20"/>
        </w:rPr>
      </w:pPr>
      <w:r>
        <w:rPr>
          <w:b/>
          <w:sz w:val="20"/>
          <w:szCs w:val="20"/>
        </w:rPr>
        <w:t xml:space="preserve">INFLUÊNCIA DOS EXTRATOS DOS RESÍDUOS DA NOZ MACADÂMIA NO CRESCIMENTO </w:t>
      </w:r>
      <w:r>
        <w:rPr>
          <w:b/>
          <w:i/>
          <w:sz w:val="20"/>
          <w:szCs w:val="20"/>
        </w:rPr>
        <w:t>IN VITRO</w:t>
      </w:r>
      <w:r>
        <w:rPr>
          <w:b/>
          <w:sz w:val="20"/>
          <w:szCs w:val="20"/>
        </w:rPr>
        <w:t xml:space="preserve"> DE PLANTAS DE </w:t>
      </w:r>
      <w:proofErr w:type="spellStart"/>
      <w:r>
        <w:rPr>
          <w:b/>
          <w:i/>
          <w:sz w:val="20"/>
          <w:szCs w:val="20"/>
        </w:rPr>
        <w:t>Adenanthera</w:t>
      </w:r>
      <w:proofErr w:type="spellEnd"/>
      <w:r>
        <w:rPr>
          <w:b/>
          <w:i/>
          <w:sz w:val="20"/>
          <w:szCs w:val="20"/>
        </w:rPr>
        <w:t xml:space="preserve"> </w:t>
      </w:r>
      <w:proofErr w:type="spellStart"/>
      <w:r>
        <w:rPr>
          <w:b/>
          <w:i/>
          <w:sz w:val="20"/>
          <w:szCs w:val="20"/>
        </w:rPr>
        <w:t>pavonina</w:t>
      </w:r>
      <w:proofErr w:type="spellEnd"/>
      <w:r>
        <w:rPr>
          <w:b/>
          <w:sz w:val="20"/>
          <w:szCs w:val="20"/>
        </w:rPr>
        <w:t xml:space="preserve"> </w:t>
      </w:r>
    </w:p>
    <w:p w14:paraId="7D5C2EC9" w14:textId="77777777" w:rsidR="00B004A8" w:rsidRDefault="00B004A8">
      <w:pPr>
        <w:widowControl/>
        <w:jc w:val="center"/>
        <w:rPr>
          <w:b/>
          <w:sz w:val="24"/>
          <w:szCs w:val="24"/>
        </w:rPr>
      </w:pPr>
      <w:bookmarkStart w:id="0" w:name="_heading=h.gjdgxs" w:colFirst="0" w:colLast="0"/>
      <w:bookmarkEnd w:id="0"/>
    </w:p>
    <w:p w14:paraId="547BD9B7" w14:textId="77777777" w:rsidR="00B004A8" w:rsidRDefault="00000000">
      <w:pPr>
        <w:spacing w:line="276" w:lineRule="auto"/>
        <w:ind w:left="221" w:right="214"/>
        <w:jc w:val="center"/>
        <w:rPr>
          <w:b/>
          <w:sz w:val="20"/>
          <w:szCs w:val="20"/>
        </w:rPr>
      </w:pPr>
      <w:r>
        <w:rPr>
          <w:b/>
          <w:sz w:val="20"/>
          <w:szCs w:val="20"/>
        </w:rPr>
        <w:t>Ana Beatriz Cardoso de Sousa</w:t>
      </w:r>
      <w:r>
        <w:rPr>
          <w:b/>
          <w:sz w:val="20"/>
          <w:szCs w:val="20"/>
          <w:vertAlign w:val="superscript"/>
        </w:rPr>
        <w:t>1</w:t>
      </w:r>
      <w:r>
        <w:rPr>
          <w:b/>
          <w:sz w:val="20"/>
          <w:szCs w:val="20"/>
        </w:rPr>
        <w:t>, Natália Dias de Souza</w:t>
      </w:r>
      <w:r>
        <w:rPr>
          <w:b/>
          <w:sz w:val="20"/>
          <w:szCs w:val="20"/>
          <w:vertAlign w:val="superscript"/>
        </w:rPr>
        <w:t>2</w:t>
      </w:r>
      <w:r>
        <w:rPr>
          <w:b/>
          <w:sz w:val="20"/>
          <w:szCs w:val="20"/>
        </w:rPr>
        <w:t>, Claudio Domingos da Silva</w:t>
      </w:r>
      <w:r>
        <w:rPr>
          <w:b/>
          <w:sz w:val="20"/>
          <w:szCs w:val="20"/>
          <w:vertAlign w:val="superscript"/>
        </w:rPr>
        <w:t>3</w:t>
      </w:r>
      <w:r>
        <w:rPr>
          <w:b/>
          <w:sz w:val="20"/>
          <w:szCs w:val="20"/>
        </w:rPr>
        <w:t xml:space="preserve">, </w:t>
      </w:r>
      <w:proofErr w:type="spellStart"/>
      <w:r>
        <w:rPr>
          <w:b/>
          <w:sz w:val="20"/>
          <w:szCs w:val="20"/>
        </w:rPr>
        <w:t>Natane</w:t>
      </w:r>
      <w:proofErr w:type="spellEnd"/>
      <w:r>
        <w:rPr>
          <w:b/>
          <w:sz w:val="20"/>
          <w:szCs w:val="20"/>
        </w:rPr>
        <w:t xml:space="preserve"> Amaral Miranda Padua</w:t>
      </w:r>
      <w:r>
        <w:rPr>
          <w:b/>
          <w:sz w:val="20"/>
          <w:szCs w:val="20"/>
          <w:vertAlign w:val="superscript"/>
        </w:rPr>
        <w:t>4</w:t>
      </w:r>
      <w:r>
        <w:rPr>
          <w:b/>
          <w:sz w:val="20"/>
          <w:szCs w:val="20"/>
        </w:rPr>
        <w:t xml:space="preserve">, </w:t>
      </w:r>
      <w:proofErr w:type="spellStart"/>
      <w:r>
        <w:rPr>
          <w:b/>
          <w:sz w:val="20"/>
          <w:szCs w:val="20"/>
        </w:rPr>
        <w:t>Rickson</w:t>
      </w:r>
      <w:proofErr w:type="spellEnd"/>
      <w:r>
        <w:rPr>
          <w:b/>
          <w:sz w:val="20"/>
          <w:szCs w:val="20"/>
        </w:rPr>
        <w:t xml:space="preserve"> Alves Marques</w:t>
      </w:r>
      <w:r>
        <w:rPr>
          <w:b/>
          <w:sz w:val="20"/>
          <w:szCs w:val="20"/>
          <w:vertAlign w:val="superscript"/>
        </w:rPr>
        <w:t>5</w:t>
      </w:r>
      <w:r>
        <w:rPr>
          <w:b/>
          <w:sz w:val="20"/>
          <w:szCs w:val="20"/>
        </w:rPr>
        <w:t>, Danielle Affonso Sampaio</w:t>
      </w:r>
      <w:r>
        <w:rPr>
          <w:b/>
          <w:sz w:val="20"/>
          <w:szCs w:val="20"/>
          <w:vertAlign w:val="superscript"/>
        </w:rPr>
        <w:t>6</w:t>
      </w:r>
      <w:r>
        <w:rPr>
          <w:b/>
          <w:sz w:val="20"/>
          <w:szCs w:val="20"/>
        </w:rPr>
        <w:t>.</w:t>
      </w:r>
    </w:p>
    <w:p w14:paraId="2E5C35B2" w14:textId="77777777" w:rsidR="00B004A8" w:rsidRDefault="00000000">
      <w:pPr>
        <w:spacing w:line="276" w:lineRule="auto"/>
        <w:ind w:left="221" w:right="214"/>
        <w:jc w:val="center"/>
        <w:rPr>
          <w:sz w:val="20"/>
          <w:szCs w:val="20"/>
        </w:rPr>
      </w:pPr>
      <w:r>
        <w:rPr>
          <w:sz w:val="20"/>
          <w:szCs w:val="20"/>
        </w:rPr>
        <w:t>Universidade Federal Rural do Rio de Janeiro (UFRRJ).</w:t>
      </w:r>
    </w:p>
    <w:p w14:paraId="2284BCF1" w14:textId="77777777" w:rsidR="00B004A8" w:rsidRDefault="00000000">
      <w:pPr>
        <w:spacing w:line="276" w:lineRule="auto"/>
        <w:ind w:left="221" w:right="214"/>
        <w:jc w:val="center"/>
        <w:rPr>
          <w:sz w:val="20"/>
          <w:szCs w:val="20"/>
        </w:rPr>
      </w:pPr>
      <w:bookmarkStart w:id="1" w:name="_heading=h.yp96iwu2o7wg" w:colFirst="0" w:colLast="0"/>
      <w:bookmarkEnd w:id="1"/>
      <w:r>
        <w:rPr>
          <w:sz w:val="20"/>
          <w:szCs w:val="20"/>
        </w:rPr>
        <w:t>anab.cardosos99@gmail.com</w:t>
      </w:r>
    </w:p>
    <w:p w14:paraId="595123C5" w14:textId="77777777" w:rsidR="00B004A8" w:rsidRDefault="00000000">
      <w:pPr>
        <w:jc w:val="center"/>
        <w:rPr>
          <w:sz w:val="20"/>
          <w:szCs w:val="20"/>
        </w:rPr>
      </w:pPr>
      <w:r>
        <w:rPr>
          <w:sz w:val="20"/>
          <w:szCs w:val="20"/>
        </w:rPr>
        <w:t>_____________________________________________________________________________________</w:t>
      </w:r>
    </w:p>
    <w:p w14:paraId="18D61B94" w14:textId="77777777" w:rsidR="00B004A8" w:rsidRDefault="00B004A8">
      <w:pPr>
        <w:jc w:val="both"/>
        <w:rPr>
          <w:sz w:val="20"/>
          <w:szCs w:val="20"/>
        </w:rPr>
      </w:pPr>
    </w:p>
    <w:p w14:paraId="68ECBC87" w14:textId="77777777" w:rsidR="00B004A8" w:rsidRDefault="00000000">
      <w:pPr>
        <w:jc w:val="both"/>
        <w:rPr>
          <w:sz w:val="20"/>
          <w:szCs w:val="20"/>
        </w:rPr>
      </w:pPr>
      <w:r>
        <w:rPr>
          <w:b/>
          <w:sz w:val="20"/>
          <w:szCs w:val="20"/>
        </w:rPr>
        <w:t>RESUMO</w:t>
      </w:r>
      <w:r>
        <w:rPr>
          <w:sz w:val="20"/>
          <w:szCs w:val="20"/>
        </w:rPr>
        <w:t xml:space="preserve"> </w:t>
      </w:r>
    </w:p>
    <w:p w14:paraId="4F26899F" w14:textId="10E56A14" w:rsidR="00B004A8" w:rsidRPr="00BB712D" w:rsidRDefault="00000000" w:rsidP="00BB712D">
      <w:pPr>
        <w:widowControl/>
        <w:pBdr>
          <w:top w:val="nil"/>
          <w:left w:val="nil"/>
          <w:bottom w:val="nil"/>
          <w:right w:val="nil"/>
          <w:between w:val="nil"/>
        </w:pBdr>
        <w:jc w:val="both"/>
        <w:rPr>
          <w:color w:val="000000"/>
          <w:sz w:val="20"/>
          <w:szCs w:val="20"/>
        </w:rPr>
      </w:pPr>
      <w:r>
        <w:rPr>
          <w:color w:val="000000"/>
          <w:sz w:val="20"/>
          <w:szCs w:val="20"/>
        </w:rPr>
        <w:t>A nogueira macadâmia (</w:t>
      </w:r>
      <w:proofErr w:type="spellStart"/>
      <w:r>
        <w:rPr>
          <w:i/>
          <w:color w:val="000000"/>
          <w:sz w:val="20"/>
          <w:szCs w:val="20"/>
        </w:rPr>
        <w:t>Macadamia</w:t>
      </w:r>
      <w:proofErr w:type="spellEnd"/>
      <w:r>
        <w:rPr>
          <w:i/>
          <w:color w:val="000000"/>
          <w:sz w:val="20"/>
          <w:szCs w:val="20"/>
        </w:rPr>
        <w:t xml:space="preserve"> </w:t>
      </w:r>
      <w:proofErr w:type="spellStart"/>
      <w:r>
        <w:rPr>
          <w:i/>
          <w:color w:val="000000"/>
          <w:sz w:val="20"/>
          <w:szCs w:val="20"/>
        </w:rPr>
        <w:t>integrifolia</w:t>
      </w:r>
      <w:proofErr w:type="spellEnd"/>
      <w:r>
        <w:rPr>
          <w:color w:val="000000"/>
          <w:sz w:val="20"/>
          <w:szCs w:val="20"/>
        </w:rPr>
        <w:t xml:space="preserve">), cultivada no Brasil, possui alto valor comercial devido a sua noz. No entanto, seu processamento gera uma grande quantidade de resíduos, que, quando descartados inapropriadamente, contribuem para o acúmulo de rejeitos e para a poluição ambiental. Os endocarpos (cascas dos frutos da macadâmia) são uma biomassa </w:t>
      </w:r>
      <w:proofErr w:type="spellStart"/>
      <w:r>
        <w:rPr>
          <w:color w:val="000000"/>
          <w:sz w:val="20"/>
          <w:szCs w:val="20"/>
        </w:rPr>
        <w:t>lignocelulósica</w:t>
      </w:r>
      <w:proofErr w:type="spellEnd"/>
      <w:r>
        <w:rPr>
          <w:color w:val="000000"/>
          <w:sz w:val="20"/>
          <w:szCs w:val="20"/>
        </w:rPr>
        <w:t xml:space="preserve"> residual proveniente dessa utilização e apresenta um lento processo de decomposição. Estudos </w:t>
      </w:r>
      <w:r>
        <w:rPr>
          <w:sz w:val="20"/>
          <w:szCs w:val="20"/>
        </w:rPr>
        <w:t xml:space="preserve">destacam o potencial de aproveitamento dessa biomassa </w:t>
      </w:r>
      <w:r>
        <w:rPr>
          <w:color w:val="000000"/>
          <w:sz w:val="20"/>
          <w:szCs w:val="20"/>
        </w:rPr>
        <w:t>para os mais diversos fins</w:t>
      </w:r>
      <w:r>
        <w:rPr>
          <w:sz w:val="20"/>
          <w:szCs w:val="20"/>
        </w:rPr>
        <w:t xml:space="preserve">, incluindo o uso de seus extratos na propagação in vitro, técnica que permite a rápida multiplicação vegetativa, devido a presença de compostos bioativos. </w:t>
      </w:r>
      <w:r>
        <w:rPr>
          <w:color w:val="000000"/>
          <w:sz w:val="20"/>
          <w:szCs w:val="20"/>
        </w:rPr>
        <w:t xml:space="preserve">Nesse contexto, o objetivo do trabalho foi verificar a influência dos extrativos dos resíduos do beneficiamento da Noz da macadâmia adicionados ao meio nutritivo, no crescimento in vitro de plantas de </w:t>
      </w:r>
      <w:proofErr w:type="spellStart"/>
      <w:r>
        <w:rPr>
          <w:i/>
          <w:color w:val="000000"/>
          <w:sz w:val="20"/>
          <w:szCs w:val="20"/>
        </w:rPr>
        <w:t>Adenanthera</w:t>
      </w:r>
      <w:proofErr w:type="spellEnd"/>
      <w:r>
        <w:rPr>
          <w:i/>
          <w:color w:val="000000"/>
          <w:sz w:val="20"/>
          <w:szCs w:val="20"/>
        </w:rPr>
        <w:t xml:space="preserve"> </w:t>
      </w:r>
      <w:proofErr w:type="spellStart"/>
      <w:r>
        <w:rPr>
          <w:i/>
          <w:color w:val="000000"/>
          <w:sz w:val="20"/>
          <w:szCs w:val="20"/>
        </w:rPr>
        <w:t>pavonina</w:t>
      </w:r>
      <w:proofErr w:type="spellEnd"/>
      <w:r>
        <w:rPr>
          <w:color w:val="000000"/>
          <w:sz w:val="20"/>
          <w:szCs w:val="20"/>
        </w:rPr>
        <w:t xml:space="preserve">. Os resíduos foram secos, moídos e submetidos à extração sequencial com </w:t>
      </w:r>
      <w:proofErr w:type="spellStart"/>
      <w:r>
        <w:rPr>
          <w:color w:val="000000"/>
          <w:sz w:val="20"/>
          <w:szCs w:val="20"/>
        </w:rPr>
        <w:t>ciclohexano</w:t>
      </w:r>
      <w:proofErr w:type="spellEnd"/>
      <w:r>
        <w:rPr>
          <w:color w:val="000000"/>
          <w:sz w:val="20"/>
          <w:szCs w:val="20"/>
        </w:rPr>
        <w:t xml:space="preserve">, acetato de etila e metanol. Com o extrato obtido foi realizado o teste do crescimento de </w:t>
      </w:r>
      <w:proofErr w:type="spellStart"/>
      <w:r>
        <w:rPr>
          <w:i/>
          <w:color w:val="000000"/>
          <w:sz w:val="20"/>
          <w:szCs w:val="20"/>
        </w:rPr>
        <w:t>Adenanthera</w:t>
      </w:r>
      <w:proofErr w:type="spellEnd"/>
      <w:r>
        <w:rPr>
          <w:i/>
          <w:color w:val="000000"/>
          <w:sz w:val="20"/>
          <w:szCs w:val="20"/>
        </w:rPr>
        <w:t xml:space="preserve"> </w:t>
      </w:r>
      <w:proofErr w:type="spellStart"/>
      <w:proofErr w:type="gramStart"/>
      <w:r>
        <w:rPr>
          <w:i/>
          <w:color w:val="000000"/>
          <w:sz w:val="20"/>
          <w:szCs w:val="20"/>
        </w:rPr>
        <w:t>pavonina</w:t>
      </w:r>
      <w:proofErr w:type="spellEnd"/>
      <w:r>
        <w:rPr>
          <w:b/>
          <w:i/>
          <w:color w:val="000000"/>
          <w:sz w:val="20"/>
          <w:szCs w:val="20"/>
        </w:rPr>
        <w:t xml:space="preserve"> </w:t>
      </w:r>
      <w:r>
        <w:rPr>
          <w:color w:val="000000"/>
          <w:sz w:val="20"/>
          <w:szCs w:val="20"/>
        </w:rPr>
        <w:t>.</w:t>
      </w:r>
      <w:proofErr w:type="gramEnd"/>
      <w:r>
        <w:rPr>
          <w:color w:val="000000"/>
          <w:sz w:val="20"/>
          <w:szCs w:val="20"/>
        </w:rPr>
        <w:t xml:space="preserve"> O solvente metanol foi o solvente que apresentou a maior concentração de extratos, que é um material rico em compostos fenólicos.</w:t>
      </w:r>
      <w:r>
        <w:rPr>
          <w:sz w:val="20"/>
          <w:szCs w:val="20"/>
        </w:rPr>
        <w:t xml:space="preserve"> </w:t>
      </w:r>
      <w:r>
        <w:rPr>
          <w:color w:val="000000"/>
          <w:sz w:val="20"/>
          <w:szCs w:val="20"/>
        </w:rPr>
        <w:t xml:space="preserve">A adição de extrato hidrofílico (metanol) dos resíduos do beneficiamento da Noz da macadâmia em meio nutritivo provoca efeitos no crescimento in vitro de </w:t>
      </w:r>
      <w:proofErr w:type="spellStart"/>
      <w:r>
        <w:rPr>
          <w:i/>
          <w:color w:val="000000"/>
          <w:sz w:val="20"/>
          <w:szCs w:val="20"/>
        </w:rPr>
        <w:t>Adenanthera</w:t>
      </w:r>
      <w:proofErr w:type="spellEnd"/>
      <w:r>
        <w:rPr>
          <w:i/>
          <w:color w:val="000000"/>
          <w:sz w:val="20"/>
          <w:szCs w:val="20"/>
        </w:rPr>
        <w:t xml:space="preserve"> </w:t>
      </w:r>
      <w:proofErr w:type="spellStart"/>
      <w:r>
        <w:rPr>
          <w:i/>
          <w:color w:val="000000"/>
          <w:sz w:val="20"/>
          <w:szCs w:val="20"/>
        </w:rPr>
        <w:t>pavoni</w:t>
      </w:r>
      <w:proofErr w:type="spellEnd"/>
      <w:r>
        <w:rPr>
          <w:color w:val="000000"/>
          <w:sz w:val="20"/>
          <w:szCs w:val="20"/>
        </w:rPr>
        <w:t>. Pode-se concluir que a adição de pequenas quantidades do extrato seja explorada no cultivo in vitro de materiais vegetais.</w:t>
      </w:r>
    </w:p>
    <w:p w14:paraId="147A7E11" w14:textId="77777777" w:rsidR="00B004A8" w:rsidRDefault="00000000">
      <w:pPr>
        <w:widowControl/>
        <w:ind w:left="567" w:right="4" w:hanging="567"/>
        <w:rPr>
          <w:sz w:val="20"/>
          <w:szCs w:val="20"/>
        </w:rPr>
      </w:pPr>
      <w:r>
        <w:rPr>
          <w:i/>
          <w:sz w:val="20"/>
          <w:szCs w:val="20"/>
        </w:rPr>
        <w:t>Palavras-chave</w:t>
      </w:r>
      <w:r>
        <w:rPr>
          <w:sz w:val="20"/>
          <w:szCs w:val="20"/>
        </w:rPr>
        <w:t xml:space="preserve">: </w:t>
      </w:r>
      <w:r>
        <w:rPr>
          <w:i/>
          <w:sz w:val="20"/>
          <w:szCs w:val="20"/>
        </w:rPr>
        <w:t>extrativos, fitoquímica, meio nutritivo.</w:t>
      </w:r>
    </w:p>
    <w:p w14:paraId="3A431BD5" w14:textId="77777777" w:rsidR="00B004A8" w:rsidRDefault="00B004A8">
      <w:pPr>
        <w:widowControl/>
        <w:jc w:val="both"/>
        <w:rPr>
          <w:b/>
          <w:sz w:val="20"/>
          <w:szCs w:val="20"/>
        </w:rPr>
      </w:pPr>
    </w:p>
    <w:p w14:paraId="3B8F830F" w14:textId="77777777" w:rsidR="00B004A8" w:rsidRDefault="00000000">
      <w:pPr>
        <w:widowControl/>
        <w:jc w:val="both"/>
        <w:rPr>
          <w:b/>
          <w:sz w:val="20"/>
          <w:szCs w:val="20"/>
        </w:rPr>
      </w:pPr>
      <w:r>
        <w:rPr>
          <w:b/>
          <w:sz w:val="20"/>
          <w:szCs w:val="20"/>
        </w:rPr>
        <w:t>INTRODUÇÃO</w:t>
      </w:r>
    </w:p>
    <w:p w14:paraId="0BA3B7A2" w14:textId="77777777" w:rsidR="00B004A8" w:rsidRDefault="00000000">
      <w:pPr>
        <w:ind w:firstLine="708"/>
        <w:jc w:val="both"/>
        <w:rPr>
          <w:sz w:val="20"/>
          <w:szCs w:val="20"/>
        </w:rPr>
      </w:pPr>
      <w:bookmarkStart w:id="2" w:name="_heading=h.g68qxmitco7x" w:colFirst="0" w:colLast="0"/>
      <w:bookmarkEnd w:id="2"/>
      <w:r>
        <w:rPr>
          <w:sz w:val="20"/>
          <w:szCs w:val="20"/>
        </w:rPr>
        <w:t>A nogueira macadâmia (</w:t>
      </w:r>
      <w:proofErr w:type="spellStart"/>
      <w:r>
        <w:rPr>
          <w:sz w:val="20"/>
          <w:szCs w:val="20"/>
        </w:rPr>
        <w:t>Macadamia</w:t>
      </w:r>
      <w:proofErr w:type="spellEnd"/>
      <w:r>
        <w:rPr>
          <w:sz w:val="20"/>
          <w:szCs w:val="20"/>
        </w:rPr>
        <w:t xml:space="preserve"> </w:t>
      </w:r>
      <w:proofErr w:type="spellStart"/>
      <w:r>
        <w:rPr>
          <w:sz w:val="20"/>
          <w:szCs w:val="20"/>
        </w:rPr>
        <w:t>integrifolia</w:t>
      </w:r>
      <w:proofErr w:type="spellEnd"/>
      <w:r>
        <w:rPr>
          <w:sz w:val="20"/>
          <w:szCs w:val="20"/>
        </w:rPr>
        <w:t>), cultivada no Brasil, tem grande valor no mercado internacional. Contudo, seu processamento gera grandes volumes de resíduos que, quando descartados inadequadamente, contribuem para impactos ambientais. Estima-se que a oferta de nozes de macadâmia aumentará o dobro nos próximos 4 a 5 anos e triplicará até 2030 (AHMED et al.  2024). Sendo assim, se faz necessário buscar alternativas para o uso desses rejeitos.</w:t>
      </w:r>
    </w:p>
    <w:p w14:paraId="22C88BE2" w14:textId="77777777" w:rsidR="00B004A8" w:rsidRDefault="00000000">
      <w:pPr>
        <w:widowControl/>
        <w:ind w:firstLine="708"/>
        <w:jc w:val="both"/>
        <w:rPr>
          <w:sz w:val="20"/>
          <w:szCs w:val="20"/>
        </w:rPr>
      </w:pPr>
      <w:r>
        <w:rPr>
          <w:sz w:val="20"/>
          <w:szCs w:val="20"/>
        </w:rPr>
        <w:t xml:space="preserve">A fim de ter uma definição para o potencial uso de um material, é necessário conhecê-lo. Com isso, a caracterização química dos materiais </w:t>
      </w:r>
      <w:proofErr w:type="spellStart"/>
      <w:r>
        <w:rPr>
          <w:sz w:val="20"/>
          <w:szCs w:val="20"/>
        </w:rPr>
        <w:t>lignocelulósicos</w:t>
      </w:r>
      <w:proofErr w:type="spellEnd"/>
      <w:r>
        <w:rPr>
          <w:sz w:val="20"/>
          <w:szCs w:val="20"/>
        </w:rPr>
        <w:t>, especialmente dos extrativos, que são compostos de baixo peso molecular como terpenos, compostos alifáticos e aromáticos, torna-se indispensável (WASTOWSKI, 2018). Esses extrativos possuem alto valor agregado, com aplicações nas indústrias farmacêutica, cosmética, alimentícia e química, além de apresentarem propriedades bioativas exploradas por suas funções terapêuticas (SÁ-FILHO et al., 2021).</w:t>
      </w:r>
    </w:p>
    <w:p w14:paraId="02AB2244" w14:textId="77777777" w:rsidR="00B004A8" w:rsidRDefault="00000000">
      <w:pPr>
        <w:widowControl/>
        <w:ind w:firstLine="708"/>
        <w:jc w:val="both"/>
        <w:rPr>
          <w:sz w:val="20"/>
          <w:szCs w:val="20"/>
        </w:rPr>
      </w:pPr>
      <w:r>
        <w:rPr>
          <w:sz w:val="20"/>
          <w:szCs w:val="20"/>
        </w:rPr>
        <w:t>Ademais, os extrativos vegetais apresentam potencial na propagação in vitro devido às suas propriedades bioativas, que auxiliam em diferentes processos fisiológicos e de desenvolvimento das plantas. Os subprodutos de nozes de macadâmia podem ser aproveitados como bioativos, particularmente devido à presença de compostos fenólicos (AHMED et al., 2024).</w:t>
      </w:r>
    </w:p>
    <w:p w14:paraId="7A4E30EA" w14:textId="77777777" w:rsidR="00B004A8" w:rsidRDefault="00000000">
      <w:pPr>
        <w:widowControl/>
        <w:ind w:firstLine="708"/>
        <w:jc w:val="both"/>
        <w:rPr>
          <w:sz w:val="20"/>
          <w:szCs w:val="20"/>
        </w:rPr>
      </w:pPr>
      <w:r>
        <w:rPr>
          <w:sz w:val="20"/>
          <w:szCs w:val="20"/>
        </w:rPr>
        <w:t xml:space="preserve">A propagação in vitro é uma técnica rápida de multiplicação vegetativa que, combinada com outras biotecnologias, possibilita a produção de muitas plantas com autenticidade varietal em qualquer época do ano. Seu sucesso depende tanto de fatores genéticos e fisiológicos do tecido vegetal quanto das condições térmicas, luminosas e do meio de cultura, que favorecem a indução, multiplicação e crescimento de brotações adventícias (CARDOSO, 2014). Espécies como </w:t>
      </w:r>
      <w:proofErr w:type="spellStart"/>
      <w:r>
        <w:rPr>
          <w:i/>
          <w:sz w:val="20"/>
          <w:szCs w:val="20"/>
        </w:rPr>
        <w:t>Adenanthera</w:t>
      </w:r>
      <w:proofErr w:type="spellEnd"/>
      <w:r>
        <w:rPr>
          <w:i/>
          <w:sz w:val="20"/>
          <w:szCs w:val="20"/>
        </w:rPr>
        <w:t xml:space="preserve"> </w:t>
      </w:r>
      <w:proofErr w:type="spellStart"/>
      <w:r>
        <w:rPr>
          <w:i/>
          <w:sz w:val="20"/>
          <w:szCs w:val="20"/>
        </w:rPr>
        <w:t>pavonina</w:t>
      </w:r>
      <w:proofErr w:type="spellEnd"/>
      <w:r>
        <w:rPr>
          <w:sz w:val="20"/>
          <w:szCs w:val="20"/>
        </w:rPr>
        <w:t xml:space="preserve"> L. são selecionadas para cultivo in vitro devido ao seu potencial, uma vez que apresentam uma variedade de ativos fitoquímicos que são responsáveis pelo longo histórico de uso medicinal, como para febre, vômito, diarreia, gota, reumatismo, hipertensão, condições hemorrágicas, entre outros (GERONÇO et al., 2020). Estas características fazem com que o estudo da espécie seja importante, incluindo aspectos de sua propagação.</w:t>
      </w:r>
    </w:p>
    <w:p w14:paraId="24B77347" w14:textId="77777777" w:rsidR="00B004A8" w:rsidRDefault="00000000">
      <w:pPr>
        <w:ind w:firstLine="708"/>
        <w:jc w:val="both"/>
        <w:rPr>
          <w:sz w:val="20"/>
          <w:szCs w:val="20"/>
        </w:rPr>
      </w:pPr>
      <w:r>
        <w:rPr>
          <w:sz w:val="20"/>
          <w:szCs w:val="20"/>
        </w:rPr>
        <w:t xml:space="preserve">A micropropagação permite avaliar a influência de diversos fatores na morfogênese vegetal in vitro para desenvolver métodos eficientes de produção em larga escala (XAVIER et al., 2021). A composição do meio nutritivo, que inclui reguladores de crescimento, antioxidantes e fontes de carbono, é fundamental para direcionar o crescimento das plantas (HARTMANN et al., 2014). Além disso, substâncias </w:t>
      </w:r>
      <w:r>
        <w:rPr>
          <w:sz w:val="20"/>
          <w:szCs w:val="20"/>
        </w:rPr>
        <w:lastRenderedPageBreak/>
        <w:t xml:space="preserve">alternativas, como extrativos vegetais, podem ser usadas para reduzir custos e melhorar respostas, embora sua interação in vitro com o material vegetal ainda seja pouco conhecida. </w:t>
      </w:r>
    </w:p>
    <w:p w14:paraId="2CCE3559" w14:textId="7D0A35EF" w:rsidR="00B004A8" w:rsidRDefault="00000000">
      <w:pPr>
        <w:widowControl/>
        <w:ind w:firstLine="720"/>
        <w:jc w:val="both"/>
        <w:rPr>
          <w:sz w:val="20"/>
          <w:szCs w:val="20"/>
        </w:rPr>
      </w:pPr>
      <w:r>
        <w:rPr>
          <w:sz w:val="20"/>
          <w:szCs w:val="20"/>
        </w:rPr>
        <w:t xml:space="preserve">O objetivo do trabalho foi verificar a influência dos extrativos dos resíduos do beneficiamento da Noz da macadâmia adicionados ao meio nutritivo, no crescimento in vitro de plantas de </w:t>
      </w:r>
      <w:proofErr w:type="spellStart"/>
      <w:r>
        <w:rPr>
          <w:i/>
          <w:sz w:val="20"/>
          <w:szCs w:val="20"/>
        </w:rPr>
        <w:t>Adenanthera</w:t>
      </w:r>
      <w:proofErr w:type="spellEnd"/>
      <w:r>
        <w:rPr>
          <w:i/>
          <w:sz w:val="20"/>
          <w:szCs w:val="20"/>
        </w:rPr>
        <w:t xml:space="preserve"> </w:t>
      </w:r>
      <w:proofErr w:type="spellStart"/>
      <w:r>
        <w:rPr>
          <w:i/>
          <w:sz w:val="20"/>
          <w:szCs w:val="20"/>
        </w:rPr>
        <w:t>pavonina</w:t>
      </w:r>
      <w:proofErr w:type="spellEnd"/>
      <w:r>
        <w:rPr>
          <w:sz w:val="20"/>
          <w:szCs w:val="20"/>
        </w:rPr>
        <w:t xml:space="preserve">. </w:t>
      </w:r>
    </w:p>
    <w:p w14:paraId="7DE166E7" w14:textId="77777777" w:rsidR="00B004A8" w:rsidRDefault="00B004A8">
      <w:pPr>
        <w:widowControl/>
        <w:jc w:val="both"/>
        <w:rPr>
          <w:b/>
          <w:sz w:val="20"/>
          <w:szCs w:val="20"/>
        </w:rPr>
      </w:pPr>
    </w:p>
    <w:p w14:paraId="4B35A860" w14:textId="77777777" w:rsidR="00B004A8" w:rsidRDefault="00000000">
      <w:pPr>
        <w:widowControl/>
        <w:jc w:val="both"/>
        <w:rPr>
          <w:sz w:val="20"/>
          <w:szCs w:val="20"/>
        </w:rPr>
      </w:pPr>
      <w:r>
        <w:rPr>
          <w:b/>
          <w:sz w:val="20"/>
          <w:szCs w:val="20"/>
        </w:rPr>
        <w:t xml:space="preserve">MATERIAL E MÉTODOS </w:t>
      </w:r>
    </w:p>
    <w:p w14:paraId="64893979" w14:textId="77777777" w:rsidR="00B004A8" w:rsidRDefault="00B004A8">
      <w:pPr>
        <w:widowControl/>
        <w:jc w:val="both"/>
        <w:rPr>
          <w:sz w:val="20"/>
          <w:szCs w:val="20"/>
        </w:rPr>
      </w:pPr>
    </w:p>
    <w:p w14:paraId="7F6EC58C" w14:textId="77777777" w:rsidR="00B004A8" w:rsidRDefault="00000000">
      <w:pPr>
        <w:widowControl/>
        <w:rPr>
          <w:b/>
          <w:sz w:val="20"/>
          <w:szCs w:val="20"/>
        </w:rPr>
      </w:pPr>
      <w:r>
        <w:rPr>
          <w:b/>
          <w:sz w:val="20"/>
          <w:szCs w:val="20"/>
        </w:rPr>
        <w:t>Material</w:t>
      </w:r>
    </w:p>
    <w:p w14:paraId="579D8FF5" w14:textId="77777777" w:rsidR="00B004A8" w:rsidRDefault="00000000">
      <w:pPr>
        <w:widowControl/>
        <w:jc w:val="both"/>
        <w:rPr>
          <w:sz w:val="20"/>
          <w:szCs w:val="20"/>
        </w:rPr>
      </w:pPr>
      <w:r>
        <w:rPr>
          <w:b/>
          <w:sz w:val="20"/>
          <w:szCs w:val="20"/>
        </w:rPr>
        <w:t xml:space="preserve"> </w:t>
      </w:r>
      <w:r>
        <w:rPr>
          <w:b/>
          <w:sz w:val="20"/>
          <w:szCs w:val="20"/>
        </w:rPr>
        <w:tab/>
      </w:r>
      <w:r>
        <w:rPr>
          <w:sz w:val="20"/>
          <w:szCs w:val="20"/>
        </w:rPr>
        <w:t>Os resíduos utilizados neste estudo foram obtidos do beneficiamento da noz da macadâmia da unidade industrial de nozes da TRIBECA, na Fazenda Santa Marta, localizada no município de Piraí, estado do Rio de Janeiro.</w:t>
      </w:r>
    </w:p>
    <w:p w14:paraId="52A88CD5" w14:textId="77777777" w:rsidR="00B004A8" w:rsidRDefault="00000000">
      <w:pPr>
        <w:widowControl/>
        <w:rPr>
          <w:sz w:val="20"/>
          <w:szCs w:val="20"/>
        </w:rPr>
      </w:pPr>
      <w:r>
        <w:rPr>
          <w:sz w:val="20"/>
          <w:szCs w:val="20"/>
        </w:rPr>
        <w:t xml:space="preserve"> </w:t>
      </w:r>
    </w:p>
    <w:p w14:paraId="272FB7A0" w14:textId="77777777" w:rsidR="00B004A8" w:rsidRDefault="00000000">
      <w:pPr>
        <w:widowControl/>
        <w:rPr>
          <w:b/>
          <w:sz w:val="20"/>
          <w:szCs w:val="20"/>
        </w:rPr>
      </w:pPr>
      <w:r>
        <w:rPr>
          <w:b/>
          <w:sz w:val="20"/>
          <w:szCs w:val="20"/>
        </w:rPr>
        <w:t>Obtenção dos extratos dos resíduos das cascas</w:t>
      </w:r>
    </w:p>
    <w:p w14:paraId="6CA42C58" w14:textId="77777777" w:rsidR="00B004A8" w:rsidRDefault="00000000">
      <w:pPr>
        <w:widowControl/>
        <w:jc w:val="both"/>
        <w:rPr>
          <w:sz w:val="20"/>
          <w:szCs w:val="20"/>
        </w:rPr>
      </w:pPr>
      <w:r>
        <w:rPr>
          <w:b/>
          <w:sz w:val="20"/>
          <w:szCs w:val="20"/>
        </w:rPr>
        <w:tab/>
      </w:r>
      <w:r>
        <w:rPr>
          <w:sz w:val="20"/>
          <w:szCs w:val="20"/>
        </w:rPr>
        <w:t xml:space="preserve">O material foi moído em moinho tipo Willey e a fração utilizada foi </w:t>
      </w:r>
      <w:proofErr w:type="gramStart"/>
      <w:r>
        <w:rPr>
          <w:sz w:val="20"/>
          <w:szCs w:val="20"/>
        </w:rPr>
        <w:t>a  que</w:t>
      </w:r>
      <w:proofErr w:type="gramEnd"/>
      <w:r>
        <w:rPr>
          <w:sz w:val="20"/>
          <w:szCs w:val="20"/>
        </w:rPr>
        <w:t xml:space="preserve"> ficou retida na peneira de malha 60 </w:t>
      </w:r>
      <w:proofErr w:type="spellStart"/>
      <w:r>
        <w:rPr>
          <w:sz w:val="20"/>
          <w:szCs w:val="20"/>
        </w:rPr>
        <w:t>mesh</w:t>
      </w:r>
      <w:proofErr w:type="spellEnd"/>
      <w:r>
        <w:rPr>
          <w:sz w:val="20"/>
          <w:szCs w:val="20"/>
        </w:rPr>
        <w:t xml:space="preserve">. Foram colocados 10 g da amostra homogeneizada em cartuchos de papel filtro e em seguida submetida a três extrações sucessivas com ciclo hexano, acetato de etila e metanol por 12 horas em aparelho </w:t>
      </w:r>
      <w:proofErr w:type="spellStart"/>
      <w:r>
        <w:rPr>
          <w:sz w:val="20"/>
          <w:szCs w:val="20"/>
        </w:rPr>
        <w:t>soxhlet</w:t>
      </w:r>
      <w:proofErr w:type="spellEnd"/>
      <w:r>
        <w:rPr>
          <w:sz w:val="20"/>
          <w:szCs w:val="20"/>
        </w:rPr>
        <w:t xml:space="preserve">, utilizando-se 250 </w:t>
      </w:r>
      <w:proofErr w:type="spellStart"/>
      <w:r>
        <w:rPr>
          <w:sz w:val="20"/>
          <w:szCs w:val="20"/>
        </w:rPr>
        <w:t>mL</w:t>
      </w:r>
      <w:proofErr w:type="spellEnd"/>
      <w:r>
        <w:rPr>
          <w:sz w:val="20"/>
          <w:szCs w:val="20"/>
        </w:rPr>
        <w:t xml:space="preserve"> de cada solvente por extração (adaptado ABREU et al., 2006).</w:t>
      </w:r>
    </w:p>
    <w:p w14:paraId="71462726" w14:textId="77777777" w:rsidR="00B004A8" w:rsidRDefault="00B004A8">
      <w:pPr>
        <w:rPr>
          <w:sz w:val="20"/>
          <w:szCs w:val="20"/>
        </w:rPr>
      </w:pPr>
    </w:p>
    <w:p w14:paraId="2B58CE53" w14:textId="77777777" w:rsidR="00B004A8" w:rsidRDefault="00000000">
      <w:pPr>
        <w:widowControl/>
        <w:pBdr>
          <w:top w:val="nil"/>
          <w:left w:val="nil"/>
          <w:bottom w:val="nil"/>
          <w:right w:val="nil"/>
          <w:between w:val="nil"/>
        </w:pBdr>
        <w:jc w:val="both"/>
        <w:rPr>
          <w:b/>
          <w:i/>
          <w:color w:val="000000"/>
          <w:sz w:val="20"/>
          <w:szCs w:val="20"/>
        </w:rPr>
      </w:pPr>
      <w:r>
        <w:rPr>
          <w:b/>
          <w:color w:val="000000"/>
          <w:sz w:val="20"/>
          <w:szCs w:val="20"/>
        </w:rPr>
        <w:t xml:space="preserve">Avaliação do crescimento de </w:t>
      </w:r>
      <w:proofErr w:type="spellStart"/>
      <w:r>
        <w:rPr>
          <w:b/>
          <w:i/>
          <w:color w:val="000000"/>
          <w:sz w:val="20"/>
          <w:szCs w:val="20"/>
        </w:rPr>
        <w:t>Adenanthera</w:t>
      </w:r>
      <w:proofErr w:type="spellEnd"/>
      <w:r>
        <w:rPr>
          <w:b/>
          <w:i/>
          <w:color w:val="000000"/>
          <w:sz w:val="20"/>
          <w:szCs w:val="20"/>
        </w:rPr>
        <w:t xml:space="preserve"> </w:t>
      </w:r>
      <w:proofErr w:type="spellStart"/>
      <w:r>
        <w:rPr>
          <w:b/>
          <w:i/>
          <w:color w:val="000000"/>
          <w:sz w:val="20"/>
          <w:szCs w:val="20"/>
        </w:rPr>
        <w:t>pavonina</w:t>
      </w:r>
      <w:proofErr w:type="spellEnd"/>
      <w:r>
        <w:rPr>
          <w:b/>
          <w:i/>
          <w:color w:val="000000"/>
          <w:sz w:val="20"/>
          <w:szCs w:val="20"/>
        </w:rPr>
        <w:t xml:space="preserve"> </w:t>
      </w:r>
    </w:p>
    <w:p w14:paraId="08F000D3" w14:textId="77777777" w:rsidR="00B004A8" w:rsidRDefault="00000000">
      <w:pPr>
        <w:widowControl/>
        <w:pBdr>
          <w:top w:val="nil"/>
          <w:left w:val="nil"/>
          <w:bottom w:val="nil"/>
          <w:right w:val="nil"/>
          <w:between w:val="nil"/>
        </w:pBdr>
        <w:ind w:firstLine="708"/>
        <w:jc w:val="both"/>
        <w:rPr>
          <w:color w:val="000000"/>
          <w:sz w:val="20"/>
          <w:szCs w:val="20"/>
        </w:rPr>
      </w:pPr>
      <w:r>
        <w:rPr>
          <w:color w:val="000000"/>
          <w:sz w:val="20"/>
          <w:szCs w:val="20"/>
        </w:rPr>
        <w:t xml:space="preserve">Para obtenção de plantas in vitro isentas de contaminação, as sementes de </w:t>
      </w:r>
      <w:r>
        <w:rPr>
          <w:i/>
          <w:color w:val="000000"/>
          <w:sz w:val="20"/>
          <w:szCs w:val="20"/>
        </w:rPr>
        <w:t xml:space="preserve">A. </w:t>
      </w:r>
      <w:proofErr w:type="spellStart"/>
      <w:r>
        <w:rPr>
          <w:i/>
          <w:color w:val="000000"/>
          <w:sz w:val="20"/>
          <w:szCs w:val="20"/>
        </w:rPr>
        <w:t>pavonina</w:t>
      </w:r>
      <w:proofErr w:type="spellEnd"/>
      <w:r>
        <w:rPr>
          <w:color w:val="000000"/>
          <w:sz w:val="20"/>
          <w:szCs w:val="20"/>
        </w:rPr>
        <w:t xml:space="preserve"> foram submetidas à quebra de dormência e assepsia em solução de H₂SO₄ 98% por 15 minutos, sob agitação, seguidas de lavagem em água destilada e autoclavada em câmara de fluxo laminar (BAPTISTA; MIRANDA, 2023). Posteriormente, foram inoculadas em frascos com 30 </w:t>
      </w:r>
      <w:proofErr w:type="spellStart"/>
      <w:r>
        <w:rPr>
          <w:color w:val="000000"/>
          <w:sz w:val="20"/>
          <w:szCs w:val="20"/>
        </w:rPr>
        <w:t>mL</w:t>
      </w:r>
      <w:proofErr w:type="spellEnd"/>
      <w:r>
        <w:rPr>
          <w:color w:val="000000"/>
          <w:sz w:val="20"/>
          <w:szCs w:val="20"/>
        </w:rPr>
        <w:t xml:space="preserve"> de meio MS (</w:t>
      </w:r>
      <w:proofErr w:type="spellStart"/>
      <w:r>
        <w:rPr>
          <w:color w:val="000000"/>
          <w:sz w:val="20"/>
          <w:szCs w:val="20"/>
        </w:rPr>
        <w:t>Murashige</w:t>
      </w:r>
      <w:proofErr w:type="spellEnd"/>
      <w:r>
        <w:rPr>
          <w:color w:val="000000"/>
          <w:sz w:val="20"/>
          <w:szCs w:val="20"/>
        </w:rPr>
        <w:t xml:space="preserve"> e </w:t>
      </w:r>
      <w:proofErr w:type="spellStart"/>
      <w:r>
        <w:rPr>
          <w:color w:val="000000"/>
          <w:sz w:val="20"/>
          <w:szCs w:val="20"/>
        </w:rPr>
        <w:t>Skoog</w:t>
      </w:r>
      <w:proofErr w:type="spellEnd"/>
      <w:r>
        <w:rPr>
          <w:color w:val="000000"/>
          <w:sz w:val="20"/>
          <w:szCs w:val="20"/>
        </w:rPr>
        <w:t>, 1962) suplementado com 0,1 g L⁻¹ de mio-</w:t>
      </w:r>
      <w:proofErr w:type="spellStart"/>
      <w:r>
        <w:rPr>
          <w:color w:val="000000"/>
          <w:sz w:val="20"/>
          <w:szCs w:val="20"/>
        </w:rPr>
        <w:t>inositol</w:t>
      </w:r>
      <w:proofErr w:type="spellEnd"/>
      <w:r>
        <w:rPr>
          <w:color w:val="000000"/>
          <w:sz w:val="20"/>
          <w:szCs w:val="20"/>
        </w:rPr>
        <w:t xml:space="preserve">, 0,8 g L⁻¹ de PVP, 20 g L⁻¹ de sacarose e 2,3 g L⁻¹ de </w:t>
      </w:r>
      <w:proofErr w:type="spellStart"/>
      <w:r>
        <w:rPr>
          <w:color w:val="000000"/>
          <w:sz w:val="20"/>
          <w:szCs w:val="20"/>
        </w:rPr>
        <w:t>phytagel</w:t>
      </w:r>
      <w:proofErr w:type="spellEnd"/>
      <w:r>
        <w:rPr>
          <w:color w:val="000000"/>
          <w:sz w:val="20"/>
          <w:szCs w:val="20"/>
        </w:rPr>
        <w:t>, pH 5,7 ± 0,1. Mantiveram-se três sementes por frasco, a 25 ± 2 ºC, fotoperíodo de 16 h. Após 30 dias, plântulas in vitro foram usadas como fonte de explantes.</w:t>
      </w:r>
    </w:p>
    <w:p w14:paraId="7A5C5ABE" w14:textId="77777777" w:rsidR="00B004A8" w:rsidRDefault="00000000">
      <w:pPr>
        <w:widowControl/>
        <w:pBdr>
          <w:top w:val="nil"/>
          <w:left w:val="nil"/>
          <w:bottom w:val="nil"/>
          <w:right w:val="nil"/>
          <w:between w:val="nil"/>
        </w:pBdr>
        <w:ind w:firstLine="708"/>
        <w:jc w:val="both"/>
        <w:rPr>
          <w:color w:val="000000"/>
          <w:sz w:val="20"/>
          <w:szCs w:val="20"/>
        </w:rPr>
      </w:pPr>
      <w:r>
        <w:rPr>
          <w:color w:val="000000"/>
          <w:sz w:val="20"/>
          <w:szCs w:val="20"/>
        </w:rPr>
        <w:t>No experimento 1, segmentos nodais (~2 cm) foram cultivados no meio MS com 0,1 g L⁻¹ de mio-</w:t>
      </w:r>
      <w:proofErr w:type="spellStart"/>
      <w:r>
        <w:rPr>
          <w:color w:val="000000"/>
          <w:sz w:val="20"/>
          <w:szCs w:val="20"/>
        </w:rPr>
        <w:t>inositol</w:t>
      </w:r>
      <w:proofErr w:type="spellEnd"/>
      <w:r>
        <w:rPr>
          <w:color w:val="000000"/>
          <w:sz w:val="20"/>
          <w:szCs w:val="20"/>
        </w:rPr>
        <w:t xml:space="preserve">, 0,8 g L⁻¹ de PVP, 30 g L⁻¹ de sacarose, 2 mg L⁻¹ de BAP, 0,5 mg L⁻¹ de ANA e 2,3 g L⁻¹ de </w:t>
      </w:r>
      <w:proofErr w:type="spellStart"/>
      <w:r>
        <w:rPr>
          <w:color w:val="000000"/>
          <w:sz w:val="20"/>
          <w:szCs w:val="20"/>
        </w:rPr>
        <w:t>phytagel</w:t>
      </w:r>
      <w:proofErr w:type="spellEnd"/>
      <w:r>
        <w:rPr>
          <w:color w:val="000000"/>
          <w:sz w:val="20"/>
          <w:szCs w:val="20"/>
        </w:rPr>
        <w:t xml:space="preserve"> (pH 5,7 ± 0,1), testando-se o extrato hidrofílico (metanol) da noz de macadâmia nas concentrações 0, 0,1, 1 e 10 mg L⁻¹. O meio foi autoclavado (20 min, 120 ºC, 1 </w:t>
      </w:r>
      <w:proofErr w:type="spellStart"/>
      <w:r>
        <w:rPr>
          <w:color w:val="000000"/>
          <w:sz w:val="20"/>
          <w:szCs w:val="20"/>
        </w:rPr>
        <w:t>atm</w:t>
      </w:r>
      <w:proofErr w:type="spellEnd"/>
      <w:r>
        <w:rPr>
          <w:color w:val="000000"/>
          <w:sz w:val="20"/>
          <w:szCs w:val="20"/>
        </w:rPr>
        <w:t xml:space="preserve">). Cada frasco recebeu um explante, sob condições de 25 ± 2 ºC, fotoperíodo de 16 h, e luz LED (40 µmol m⁻² s⁻¹). O delineamento foi inteiramente </w:t>
      </w:r>
      <w:proofErr w:type="spellStart"/>
      <w:r>
        <w:rPr>
          <w:color w:val="000000"/>
          <w:sz w:val="20"/>
          <w:szCs w:val="20"/>
        </w:rPr>
        <w:t>casualizado</w:t>
      </w:r>
      <w:proofErr w:type="spellEnd"/>
      <w:r>
        <w:rPr>
          <w:color w:val="000000"/>
          <w:sz w:val="20"/>
          <w:szCs w:val="20"/>
        </w:rPr>
        <w:t xml:space="preserve"> com 4 tratamentos e 8 repetições. Aos 35 dias, avaliou-se o número de explantes responsivos (com crescimento in vitro).</w:t>
      </w:r>
    </w:p>
    <w:p w14:paraId="44121ECA" w14:textId="77777777" w:rsidR="00B004A8" w:rsidRDefault="00000000">
      <w:pPr>
        <w:widowControl/>
        <w:pBdr>
          <w:top w:val="nil"/>
          <w:left w:val="nil"/>
          <w:bottom w:val="nil"/>
          <w:right w:val="nil"/>
          <w:between w:val="nil"/>
        </w:pBdr>
        <w:ind w:firstLine="708"/>
        <w:jc w:val="both"/>
        <w:rPr>
          <w:color w:val="000000"/>
          <w:sz w:val="20"/>
          <w:szCs w:val="20"/>
        </w:rPr>
      </w:pPr>
      <w:r>
        <w:rPr>
          <w:color w:val="000000"/>
          <w:sz w:val="20"/>
          <w:szCs w:val="20"/>
        </w:rPr>
        <w:t xml:space="preserve">O experimento 2 seguiu protocolo semelhante, porém com 6 mg L⁻¹ de BAP e 1 mg L⁻¹ de ANA, além de testar 5 concentrações do extrato (0, 0,05, 0,1, 1 e 10 mg L⁻¹). O delineamento foi inteiramente </w:t>
      </w:r>
      <w:proofErr w:type="spellStart"/>
      <w:r>
        <w:rPr>
          <w:color w:val="000000"/>
          <w:sz w:val="20"/>
          <w:szCs w:val="20"/>
        </w:rPr>
        <w:t>casualizado</w:t>
      </w:r>
      <w:proofErr w:type="spellEnd"/>
      <w:r>
        <w:rPr>
          <w:color w:val="000000"/>
          <w:sz w:val="20"/>
          <w:szCs w:val="20"/>
        </w:rPr>
        <w:t xml:space="preserve"> com 5 tratamentos e 10 repetições, cada unidade composta por um frasco com dois explantes. Aos 35 dias, avaliaram-se o número de gemas e de brotos maiores que 1 cm.</w:t>
      </w:r>
    </w:p>
    <w:p w14:paraId="0633F74A" w14:textId="77777777" w:rsidR="00B004A8" w:rsidRDefault="00B004A8">
      <w:pPr>
        <w:widowControl/>
        <w:pBdr>
          <w:top w:val="nil"/>
          <w:left w:val="nil"/>
          <w:bottom w:val="nil"/>
          <w:right w:val="nil"/>
          <w:between w:val="nil"/>
        </w:pBdr>
        <w:jc w:val="both"/>
        <w:rPr>
          <w:color w:val="000000"/>
          <w:sz w:val="20"/>
          <w:szCs w:val="20"/>
        </w:rPr>
      </w:pPr>
    </w:p>
    <w:p w14:paraId="12A28570" w14:textId="77777777" w:rsidR="00B004A8" w:rsidRDefault="00000000">
      <w:pPr>
        <w:widowControl/>
        <w:pBdr>
          <w:top w:val="nil"/>
          <w:left w:val="nil"/>
          <w:bottom w:val="nil"/>
          <w:right w:val="nil"/>
          <w:between w:val="nil"/>
        </w:pBdr>
        <w:jc w:val="both"/>
        <w:rPr>
          <w:b/>
          <w:color w:val="000000"/>
          <w:sz w:val="20"/>
          <w:szCs w:val="20"/>
        </w:rPr>
      </w:pPr>
      <w:r>
        <w:rPr>
          <w:b/>
          <w:color w:val="000000"/>
          <w:sz w:val="20"/>
          <w:szCs w:val="20"/>
        </w:rPr>
        <w:t>Coleta e análise de dados</w:t>
      </w:r>
    </w:p>
    <w:p w14:paraId="7FE5CBF6" w14:textId="77777777" w:rsidR="00B004A8" w:rsidRDefault="00000000">
      <w:pPr>
        <w:widowControl/>
        <w:pBdr>
          <w:top w:val="nil"/>
          <w:left w:val="nil"/>
          <w:bottom w:val="nil"/>
          <w:right w:val="nil"/>
          <w:between w:val="nil"/>
        </w:pBdr>
        <w:ind w:firstLine="708"/>
        <w:jc w:val="both"/>
        <w:rPr>
          <w:color w:val="000000"/>
          <w:sz w:val="20"/>
          <w:szCs w:val="20"/>
        </w:rPr>
      </w:pPr>
      <w:r>
        <w:rPr>
          <w:color w:val="000000"/>
          <w:sz w:val="20"/>
          <w:szCs w:val="20"/>
        </w:rPr>
        <w:t xml:space="preserve">As pressuposições para a realização de análise de variância dos dados foram executadas por meio dos testes Bartlett e Shapiro-Wilk. Os dados obtidos foram submetidos a análises de variância e de regressão. O nível de significância de 5% de probabilidade de erro foi adotado como padrão nas análises realizadas em ambiente R versão 4.2.3 (R Core Team, 2023), utilizando o pacote </w:t>
      </w:r>
      <w:proofErr w:type="spellStart"/>
      <w:r>
        <w:rPr>
          <w:color w:val="000000"/>
          <w:sz w:val="20"/>
          <w:szCs w:val="20"/>
        </w:rPr>
        <w:t>ExpDes</w:t>
      </w:r>
      <w:proofErr w:type="spellEnd"/>
      <w:r>
        <w:rPr>
          <w:color w:val="000000"/>
          <w:sz w:val="20"/>
          <w:szCs w:val="20"/>
        </w:rPr>
        <w:t xml:space="preserve"> (Ferreira et al., 2014). Para a variável número de brotos maiores que 1 cm, realizou-se a transformação para </w:t>
      </w:r>
      <m:oMath>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x+0,5</m:t>
            </m:r>
          </m:e>
        </m:rad>
      </m:oMath>
      <w:r>
        <w:rPr>
          <w:color w:val="000000"/>
          <w:sz w:val="20"/>
          <w:szCs w:val="20"/>
        </w:rPr>
        <w:t xml:space="preserve"> para posterior análise de variância. Os valores médios apresentados para esta variável representam valores não transformados.</w:t>
      </w:r>
    </w:p>
    <w:p w14:paraId="2DCE9800" w14:textId="77777777" w:rsidR="00B004A8" w:rsidRDefault="00B004A8">
      <w:pPr>
        <w:widowControl/>
        <w:pBdr>
          <w:top w:val="nil"/>
          <w:left w:val="nil"/>
          <w:bottom w:val="nil"/>
          <w:right w:val="nil"/>
          <w:between w:val="nil"/>
        </w:pBdr>
        <w:jc w:val="both"/>
        <w:rPr>
          <w:b/>
          <w:i/>
          <w:color w:val="000000"/>
          <w:sz w:val="20"/>
          <w:szCs w:val="20"/>
        </w:rPr>
      </w:pPr>
    </w:p>
    <w:p w14:paraId="69AA06BF" w14:textId="77777777" w:rsidR="00B004A8" w:rsidRDefault="00000000">
      <w:pPr>
        <w:widowControl/>
        <w:jc w:val="both"/>
        <w:rPr>
          <w:sz w:val="20"/>
          <w:szCs w:val="20"/>
        </w:rPr>
      </w:pPr>
      <w:r>
        <w:rPr>
          <w:b/>
          <w:sz w:val="20"/>
          <w:szCs w:val="20"/>
        </w:rPr>
        <w:t>RESULTADOS E DISCUSSÃO</w:t>
      </w:r>
    </w:p>
    <w:p w14:paraId="3AD1C9EB" w14:textId="77777777" w:rsidR="00B004A8" w:rsidRDefault="00000000">
      <w:pPr>
        <w:widowControl/>
        <w:ind w:firstLine="708"/>
        <w:jc w:val="both"/>
        <w:rPr>
          <w:sz w:val="20"/>
          <w:szCs w:val="20"/>
        </w:rPr>
      </w:pPr>
      <w:r>
        <w:rPr>
          <w:sz w:val="20"/>
          <w:szCs w:val="20"/>
        </w:rPr>
        <w:t xml:space="preserve">Os teores de extratos obtidos para as amostras dos resíduos do beneficiamento da noz de </w:t>
      </w:r>
      <w:proofErr w:type="spellStart"/>
      <w:r>
        <w:rPr>
          <w:i/>
          <w:sz w:val="20"/>
          <w:szCs w:val="20"/>
        </w:rPr>
        <w:t>Macadamia</w:t>
      </w:r>
      <w:proofErr w:type="spellEnd"/>
      <w:r>
        <w:rPr>
          <w:i/>
          <w:sz w:val="20"/>
          <w:szCs w:val="20"/>
        </w:rPr>
        <w:t xml:space="preserve"> </w:t>
      </w:r>
      <w:proofErr w:type="spellStart"/>
      <w:r>
        <w:rPr>
          <w:i/>
          <w:sz w:val="20"/>
          <w:szCs w:val="20"/>
        </w:rPr>
        <w:t>integrifolia</w:t>
      </w:r>
      <w:proofErr w:type="spellEnd"/>
      <w:r>
        <w:rPr>
          <w:sz w:val="20"/>
          <w:szCs w:val="20"/>
        </w:rPr>
        <w:t xml:space="preserve"> utilizando diferentes solventes revelaram que o metanol foi o solvente que apresentou a maior proporção de extratos, com rendimento de 4,57%, seguido pelo acetato de etila, com 1,85%, e pelo </w:t>
      </w:r>
      <w:proofErr w:type="spellStart"/>
      <w:r>
        <w:rPr>
          <w:sz w:val="20"/>
          <w:szCs w:val="20"/>
        </w:rPr>
        <w:t>ciclohexano</w:t>
      </w:r>
      <w:proofErr w:type="spellEnd"/>
      <w:r>
        <w:rPr>
          <w:sz w:val="20"/>
          <w:szCs w:val="20"/>
        </w:rPr>
        <w:t>, com 0,99%, totalizando um rendimento de 7,41%.Vários estudos relataram que o solvente desempenha um papel crucial na extração de compostos dos subprodutos da macadâmia (ZHANG et al., 2023). O metanol é utilizado na extração de substâncias polares, este solvente tem grande eficiência na extração de compostos fenólicos e flavonoides (SANVIDO, 2015).</w:t>
      </w:r>
    </w:p>
    <w:p w14:paraId="1D3C11DE" w14:textId="77777777" w:rsidR="00B004A8" w:rsidRDefault="00000000">
      <w:pPr>
        <w:widowControl/>
        <w:ind w:firstLine="708"/>
        <w:jc w:val="both"/>
        <w:rPr>
          <w:sz w:val="20"/>
          <w:szCs w:val="20"/>
        </w:rPr>
      </w:pPr>
      <w:r>
        <w:rPr>
          <w:sz w:val="20"/>
          <w:szCs w:val="20"/>
        </w:rPr>
        <w:t xml:space="preserve">O número de explantes responsivos, avaliados no experimento 1, foi significativamente influenciado pela concentração do extrato do resíduo de beneficiamento da noz de macadâmia, com p = 0,0044 e coeficiente de variação (CV) de 70,28%. Os explantes considerados não responsivos não apresentaram sinal de crescimento após 35 dias de inoculação ou estavam mortos. Observou-se efeito linear </w:t>
      </w:r>
      <w:r>
        <w:rPr>
          <w:sz w:val="20"/>
          <w:szCs w:val="20"/>
        </w:rPr>
        <w:lastRenderedPageBreak/>
        <w:t>decrescente quanto à resposta dos explantes frente às concentrações do extrato (Figura 1). As menores concentrações de extrato proporcionaram maior quantidade de explantes responsivos in vitro.</w:t>
      </w:r>
    </w:p>
    <w:p w14:paraId="24862ECB" w14:textId="77777777" w:rsidR="00B004A8" w:rsidRDefault="00000000">
      <w:pPr>
        <w:widowControl/>
        <w:ind w:firstLine="708"/>
        <w:jc w:val="both"/>
        <w:rPr>
          <w:sz w:val="20"/>
          <w:szCs w:val="20"/>
        </w:rPr>
      </w:pPr>
      <w:r>
        <w:rPr>
          <w:sz w:val="20"/>
          <w:szCs w:val="20"/>
        </w:rPr>
        <w:t>No experimento 2, tanto o número de gemas (p = 0,0638; CV = 48,29%) quanto o número de brotos maiores que 1 cm (p = 0,2809; CV = 49,31%) não foram significativamente influenciados pelas diferentes concentrações do extrato hidrofílico de noz de macadâmia.</w:t>
      </w:r>
    </w:p>
    <w:p w14:paraId="7BFA2807" w14:textId="77777777" w:rsidR="00BB712D" w:rsidRDefault="00BB712D">
      <w:pPr>
        <w:widowControl/>
        <w:ind w:firstLine="708"/>
        <w:jc w:val="both"/>
        <w:rPr>
          <w:sz w:val="20"/>
          <w:szCs w:val="20"/>
        </w:rPr>
      </w:pPr>
    </w:p>
    <w:p w14:paraId="4ABDDD9D" w14:textId="77777777" w:rsidR="00B004A8" w:rsidRDefault="00000000">
      <w:pPr>
        <w:keepNext/>
        <w:widowControl/>
        <w:ind w:firstLine="708"/>
        <w:jc w:val="center"/>
      </w:pPr>
      <w:r>
        <w:rPr>
          <w:noProof/>
          <w:sz w:val="20"/>
          <w:szCs w:val="20"/>
        </w:rPr>
        <w:drawing>
          <wp:inline distT="0" distB="0" distL="0" distR="0" wp14:anchorId="60229A80" wp14:editId="2A8E061B">
            <wp:extent cx="3301078" cy="1901194"/>
            <wp:effectExtent l="0" t="0" r="0" b="0"/>
            <wp:docPr id="437655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01078" cy="1901194"/>
                    </a:xfrm>
                    <a:prstGeom prst="rect">
                      <a:avLst/>
                    </a:prstGeom>
                    <a:ln/>
                  </pic:spPr>
                </pic:pic>
              </a:graphicData>
            </a:graphic>
          </wp:inline>
        </w:drawing>
      </w:r>
    </w:p>
    <w:p w14:paraId="70EBAEE4" w14:textId="77777777" w:rsidR="00B004A8" w:rsidRDefault="00000000">
      <w:pPr>
        <w:pBdr>
          <w:top w:val="nil"/>
          <w:left w:val="nil"/>
          <w:bottom w:val="nil"/>
          <w:right w:val="nil"/>
          <w:between w:val="nil"/>
        </w:pBdr>
        <w:ind w:left="708"/>
        <w:jc w:val="both"/>
        <w:rPr>
          <w:color w:val="000000"/>
          <w:sz w:val="18"/>
          <w:szCs w:val="18"/>
        </w:rPr>
      </w:pPr>
      <w:r>
        <w:rPr>
          <w:color w:val="000000"/>
          <w:sz w:val="18"/>
          <w:szCs w:val="18"/>
        </w:rPr>
        <w:t xml:space="preserve">Figura </w:t>
      </w:r>
      <w:r>
        <w:rPr>
          <w:sz w:val="18"/>
          <w:szCs w:val="18"/>
        </w:rPr>
        <w:t>1</w:t>
      </w:r>
      <w:r>
        <w:rPr>
          <w:color w:val="000000"/>
          <w:sz w:val="18"/>
          <w:szCs w:val="18"/>
        </w:rPr>
        <w:t xml:space="preserve">. Efeito das concentrações do extrato hidrofílico (metanol) de resíduos da noz de macadâmia sobre o número de explantes responsivos de </w:t>
      </w:r>
      <w:proofErr w:type="spellStart"/>
      <w:r>
        <w:rPr>
          <w:color w:val="000000"/>
          <w:sz w:val="18"/>
          <w:szCs w:val="18"/>
        </w:rPr>
        <w:t>Adenanthera</w:t>
      </w:r>
      <w:proofErr w:type="spellEnd"/>
      <w:r>
        <w:rPr>
          <w:color w:val="000000"/>
          <w:sz w:val="18"/>
          <w:szCs w:val="18"/>
        </w:rPr>
        <w:t xml:space="preserve"> </w:t>
      </w:r>
      <w:proofErr w:type="spellStart"/>
      <w:r>
        <w:rPr>
          <w:color w:val="000000"/>
          <w:sz w:val="18"/>
          <w:szCs w:val="18"/>
        </w:rPr>
        <w:t>pavonina</w:t>
      </w:r>
      <w:proofErr w:type="spellEnd"/>
      <w:r>
        <w:rPr>
          <w:color w:val="000000"/>
          <w:sz w:val="18"/>
          <w:szCs w:val="18"/>
        </w:rPr>
        <w:t xml:space="preserve"> cultivados in vitro, aos 35 dias após a inoculação.</w:t>
      </w:r>
    </w:p>
    <w:p w14:paraId="1CA15F62" w14:textId="77777777" w:rsidR="00B004A8" w:rsidRDefault="00B004A8"/>
    <w:p w14:paraId="75D5047F" w14:textId="77777777" w:rsidR="00B004A8" w:rsidRDefault="00000000">
      <w:pPr>
        <w:widowControl/>
        <w:ind w:firstLine="708"/>
        <w:jc w:val="both"/>
        <w:rPr>
          <w:sz w:val="20"/>
          <w:szCs w:val="20"/>
        </w:rPr>
      </w:pPr>
      <w:r>
        <w:rPr>
          <w:sz w:val="20"/>
          <w:szCs w:val="20"/>
        </w:rPr>
        <w:t xml:space="preserve">O aumento de explantes não responsivos nas maiores concentrações de extrativo sugere uma toxicidade da substância, ou efeito prejudicial no cultivo in vitro da espécie sob tais concentrações. No entanto, o percentual médio de explantes responsivos foi de 75% na ausência de extrativo para 100% na presença de extrativo na concentração de 0,1 mg L-1. Este resultado indica que, em baixas concentrações, a adição do extrativo no meio nutritivo pode trazer efeitos benéficos para as plantas in vitro. </w:t>
      </w:r>
    </w:p>
    <w:p w14:paraId="081A6A6F" w14:textId="77777777" w:rsidR="00B004A8" w:rsidRDefault="00000000">
      <w:pPr>
        <w:widowControl/>
        <w:ind w:firstLine="708"/>
        <w:jc w:val="both"/>
        <w:rPr>
          <w:sz w:val="20"/>
          <w:szCs w:val="20"/>
        </w:rPr>
      </w:pPr>
      <w:r>
        <w:rPr>
          <w:sz w:val="20"/>
          <w:szCs w:val="20"/>
        </w:rPr>
        <w:tab/>
        <w:t xml:space="preserve">Os resultados apresentados no experimento 2, indicam que não houve diferença significativa entre as concentrações testadas quanto à emissão de gemas e brotos in vitro. A presença de maiores concentrações de </w:t>
      </w:r>
      <w:proofErr w:type="spellStart"/>
      <w:r>
        <w:rPr>
          <w:sz w:val="20"/>
          <w:szCs w:val="20"/>
        </w:rPr>
        <w:t>citocinina</w:t>
      </w:r>
      <w:proofErr w:type="spellEnd"/>
      <w:r>
        <w:rPr>
          <w:sz w:val="20"/>
          <w:szCs w:val="20"/>
        </w:rPr>
        <w:t xml:space="preserve"> e auxina, quando comparado ao experimento 1, permitiram avaliar o efeito do extrativo também na multiplicação in vitro da espécie. A média de número de gemas emitidas por explante foi de 10,0 na ausência de extrativo, 14,5 na concentração de 0,05 mg L-1, 7,0 na concentração 0,1 mg L-1, 9,5 na concentração 1,0 mg L-1 e 5,0 na concentração de 5 mg L-1 de extrato do resíduo de beneficiamento da Noz da macadâmia. Quanto ao número de brotos maiores que 1 cm, as médias foram de 3,5 cm; 7,0 cm; 3,0 cm; 1,0 cm e 0,0 cm para as concentrações 0; 0,5; 0,1; 1 e 10 mg L-1, respectivamente. Apesar de não haver diferença significativa, a adição de menor concentração de extrativo no meio nutritivo também sugere que pode haver algum benefício com o uso da substância em pequenas quantidades.</w:t>
      </w:r>
    </w:p>
    <w:p w14:paraId="7871E62F" w14:textId="77777777" w:rsidR="00B004A8" w:rsidRDefault="00B004A8">
      <w:pPr>
        <w:widowControl/>
        <w:jc w:val="both"/>
        <w:rPr>
          <w:sz w:val="20"/>
          <w:szCs w:val="20"/>
        </w:rPr>
      </w:pPr>
    </w:p>
    <w:p w14:paraId="44988C50" w14:textId="77777777" w:rsidR="00B004A8" w:rsidRDefault="00000000">
      <w:pPr>
        <w:widowControl/>
        <w:jc w:val="both"/>
        <w:rPr>
          <w:b/>
          <w:sz w:val="20"/>
          <w:szCs w:val="20"/>
        </w:rPr>
      </w:pPr>
      <w:r>
        <w:rPr>
          <w:b/>
          <w:sz w:val="20"/>
          <w:szCs w:val="20"/>
        </w:rPr>
        <w:t>CONCLUSÕES</w:t>
      </w:r>
    </w:p>
    <w:p w14:paraId="63BB1808" w14:textId="77777777" w:rsidR="00BB712D" w:rsidRDefault="00BB712D">
      <w:pPr>
        <w:widowControl/>
        <w:jc w:val="both"/>
        <w:rPr>
          <w:sz w:val="20"/>
          <w:szCs w:val="20"/>
        </w:rPr>
      </w:pPr>
    </w:p>
    <w:p w14:paraId="2B4BC0FD" w14:textId="77777777" w:rsidR="00B004A8" w:rsidRDefault="00000000">
      <w:pPr>
        <w:widowControl/>
        <w:numPr>
          <w:ilvl w:val="0"/>
          <w:numId w:val="1"/>
        </w:numPr>
        <w:pBdr>
          <w:top w:val="nil"/>
          <w:left w:val="nil"/>
          <w:bottom w:val="nil"/>
          <w:right w:val="nil"/>
          <w:between w:val="nil"/>
        </w:pBdr>
        <w:jc w:val="both"/>
        <w:rPr>
          <w:color w:val="000000"/>
          <w:sz w:val="20"/>
          <w:szCs w:val="20"/>
        </w:rPr>
      </w:pPr>
      <w:r>
        <w:rPr>
          <w:color w:val="000000"/>
          <w:sz w:val="20"/>
          <w:szCs w:val="20"/>
        </w:rPr>
        <w:t xml:space="preserve">Em nossas análises, o solvente metanol apresenta a maior concentração de extratos; </w:t>
      </w:r>
    </w:p>
    <w:p w14:paraId="14378148" w14:textId="77777777" w:rsidR="00B004A8" w:rsidRDefault="00000000">
      <w:pPr>
        <w:widowControl/>
        <w:numPr>
          <w:ilvl w:val="0"/>
          <w:numId w:val="1"/>
        </w:numPr>
        <w:pBdr>
          <w:top w:val="nil"/>
          <w:left w:val="nil"/>
          <w:bottom w:val="nil"/>
          <w:right w:val="nil"/>
          <w:between w:val="nil"/>
        </w:pBdr>
        <w:jc w:val="both"/>
        <w:rPr>
          <w:color w:val="000000"/>
          <w:sz w:val="20"/>
          <w:szCs w:val="20"/>
        </w:rPr>
      </w:pPr>
      <w:r>
        <w:rPr>
          <w:color w:val="000000"/>
          <w:sz w:val="20"/>
          <w:szCs w:val="20"/>
        </w:rPr>
        <w:t xml:space="preserve">A adição de extrato hidrofílico (metanol) dos resíduos do beneficiamento da Noz da macadâmia em meio nutritivo provoca efeitos no crescimento in vitro de </w:t>
      </w:r>
      <w:proofErr w:type="spellStart"/>
      <w:r>
        <w:rPr>
          <w:color w:val="000000"/>
          <w:sz w:val="20"/>
          <w:szCs w:val="20"/>
        </w:rPr>
        <w:t>Adenanthera</w:t>
      </w:r>
      <w:proofErr w:type="spellEnd"/>
      <w:r>
        <w:rPr>
          <w:color w:val="000000"/>
          <w:sz w:val="20"/>
          <w:szCs w:val="20"/>
        </w:rPr>
        <w:t xml:space="preserve"> </w:t>
      </w:r>
      <w:proofErr w:type="spellStart"/>
      <w:r>
        <w:rPr>
          <w:color w:val="000000"/>
          <w:sz w:val="20"/>
          <w:szCs w:val="20"/>
        </w:rPr>
        <w:t>pavonina</w:t>
      </w:r>
      <w:proofErr w:type="spellEnd"/>
      <w:r>
        <w:rPr>
          <w:color w:val="000000"/>
          <w:sz w:val="20"/>
          <w:szCs w:val="20"/>
        </w:rPr>
        <w:t>. Em baixas concentrações, tende a ser benéfico, potencializando resultados de crescimento in vitro. Em altas concentrações auxilia na mortalidade e queda de crescimento das plantas. Neste sentido recomenda-se que a adição de pequenas quantidades do extrato seja explorada no cultivo in vitro de materiais vegetais.</w:t>
      </w:r>
    </w:p>
    <w:p w14:paraId="306752B1" w14:textId="77777777" w:rsidR="00B004A8" w:rsidRDefault="00B004A8">
      <w:pPr>
        <w:widowControl/>
        <w:ind w:left="357"/>
        <w:jc w:val="both"/>
        <w:rPr>
          <w:sz w:val="20"/>
          <w:szCs w:val="20"/>
        </w:rPr>
      </w:pPr>
    </w:p>
    <w:p w14:paraId="06DC183C" w14:textId="77777777" w:rsidR="00B004A8" w:rsidRDefault="00000000">
      <w:pPr>
        <w:widowControl/>
        <w:jc w:val="both"/>
        <w:rPr>
          <w:sz w:val="20"/>
          <w:szCs w:val="20"/>
        </w:rPr>
      </w:pPr>
      <w:r>
        <w:rPr>
          <w:b/>
          <w:sz w:val="20"/>
          <w:szCs w:val="20"/>
        </w:rPr>
        <w:t>REFERÊNCIAS</w:t>
      </w:r>
    </w:p>
    <w:p w14:paraId="449A77A9" w14:textId="77777777" w:rsidR="00B004A8" w:rsidRDefault="00B004A8">
      <w:pPr>
        <w:widowControl/>
        <w:jc w:val="both"/>
        <w:rPr>
          <w:sz w:val="20"/>
          <w:szCs w:val="20"/>
        </w:rPr>
      </w:pPr>
    </w:p>
    <w:p w14:paraId="74ED5B45" w14:textId="77777777" w:rsidR="00B004A8" w:rsidRDefault="00000000">
      <w:pPr>
        <w:widowControl/>
        <w:spacing w:after="120"/>
        <w:jc w:val="both"/>
        <w:rPr>
          <w:sz w:val="20"/>
          <w:szCs w:val="20"/>
        </w:rPr>
      </w:pPr>
      <w:r>
        <w:rPr>
          <w:sz w:val="20"/>
          <w:szCs w:val="20"/>
        </w:rPr>
        <w:t xml:space="preserve">ABREU, H. S. et al. Métodos de Análise em Química da Madeira. </w:t>
      </w:r>
      <w:r>
        <w:rPr>
          <w:b/>
          <w:sz w:val="20"/>
          <w:szCs w:val="20"/>
        </w:rPr>
        <w:t>Floresta e Ambiente</w:t>
      </w:r>
      <w:r>
        <w:rPr>
          <w:sz w:val="20"/>
          <w:szCs w:val="20"/>
        </w:rPr>
        <w:t>, Série Técnica, p. 01-20, 2006.</w:t>
      </w:r>
    </w:p>
    <w:p w14:paraId="50D34DD7" w14:textId="77777777" w:rsidR="00B004A8" w:rsidRDefault="00000000">
      <w:pPr>
        <w:widowControl/>
        <w:spacing w:after="120"/>
        <w:jc w:val="both"/>
        <w:rPr>
          <w:sz w:val="20"/>
          <w:szCs w:val="20"/>
        </w:rPr>
      </w:pPr>
      <w:r>
        <w:rPr>
          <w:sz w:val="20"/>
          <w:szCs w:val="20"/>
        </w:rPr>
        <w:t xml:space="preserve">AHMED, M. F. et. al. </w:t>
      </w:r>
      <w:proofErr w:type="spellStart"/>
      <w:r>
        <w:rPr>
          <w:sz w:val="20"/>
          <w:szCs w:val="20"/>
        </w:rPr>
        <w:t>Phenolic</w:t>
      </w:r>
      <w:proofErr w:type="spellEnd"/>
      <w:r>
        <w:rPr>
          <w:sz w:val="20"/>
          <w:szCs w:val="20"/>
        </w:rPr>
        <w:t xml:space="preserve"> </w:t>
      </w:r>
      <w:proofErr w:type="spellStart"/>
      <w:r>
        <w:rPr>
          <w:sz w:val="20"/>
          <w:szCs w:val="20"/>
        </w:rPr>
        <w:t>compounds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macadamia</w:t>
      </w:r>
      <w:proofErr w:type="spellEnd"/>
      <w:r>
        <w:rPr>
          <w:sz w:val="20"/>
          <w:szCs w:val="20"/>
        </w:rPr>
        <w:t xml:space="preserve"> </w:t>
      </w:r>
      <w:proofErr w:type="spellStart"/>
      <w:r>
        <w:rPr>
          <w:sz w:val="20"/>
          <w:szCs w:val="20"/>
        </w:rPr>
        <w:t>husk</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updated</w:t>
      </w:r>
      <w:proofErr w:type="spellEnd"/>
      <w:r>
        <w:rPr>
          <w:sz w:val="20"/>
          <w:szCs w:val="20"/>
        </w:rPr>
        <w:t xml:space="preserve"> </w:t>
      </w:r>
      <w:proofErr w:type="spellStart"/>
      <w:r>
        <w:rPr>
          <w:sz w:val="20"/>
          <w:szCs w:val="20"/>
        </w:rPr>
        <w:t>focused</w:t>
      </w:r>
      <w:proofErr w:type="spellEnd"/>
      <w:r>
        <w:rPr>
          <w:sz w:val="20"/>
          <w:szCs w:val="20"/>
        </w:rPr>
        <w:t xml:space="preserve"> review </w:t>
      </w:r>
      <w:proofErr w:type="spellStart"/>
      <w:r>
        <w:rPr>
          <w:sz w:val="20"/>
          <w:szCs w:val="20"/>
        </w:rPr>
        <w:t>of</w:t>
      </w:r>
      <w:proofErr w:type="spellEnd"/>
      <w:r>
        <w:rPr>
          <w:sz w:val="20"/>
          <w:szCs w:val="20"/>
        </w:rPr>
        <w:t xml:space="preserve"> </w:t>
      </w:r>
      <w:proofErr w:type="spellStart"/>
      <w:r>
        <w:rPr>
          <w:sz w:val="20"/>
          <w:szCs w:val="20"/>
        </w:rPr>
        <w:t>extraction</w:t>
      </w:r>
      <w:proofErr w:type="spellEnd"/>
      <w:r>
        <w:rPr>
          <w:sz w:val="20"/>
          <w:szCs w:val="20"/>
        </w:rPr>
        <w:t xml:space="preserve"> </w:t>
      </w:r>
      <w:proofErr w:type="spellStart"/>
      <w:r>
        <w:rPr>
          <w:sz w:val="20"/>
          <w:szCs w:val="20"/>
        </w:rPr>
        <w:t>metodologies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antioxidant</w:t>
      </w:r>
      <w:proofErr w:type="spellEnd"/>
      <w:r>
        <w:rPr>
          <w:sz w:val="20"/>
          <w:szCs w:val="20"/>
        </w:rPr>
        <w:t xml:space="preserve"> </w:t>
      </w:r>
      <w:proofErr w:type="spellStart"/>
      <w:r>
        <w:rPr>
          <w:sz w:val="20"/>
          <w:szCs w:val="20"/>
        </w:rPr>
        <w:t>activities</w:t>
      </w:r>
      <w:proofErr w:type="spellEnd"/>
      <w:r>
        <w:rPr>
          <w:sz w:val="20"/>
          <w:szCs w:val="20"/>
        </w:rPr>
        <w:t xml:space="preserve">. </w:t>
      </w:r>
      <w:r>
        <w:rPr>
          <w:b/>
          <w:sz w:val="20"/>
          <w:szCs w:val="20"/>
        </w:rPr>
        <w:t xml:space="preserve">Food </w:t>
      </w:r>
      <w:proofErr w:type="spellStart"/>
      <w:r>
        <w:rPr>
          <w:b/>
          <w:sz w:val="20"/>
          <w:szCs w:val="20"/>
        </w:rPr>
        <w:t>and</w:t>
      </w:r>
      <w:proofErr w:type="spellEnd"/>
      <w:r>
        <w:rPr>
          <w:b/>
          <w:sz w:val="20"/>
          <w:szCs w:val="20"/>
        </w:rPr>
        <w:t xml:space="preserve"> </w:t>
      </w:r>
      <w:proofErr w:type="spellStart"/>
      <w:r>
        <w:rPr>
          <w:b/>
          <w:sz w:val="20"/>
          <w:szCs w:val="20"/>
        </w:rPr>
        <w:t>Bioproducts</w:t>
      </w:r>
      <w:proofErr w:type="spellEnd"/>
      <w:r>
        <w:rPr>
          <w:b/>
          <w:sz w:val="20"/>
          <w:szCs w:val="20"/>
        </w:rPr>
        <w:t xml:space="preserve"> </w:t>
      </w:r>
      <w:proofErr w:type="spellStart"/>
      <w:r>
        <w:rPr>
          <w:b/>
          <w:sz w:val="20"/>
          <w:szCs w:val="20"/>
        </w:rPr>
        <w:t>Processing</w:t>
      </w:r>
      <w:proofErr w:type="spellEnd"/>
      <w:r>
        <w:rPr>
          <w:sz w:val="20"/>
          <w:szCs w:val="20"/>
        </w:rPr>
        <w:t>, v. 148, p. 165-175, 2024.</w:t>
      </w:r>
    </w:p>
    <w:p w14:paraId="555E20F9" w14:textId="77777777" w:rsidR="00B004A8" w:rsidRDefault="00000000">
      <w:pPr>
        <w:widowControl/>
        <w:spacing w:after="120"/>
        <w:jc w:val="both"/>
        <w:rPr>
          <w:sz w:val="20"/>
          <w:szCs w:val="20"/>
        </w:rPr>
      </w:pPr>
      <w:r>
        <w:rPr>
          <w:sz w:val="20"/>
          <w:szCs w:val="20"/>
        </w:rPr>
        <w:t xml:space="preserve">BAPTISTA, V.; MIRANDA, N. A. Germinação e multiplicação in vitro de </w:t>
      </w:r>
      <w:proofErr w:type="spellStart"/>
      <w:r>
        <w:rPr>
          <w:sz w:val="20"/>
          <w:szCs w:val="20"/>
        </w:rPr>
        <w:t>Adenanthera</w:t>
      </w:r>
      <w:proofErr w:type="spellEnd"/>
      <w:r>
        <w:rPr>
          <w:sz w:val="20"/>
          <w:szCs w:val="20"/>
        </w:rPr>
        <w:t xml:space="preserve"> </w:t>
      </w:r>
      <w:proofErr w:type="spellStart"/>
      <w:r>
        <w:rPr>
          <w:sz w:val="20"/>
          <w:szCs w:val="20"/>
        </w:rPr>
        <w:t>pavonina</w:t>
      </w:r>
      <w:proofErr w:type="spellEnd"/>
      <w:r>
        <w:rPr>
          <w:sz w:val="20"/>
          <w:szCs w:val="20"/>
        </w:rPr>
        <w:t xml:space="preserve"> L. </w:t>
      </w:r>
      <w:r>
        <w:rPr>
          <w:b/>
          <w:sz w:val="20"/>
          <w:szCs w:val="20"/>
        </w:rPr>
        <w:t>Even3</w:t>
      </w:r>
      <w:r>
        <w:rPr>
          <w:sz w:val="20"/>
          <w:szCs w:val="20"/>
        </w:rPr>
        <w:t>, v. 11, p. 1, 27 jan. 2023.</w:t>
      </w:r>
    </w:p>
    <w:p w14:paraId="1723D191" w14:textId="77777777" w:rsidR="00B004A8" w:rsidRDefault="00000000">
      <w:pPr>
        <w:widowControl/>
        <w:spacing w:after="120"/>
        <w:jc w:val="both"/>
        <w:rPr>
          <w:color w:val="FF0000"/>
          <w:sz w:val="20"/>
          <w:szCs w:val="20"/>
        </w:rPr>
      </w:pPr>
      <w:r>
        <w:rPr>
          <w:sz w:val="20"/>
          <w:szCs w:val="20"/>
        </w:rPr>
        <w:t>CARDOSO, J. C. Publicação em cultivo in vitro de plantas: qualidade para o avanço científico e tecnológico. Horticultura Brasileira, v. 32, n. 4, p. 383–384, dez. 2014</w:t>
      </w:r>
      <w:r>
        <w:rPr>
          <w:color w:val="FF0000"/>
          <w:sz w:val="20"/>
          <w:szCs w:val="20"/>
        </w:rPr>
        <w:t>.</w:t>
      </w:r>
    </w:p>
    <w:p w14:paraId="542B6ABC" w14:textId="77777777" w:rsidR="00B004A8" w:rsidRDefault="00000000">
      <w:pPr>
        <w:widowControl/>
        <w:spacing w:after="120"/>
        <w:jc w:val="both"/>
        <w:rPr>
          <w:sz w:val="20"/>
          <w:szCs w:val="20"/>
        </w:rPr>
      </w:pPr>
      <w:r>
        <w:rPr>
          <w:sz w:val="20"/>
          <w:szCs w:val="20"/>
        </w:rPr>
        <w:lastRenderedPageBreak/>
        <w:t xml:space="preserve">GERONÇO, M. S. et al. </w:t>
      </w:r>
      <w:proofErr w:type="spellStart"/>
      <w:r>
        <w:rPr>
          <w:sz w:val="20"/>
          <w:szCs w:val="20"/>
        </w:rPr>
        <w:t>Advances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Adenanthera</w:t>
      </w:r>
      <w:proofErr w:type="spellEnd"/>
      <w:r>
        <w:rPr>
          <w:sz w:val="20"/>
          <w:szCs w:val="20"/>
        </w:rPr>
        <w:t xml:space="preserve"> </w:t>
      </w:r>
      <w:proofErr w:type="spellStart"/>
      <w:r>
        <w:rPr>
          <w:sz w:val="20"/>
          <w:szCs w:val="20"/>
        </w:rPr>
        <w:t>pavonina</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traditional</w:t>
      </w:r>
      <w:proofErr w:type="spellEnd"/>
      <w:r>
        <w:rPr>
          <w:sz w:val="20"/>
          <w:szCs w:val="20"/>
        </w:rPr>
        <w:t xml:space="preserve"> use </w:t>
      </w:r>
      <w:proofErr w:type="spellStart"/>
      <w:r>
        <w:rPr>
          <w:sz w:val="20"/>
          <w:szCs w:val="20"/>
        </w:rPr>
        <w:t>to</w:t>
      </w:r>
      <w:proofErr w:type="spellEnd"/>
      <w:r>
        <w:rPr>
          <w:sz w:val="20"/>
          <w:szCs w:val="20"/>
        </w:rPr>
        <w:t xml:space="preserve"> </w:t>
      </w:r>
      <w:proofErr w:type="spellStart"/>
      <w:r>
        <w:rPr>
          <w:sz w:val="20"/>
          <w:szCs w:val="20"/>
        </w:rPr>
        <w:t>intellectual</w:t>
      </w:r>
      <w:proofErr w:type="spellEnd"/>
      <w:r>
        <w:rPr>
          <w:sz w:val="20"/>
          <w:szCs w:val="20"/>
        </w:rPr>
        <w:t xml:space="preserve"> </w:t>
      </w:r>
      <w:proofErr w:type="spellStart"/>
      <w:r>
        <w:rPr>
          <w:sz w:val="20"/>
          <w:szCs w:val="20"/>
        </w:rPr>
        <w:t>property</w:t>
      </w:r>
      <w:proofErr w:type="spellEnd"/>
      <w:r>
        <w:rPr>
          <w:sz w:val="20"/>
          <w:szCs w:val="20"/>
        </w:rPr>
        <w:t xml:space="preserve">. </w:t>
      </w:r>
      <w:proofErr w:type="spellStart"/>
      <w:r>
        <w:rPr>
          <w:b/>
          <w:sz w:val="20"/>
          <w:szCs w:val="20"/>
        </w:rPr>
        <w:t>Journal</w:t>
      </w:r>
      <w:proofErr w:type="spellEnd"/>
      <w:r>
        <w:rPr>
          <w:b/>
          <w:sz w:val="20"/>
          <w:szCs w:val="20"/>
        </w:rPr>
        <w:t xml:space="preserve"> </w:t>
      </w:r>
      <w:proofErr w:type="spellStart"/>
      <w:r>
        <w:rPr>
          <w:b/>
          <w:sz w:val="20"/>
          <w:szCs w:val="20"/>
        </w:rPr>
        <w:t>of</w:t>
      </w:r>
      <w:proofErr w:type="spellEnd"/>
      <w:r>
        <w:rPr>
          <w:b/>
          <w:sz w:val="20"/>
          <w:szCs w:val="20"/>
        </w:rPr>
        <w:t xml:space="preserve"> Medicinal </w:t>
      </w:r>
      <w:proofErr w:type="spellStart"/>
      <w:r>
        <w:rPr>
          <w:b/>
          <w:sz w:val="20"/>
          <w:szCs w:val="20"/>
        </w:rPr>
        <w:t>Plants</w:t>
      </w:r>
      <w:proofErr w:type="spellEnd"/>
      <w:r>
        <w:rPr>
          <w:b/>
          <w:sz w:val="20"/>
          <w:szCs w:val="20"/>
        </w:rPr>
        <w:t xml:space="preserve"> </w:t>
      </w:r>
      <w:proofErr w:type="spellStart"/>
      <w:r>
        <w:rPr>
          <w:b/>
          <w:sz w:val="20"/>
          <w:szCs w:val="20"/>
        </w:rPr>
        <w:t>Research</w:t>
      </w:r>
      <w:proofErr w:type="spellEnd"/>
      <w:r>
        <w:rPr>
          <w:sz w:val="20"/>
          <w:szCs w:val="20"/>
        </w:rPr>
        <w:t>, v. 14, n. 1, p. 24-53, 2020.</w:t>
      </w:r>
    </w:p>
    <w:p w14:paraId="20AA9DF1" w14:textId="77777777" w:rsidR="00B004A8" w:rsidRDefault="00000000">
      <w:pPr>
        <w:widowControl/>
        <w:spacing w:after="120"/>
        <w:jc w:val="both"/>
        <w:rPr>
          <w:color w:val="FF0000"/>
          <w:sz w:val="20"/>
          <w:szCs w:val="20"/>
        </w:rPr>
      </w:pPr>
      <w:r>
        <w:rPr>
          <w:sz w:val="20"/>
          <w:szCs w:val="20"/>
        </w:rPr>
        <w:t xml:space="preserve">HARTMANN, H. T. et al. </w:t>
      </w:r>
      <w:r>
        <w:rPr>
          <w:b/>
          <w:sz w:val="20"/>
          <w:szCs w:val="20"/>
        </w:rPr>
        <w:t xml:space="preserve">Plant </w:t>
      </w:r>
      <w:proofErr w:type="spellStart"/>
      <w:r>
        <w:rPr>
          <w:b/>
          <w:sz w:val="20"/>
          <w:szCs w:val="20"/>
        </w:rPr>
        <w:t>propagation</w:t>
      </w:r>
      <w:proofErr w:type="spellEnd"/>
      <w:r>
        <w:rPr>
          <w:b/>
          <w:sz w:val="20"/>
          <w:szCs w:val="20"/>
        </w:rPr>
        <w:t xml:space="preserve">: </w:t>
      </w:r>
      <w:proofErr w:type="spellStart"/>
      <w:r>
        <w:rPr>
          <w:b/>
          <w:sz w:val="20"/>
          <w:szCs w:val="20"/>
        </w:rPr>
        <w:t>principles</w:t>
      </w:r>
      <w:proofErr w:type="spellEnd"/>
      <w:r>
        <w:rPr>
          <w:b/>
          <w:sz w:val="20"/>
          <w:szCs w:val="20"/>
        </w:rPr>
        <w:t xml:space="preserve"> </w:t>
      </w:r>
      <w:proofErr w:type="spellStart"/>
      <w:r>
        <w:rPr>
          <w:b/>
          <w:sz w:val="20"/>
          <w:szCs w:val="20"/>
        </w:rPr>
        <w:t>and</w:t>
      </w:r>
      <w:proofErr w:type="spellEnd"/>
      <w:r>
        <w:rPr>
          <w:b/>
          <w:sz w:val="20"/>
          <w:szCs w:val="20"/>
        </w:rPr>
        <w:t xml:space="preserve"> </w:t>
      </w:r>
      <w:proofErr w:type="spellStart"/>
      <w:r>
        <w:rPr>
          <w:b/>
          <w:sz w:val="20"/>
          <w:szCs w:val="20"/>
        </w:rPr>
        <w:t>practices</w:t>
      </w:r>
      <w:proofErr w:type="spellEnd"/>
      <w:r>
        <w:rPr>
          <w:sz w:val="20"/>
          <w:szCs w:val="20"/>
        </w:rPr>
        <w:t xml:space="preserve">. 8. ed. Upper </w:t>
      </w:r>
      <w:proofErr w:type="spellStart"/>
      <w:r>
        <w:rPr>
          <w:sz w:val="20"/>
          <w:szCs w:val="20"/>
        </w:rPr>
        <w:t>Saddle</w:t>
      </w:r>
      <w:proofErr w:type="spellEnd"/>
      <w:r>
        <w:rPr>
          <w:sz w:val="20"/>
          <w:szCs w:val="20"/>
        </w:rPr>
        <w:t xml:space="preserve"> River: Prentice Hall, 2014.</w:t>
      </w:r>
    </w:p>
    <w:p w14:paraId="4C79F2C1" w14:textId="77777777" w:rsidR="00B004A8" w:rsidRDefault="00000000">
      <w:pPr>
        <w:widowControl/>
        <w:spacing w:before="240" w:after="120"/>
        <w:jc w:val="both"/>
        <w:rPr>
          <w:color w:val="FF0000"/>
          <w:sz w:val="20"/>
          <w:szCs w:val="20"/>
        </w:rPr>
      </w:pPr>
      <w:r>
        <w:rPr>
          <w:sz w:val="20"/>
          <w:szCs w:val="20"/>
        </w:rPr>
        <w:t xml:space="preserve">SÁ-FILHO, G. et al. Plantas medicinais utilizadas na Caatinga brasileira e o potencial terapêutico dos metabólitos secundários: uma revisão. </w:t>
      </w:r>
      <w:proofErr w:type="spellStart"/>
      <w:r>
        <w:rPr>
          <w:b/>
          <w:sz w:val="20"/>
          <w:szCs w:val="20"/>
        </w:rPr>
        <w:t>Research</w:t>
      </w:r>
      <w:proofErr w:type="spellEnd"/>
      <w:r>
        <w:rPr>
          <w:b/>
          <w:sz w:val="20"/>
          <w:szCs w:val="20"/>
        </w:rPr>
        <w:t xml:space="preserve">, Society </w:t>
      </w:r>
      <w:proofErr w:type="spellStart"/>
      <w:r>
        <w:rPr>
          <w:b/>
          <w:sz w:val="20"/>
          <w:szCs w:val="20"/>
        </w:rPr>
        <w:t>and</w:t>
      </w:r>
      <w:proofErr w:type="spellEnd"/>
      <w:r>
        <w:rPr>
          <w:b/>
          <w:sz w:val="20"/>
          <w:szCs w:val="20"/>
        </w:rPr>
        <w:t xml:space="preserve"> </w:t>
      </w:r>
      <w:proofErr w:type="spellStart"/>
      <w:r>
        <w:rPr>
          <w:b/>
          <w:sz w:val="20"/>
          <w:szCs w:val="20"/>
        </w:rPr>
        <w:t>Development</w:t>
      </w:r>
      <w:proofErr w:type="spellEnd"/>
      <w:r>
        <w:rPr>
          <w:sz w:val="20"/>
          <w:szCs w:val="20"/>
        </w:rPr>
        <w:t>, v. 10, n. 13, e140101321096, 2021.</w:t>
      </w:r>
    </w:p>
    <w:p w14:paraId="7D62A589" w14:textId="77777777" w:rsidR="00B004A8" w:rsidRDefault="00000000">
      <w:pPr>
        <w:widowControl/>
        <w:spacing w:after="120"/>
        <w:jc w:val="both"/>
        <w:rPr>
          <w:sz w:val="20"/>
          <w:szCs w:val="20"/>
        </w:rPr>
      </w:pPr>
      <w:r>
        <w:rPr>
          <w:sz w:val="20"/>
          <w:szCs w:val="20"/>
        </w:rPr>
        <w:t xml:space="preserve">XAVIER, A.; WENDLING, I.; SILVA, R. L. </w:t>
      </w:r>
      <w:r>
        <w:rPr>
          <w:b/>
          <w:sz w:val="20"/>
          <w:szCs w:val="20"/>
        </w:rPr>
        <w:t>Silvicultura clonal: princípios e técnicas</w:t>
      </w:r>
      <w:r>
        <w:rPr>
          <w:sz w:val="20"/>
          <w:szCs w:val="20"/>
        </w:rPr>
        <w:t>. 3. ed. Viçosa: Editora UFV, 2021. E-book.</w:t>
      </w:r>
    </w:p>
    <w:p w14:paraId="4C75674A" w14:textId="77777777" w:rsidR="00B004A8" w:rsidRDefault="00000000">
      <w:pPr>
        <w:widowControl/>
        <w:spacing w:after="120"/>
        <w:jc w:val="both"/>
        <w:rPr>
          <w:sz w:val="20"/>
          <w:szCs w:val="20"/>
        </w:rPr>
      </w:pPr>
      <w:r>
        <w:rPr>
          <w:sz w:val="20"/>
          <w:szCs w:val="20"/>
        </w:rPr>
        <w:t xml:space="preserve">WASTOWSKI, A. D. </w:t>
      </w:r>
      <w:r>
        <w:rPr>
          <w:b/>
          <w:sz w:val="20"/>
          <w:szCs w:val="20"/>
        </w:rPr>
        <w:t>Química da madeira</w:t>
      </w:r>
      <w:r>
        <w:rPr>
          <w:sz w:val="20"/>
          <w:szCs w:val="20"/>
        </w:rPr>
        <w:t xml:space="preserve">. 1. ed. Rio de Janeiro: </w:t>
      </w:r>
      <w:proofErr w:type="spellStart"/>
      <w:r>
        <w:rPr>
          <w:sz w:val="20"/>
          <w:szCs w:val="20"/>
        </w:rPr>
        <w:t>Interciência</w:t>
      </w:r>
      <w:proofErr w:type="spellEnd"/>
      <w:r>
        <w:rPr>
          <w:sz w:val="20"/>
          <w:szCs w:val="20"/>
        </w:rPr>
        <w:t>, 2018.</w:t>
      </w:r>
    </w:p>
    <w:p w14:paraId="4F0858B9" w14:textId="77777777" w:rsidR="00B004A8" w:rsidRDefault="00000000">
      <w:pPr>
        <w:widowControl/>
        <w:spacing w:after="120"/>
        <w:jc w:val="both"/>
        <w:rPr>
          <w:sz w:val="20"/>
          <w:szCs w:val="20"/>
        </w:rPr>
      </w:pPr>
      <w:r>
        <w:rPr>
          <w:sz w:val="20"/>
          <w:szCs w:val="20"/>
        </w:rPr>
        <w:t xml:space="preserve">ZHANG, S. et al. </w:t>
      </w:r>
      <w:proofErr w:type="spellStart"/>
      <w:r>
        <w:rPr>
          <w:sz w:val="20"/>
          <w:szCs w:val="20"/>
        </w:rPr>
        <w:t>Variation</w:t>
      </w:r>
      <w:proofErr w:type="spellEnd"/>
      <w:r>
        <w:rPr>
          <w:sz w:val="20"/>
          <w:szCs w:val="20"/>
        </w:rPr>
        <w:t xml:space="preserve"> in </w:t>
      </w:r>
      <w:proofErr w:type="spellStart"/>
      <w:r>
        <w:rPr>
          <w:sz w:val="20"/>
          <w:szCs w:val="20"/>
        </w:rPr>
        <w:t>mitogenome</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conformation</w:t>
      </w:r>
      <w:proofErr w:type="spellEnd"/>
      <w:r>
        <w:rPr>
          <w:sz w:val="20"/>
          <w:szCs w:val="20"/>
        </w:rPr>
        <w:t xml:space="preserve"> in </w:t>
      </w:r>
      <w:proofErr w:type="spellStart"/>
      <w:r>
        <w:rPr>
          <w:sz w:val="20"/>
          <w:szCs w:val="20"/>
        </w:rPr>
        <w:t>wild</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cultivated</w:t>
      </w:r>
      <w:proofErr w:type="spellEnd"/>
      <w:r>
        <w:rPr>
          <w:sz w:val="20"/>
          <w:szCs w:val="20"/>
        </w:rPr>
        <w:t xml:space="preserve"> </w:t>
      </w:r>
      <w:proofErr w:type="spellStart"/>
      <w:r>
        <w:rPr>
          <w:sz w:val="20"/>
          <w:szCs w:val="20"/>
        </w:rPr>
        <w:t>lineages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sorghum</w:t>
      </w:r>
      <w:proofErr w:type="spellEnd"/>
      <w:r>
        <w:rPr>
          <w:sz w:val="20"/>
          <w:szCs w:val="20"/>
        </w:rPr>
        <w:t xml:space="preserve"> </w:t>
      </w:r>
      <w:proofErr w:type="spellStart"/>
      <w:r>
        <w:rPr>
          <w:sz w:val="20"/>
          <w:szCs w:val="20"/>
        </w:rPr>
        <w:t>corresponds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domestication</w:t>
      </w:r>
      <w:proofErr w:type="spellEnd"/>
      <w:r>
        <w:rPr>
          <w:sz w:val="20"/>
          <w:szCs w:val="20"/>
        </w:rPr>
        <w:t xml:space="preserve"> </w:t>
      </w:r>
      <w:proofErr w:type="spellStart"/>
      <w:r>
        <w:rPr>
          <w:sz w:val="20"/>
          <w:szCs w:val="20"/>
        </w:rPr>
        <w:t>history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plastome</w:t>
      </w:r>
      <w:proofErr w:type="spellEnd"/>
      <w:r>
        <w:rPr>
          <w:sz w:val="20"/>
          <w:szCs w:val="20"/>
        </w:rPr>
        <w:t xml:space="preserve"> </w:t>
      </w:r>
      <w:proofErr w:type="spellStart"/>
      <w:r>
        <w:rPr>
          <w:sz w:val="20"/>
          <w:szCs w:val="20"/>
        </w:rPr>
        <w:t>evolution</w:t>
      </w:r>
      <w:proofErr w:type="spellEnd"/>
      <w:r>
        <w:rPr>
          <w:sz w:val="20"/>
          <w:szCs w:val="20"/>
        </w:rPr>
        <w:t xml:space="preserve">. </w:t>
      </w:r>
      <w:r>
        <w:rPr>
          <w:b/>
          <w:sz w:val="20"/>
          <w:szCs w:val="20"/>
        </w:rPr>
        <w:t xml:space="preserve">BMC Plant </w:t>
      </w:r>
      <w:proofErr w:type="spellStart"/>
      <w:r>
        <w:rPr>
          <w:b/>
          <w:sz w:val="20"/>
          <w:szCs w:val="20"/>
        </w:rPr>
        <w:t>Biology</w:t>
      </w:r>
      <w:proofErr w:type="spellEnd"/>
      <w:r>
        <w:rPr>
          <w:sz w:val="20"/>
          <w:szCs w:val="20"/>
        </w:rPr>
        <w:t>, v. 23, n. 91, p. 1-17, 2023.</w:t>
      </w:r>
    </w:p>
    <w:p w14:paraId="0E409F0E" w14:textId="77777777" w:rsidR="00B004A8" w:rsidRDefault="00B004A8">
      <w:pPr>
        <w:widowControl/>
        <w:spacing w:after="120"/>
        <w:jc w:val="both"/>
        <w:rPr>
          <w:color w:val="000000"/>
          <w:sz w:val="20"/>
          <w:szCs w:val="20"/>
        </w:rPr>
      </w:pPr>
    </w:p>
    <w:sectPr w:rsidR="00B004A8">
      <w:headerReference w:type="first" r:id="rId9"/>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9C4D" w14:textId="77777777" w:rsidR="009432D3" w:rsidRDefault="009432D3">
      <w:r>
        <w:separator/>
      </w:r>
    </w:p>
  </w:endnote>
  <w:endnote w:type="continuationSeparator" w:id="0">
    <w:p w14:paraId="159A27A5" w14:textId="77777777" w:rsidR="009432D3" w:rsidRDefault="0094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8B81B79-DCBE-4A7C-BD7A-A4DEC3D8D9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5E1176-0497-4B6B-AA99-6FD4878A4D9E}"/>
  </w:font>
  <w:font w:name="Georgia">
    <w:panose1 w:val="02040502050405020303"/>
    <w:charset w:val="00"/>
    <w:family w:val="auto"/>
    <w:pitch w:val="default"/>
    <w:embedRegular r:id="rId3" w:fontKey="{7E298A97-2832-4A09-8778-2CD11AC41992}"/>
    <w:embedItalic r:id="rId4" w:fontKey="{E925E08B-F5F2-4912-AECC-98CC49188BF1}"/>
  </w:font>
  <w:font w:name="Cambria Math">
    <w:panose1 w:val="02040503050406030204"/>
    <w:charset w:val="00"/>
    <w:family w:val="roman"/>
    <w:pitch w:val="variable"/>
    <w:sig w:usb0="E00006FF" w:usb1="420024FF" w:usb2="02000000" w:usb3="00000000" w:csb0="0000019F" w:csb1="00000000"/>
    <w:embedRegular r:id="rId5" w:fontKey="{A94C6F94-7F00-4772-A83E-750337194CEE}"/>
    <w:embedItalic r:id="rId6" w:fontKey="{33AC60C2-905A-457D-9DE7-B3F7721D4F9A}"/>
  </w:font>
  <w:font w:name="Calibri Light">
    <w:panose1 w:val="020F0302020204030204"/>
    <w:charset w:val="00"/>
    <w:family w:val="swiss"/>
    <w:pitch w:val="variable"/>
    <w:sig w:usb0="E4002EFF" w:usb1="C200247B" w:usb2="00000009" w:usb3="00000000" w:csb0="000001FF" w:csb1="00000000"/>
    <w:embedRegular r:id="rId7" w:fontKey="{2AE7707D-735D-4632-B38C-B25FC2A441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9B1D" w14:textId="77777777" w:rsidR="009432D3" w:rsidRDefault="009432D3">
      <w:r>
        <w:separator/>
      </w:r>
    </w:p>
  </w:footnote>
  <w:footnote w:type="continuationSeparator" w:id="0">
    <w:p w14:paraId="1BA36883" w14:textId="77777777" w:rsidR="009432D3" w:rsidRDefault="00943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238E" w14:textId="77777777" w:rsidR="00B004A8" w:rsidRDefault="00000000">
    <w:pPr>
      <w:pBdr>
        <w:top w:val="nil"/>
        <w:left w:val="nil"/>
        <w:bottom w:val="nil"/>
        <w:right w:val="nil"/>
        <w:between w:val="nil"/>
      </w:pBdr>
      <w:tabs>
        <w:tab w:val="center" w:pos="4252"/>
        <w:tab w:val="right" w:pos="8504"/>
      </w:tabs>
      <w:rPr>
        <w:color w:val="000000"/>
      </w:rPr>
    </w:pPr>
    <w:r>
      <w:rPr>
        <w:noProof/>
        <w:color w:val="000000"/>
      </w:rPr>
      <w:drawing>
        <wp:inline distT="0" distB="0" distL="0" distR="0" wp14:anchorId="4B141F57" wp14:editId="5E033BA6">
          <wp:extent cx="5274310" cy="791210"/>
          <wp:effectExtent l="0" t="0" r="0" b="0"/>
          <wp:docPr id="43765512" name="image2.pn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com confiança média"/>
                  <pic:cNvPicPr preferRelativeResize="0"/>
                </pic:nvPicPr>
                <pic:blipFill>
                  <a:blip r:embed="rId1"/>
                  <a:srcRect/>
                  <a:stretch>
                    <a:fillRect/>
                  </a:stretch>
                </pic:blipFill>
                <pic:spPr>
                  <a:xfrm>
                    <a:off x="0" y="0"/>
                    <a:ext cx="5274310" cy="7912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A6836"/>
    <w:multiLevelType w:val="multilevel"/>
    <w:tmpl w:val="4AD8A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4510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4A8"/>
    <w:rsid w:val="009432D3"/>
    <w:rsid w:val="00AF3DDF"/>
    <w:rsid w:val="00B004A8"/>
    <w:rsid w:val="00BB7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4F570"/>
  <w15:docId w15:val="{F3246A2E-61B6-4904-A8E2-9C7C02E7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FCC"/>
    <w:rPr>
      <w:lang w:bidi="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982FCC"/>
    <w:pPr>
      <w:tabs>
        <w:tab w:val="center" w:pos="4252"/>
        <w:tab w:val="right" w:pos="8504"/>
      </w:tabs>
    </w:pPr>
  </w:style>
  <w:style w:type="character" w:customStyle="1" w:styleId="CabealhoChar">
    <w:name w:val="Cabeçalho Char"/>
    <w:basedOn w:val="Fontepargpadro"/>
    <w:link w:val="Cabealho"/>
    <w:uiPriority w:val="99"/>
    <w:rsid w:val="00982FCC"/>
  </w:style>
  <w:style w:type="paragraph" w:styleId="Rodap">
    <w:name w:val="footer"/>
    <w:basedOn w:val="Normal"/>
    <w:link w:val="RodapChar"/>
    <w:uiPriority w:val="99"/>
    <w:unhideWhenUsed/>
    <w:rsid w:val="00982FCC"/>
    <w:pPr>
      <w:tabs>
        <w:tab w:val="center" w:pos="4252"/>
        <w:tab w:val="right" w:pos="8504"/>
      </w:tabs>
    </w:pPr>
  </w:style>
  <w:style w:type="character" w:customStyle="1" w:styleId="RodapChar">
    <w:name w:val="Rodapé Char"/>
    <w:basedOn w:val="Fontepargpadro"/>
    <w:link w:val="Rodap"/>
    <w:uiPriority w:val="99"/>
    <w:rsid w:val="00982FCC"/>
  </w:style>
  <w:style w:type="character" w:styleId="Hyperlink">
    <w:name w:val="Hyperlink"/>
    <w:basedOn w:val="Fontepargpadro"/>
    <w:uiPriority w:val="99"/>
    <w:unhideWhenUsed/>
    <w:rsid w:val="00170A96"/>
    <w:rPr>
      <w:color w:val="0563C1" w:themeColor="hyperlink"/>
      <w:u w:val="single"/>
    </w:rPr>
  </w:style>
  <w:style w:type="character" w:styleId="MenoPendente">
    <w:name w:val="Unresolved Mention"/>
    <w:basedOn w:val="Fontepargpadro"/>
    <w:uiPriority w:val="99"/>
    <w:semiHidden/>
    <w:unhideWhenUsed/>
    <w:rsid w:val="00170A96"/>
    <w:rPr>
      <w:color w:val="605E5C"/>
      <w:shd w:val="clear" w:color="auto" w:fill="E1DFDD"/>
    </w:rPr>
  </w:style>
  <w:style w:type="character" w:customStyle="1" w:styleId="transform">
    <w:name w:val="transform"/>
    <w:basedOn w:val="Fontepargpadro"/>
    <w:rsid w:val="00255B32"/>
  </w:style>
  <w:style w:type="paragraph" w:styleId="SemEspaamento">
    <w:name w:val="No Spacing"/>
    <w:uiPriority w:val="1"/>
    <w:qFormat/>
    <w:rsid w:val="00640CA7"/>
    <w:pPr>
      <w:spacing w:after="240"/>
    </w:pPr>
    <w:rPr>
      <w:rFonts w:eastAsia="Calibri" w:cs="Calibri"/>
      <w:sz w:val="24"/>
    </w:rPr>
  </w:style>
  <w:style w:type="paragraph" w:customStyle="1" w:styleId="Caption1">
    <w:name w:val="Caption 1"/>
    <w:basedOn w:val="Legenda"/>
    <w:link w:val="Caption1Char"/>
    <w:qFormat/>
    <w:rsid w:val="00EB5874"/>
    <w:pPr>
      <w:widowControl/>
      <w:jc w:val="both"/>
    </w:pPr>
    <w:rPr>
      <w:rFonts w:eastAsiaTheme="minorHAnsi" w:cstheme="minorBidi"/>
      <w:i w:val="0"/>
      <w:color w:val="auto"/>
      <w:sz w:val="24"/>
      <w:lang w:val="en-US" w:eastAsia="en-US" w:bidi="ar-SA"/>
    </w:rPr>
  </w:style>
  <w:style w:type="character" w:customStyle="1" w:styleId="Caption1Char">
    <w:name w:val="Caption 1 Char"/>
    <w:basedOn w:val="Fontepargpadro"/>
    <w:link w:val="Caption1"/>
    <w:rsid w:val="00EB5874"/>
    <w:rPr>
      <w:rFonts w:ascii="Times New Roman" w:hAnsi="Times New Roman"/>
      <w:iCs/>
      <w:kern w:val="0"/>
      <w:sz w:val="24"/>
      <w:szCs w:val="18"/>
      <w:lang w:val="en-US"/>
    </w:rPr>
  </w:style>
  <w:style w:type="paragraph" w:styleId="Legenda">
    <w:name w:val="caption"/>
    <w:basedOn w:val="Normal"/>
    <w:next w:val="Normal"/>
    <w:uiPriority w:val="35"/>
    <w:unhideWhenUsed/>
    <w:qFormat/>
    <w:rsid w:val="00EB5874"/>
    <w:pPr>
      <w:spacing w:after="200"/>
    </w:pPr>
    <w:rPr>
      <w:i/>
      <w:iCs/>
      <w:color w:val="44546A" w:themeColor="text2"/>
      <w:sz w:val="18"/>
      <w:szCs w:val="18"/>
    </w:rPr>
  </w:style>
  <w:style w:type="character" w:styleId="TextodoEspaoReservado">
    <w:name w:val="Placeholder Text"/>
    <w:basedOn w:val="Fontepargpadro"/>
    <w:uiPriority w:val="99"/>
    <w:semiHidden/>
    <w:rsid w:val="00401DD6"/>
    <w:rPr>
      <w:color w:val="808080"/>
    </w:rPr>
  </w:style>
  <w:style w:type="paragraph" w:styleId="Corpodetexto">
    <w:name w:val="Body Text"/>
    <w:basedOn w:val="Normal"/>
    <w:link w:val="CorpodetextoChar"/>
    <w:uiPriority w:val="99"/>
    <w:unhideWhenUsed/>
    <w:qFormat/>
    <w:rsid w:val="00C33F55"/>
    <w:pPr>
      <w:widowControl/>
      <w:spacing w:line="360" w:lineRule="auto"/>
      <w:ind w:firstLine="709"/>
      <w:jc w:val="both"/>
    </w:pPr>
    <w:rPr>
      <w:sz w:val="24"/>
      <w:szCs w:val="24"/>
      <w:lang w:bidi="ar-SA"/>
    </w:rPr>
  </w:style>
  <w:style w:type="character" w:customStyle="1" w:styleId="CorpodetextoChar">
    <w:name w:val="Corpo de texto Char"/>
    <w:basedOn w:val="Fontepargpadro"/>
    <w:link w:val="Corpodetexto"/>
    <w:uiPriority w:val="99"/>
    <w:rsid w:val="00C33F55"/>
    <w:rPr>
      <w:rFonts w:ascii="Times New Roman" w:eastAsia="Times New Roman" w:hAnsi="Times New Roman" w:cs="Times New Roman"/>
      <w:kern w:val="0"/>
      <w:sz w:val="24"/>
      <w:szCs w:val="24"/>
      <w:lang w:eastAsia="pt-BR"/>
    </w:rPr>
  </w:style>
  <w:style w:type="table" w:styleId="Tabelacomgrade">
    <w:name w:val="Table Grid"/>
    <w:basedOn w:val="Tabelanormal"/>
    <w:uiPriority w:val="39"/>
    <w:rsid w:val="001F4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F947D4"/>
    <w:rPr>
      <w:i/>
      <w:iCs/>
    </w:rPr>
  </w:style>
  <w:style w:type="paragraph" w:styleId="NormalWeb">
    <w:name w:val="Normal (Web)"/>
    <w:basedOn w:val="Normal"/>
    <w:uiPriority w:val="99"/>
    <w:semiHidden/>
    <w:unhideWhenUsed/>
    <w:rsid w:val="005B4EDF"/>
    <w:pPr>
      <w:widowControl/>
      <w:spacing w:before="100" w:beforeAutospacing="1" w:after="100" w:afterAutospacing="1"/>
    </w:pPr>
    <w:rPr>
      <w:sz w:val="24"/>
      <w:szCs w:val="24"/>
      <w:lang w:bidi="ar-SA"/>
    </w:rPr>
  </w:style>
  <w:style w:type="character" w:styleId="Forte">
    <w:name w:val="Strong"/>
    <w:basedOn w:val="Fontepargpadro"/>
    <w:uiPriority w:val="22"/>
    <w:qFormat/>
    <w:rsid w:val="00EF6E32"/>
    <w:rPr>
      <w:b/>
      <w:bCs/>
    </w:rPr>
  </w:style>
  <w:style w:type="paragraph" w:styleId="PargrafodaLista">
    <w:name w:val="List Paragraph"/>
    <w:basedOn w:val="Normal"/>
    <w:uiPriority w:val="34"/>
    <w:qFormat/>
    <w:rsid w:val="007435A4"/>
    <w:pPr>
      <w:ind w:left="720"/>
      <w:contextualSpacing/>
    </w:pPr>
  </w:style>
  <w:style w:type="paragraph" w:styleId="Reviso">
    <w:name w:val="Revision"/>
    <w:hidden/>
    <w:uiPriority w:val="99"/>
    <w:semiHidden/>
    <w:rsid w:val="009F69E0"/>
    <w:rPr>
      <w:lang w:bidi="pt-BR"/>
    </w:rPr>
  </w:style>
  <w:style w:type="character" w:styleId="Refdecomentrio">
    <w:name w:val="annotation reference"/>
    <w:basedOn w:val="Fontepargpadro"/>
    <w:uiPriority w:val="99"/>
    <w:semiHidden/>
    <w:unhideWhenUsed/>
    <w:rsid w:val="003825A5"/>
    <w:rPr>
      <w:sz w:val="16"/>
      <w:szCs w:val="16"/>
    </w:rPr>
  </w:style>
  <w:style w:type="paragraph" w:styleId="Textodecomentrio">
    <w:name w:val="annotation text"/>
    <w:basedOn w:val="Normal"/>
    <w:link w:val="TextodecomentrioChar"/>
    <w:uiPriority w:val="99"/>
    <w:unhideWhenUsed/>
    <w:rsid w:val="003825A5"/>
    <w:rPr>
      <w:sz w:val="20"/>
      <w:szCs w:val="20"/>
    </w:rPr>
  </w:style>
  <w:style w:type="character" w:customStyle="1" w:styleId="TextodecomentrioChar">
    <w:name w:val="Texto de comentário Char"/>
    <w:basedOn w:val="Fontepargpadro"/>
    <w:link w:val="Textodecomentrio"/>
    <w:uiPriority w:val="99"/>
    <w:rsid w:val="003825A5"/>
    <w:rPr>
      <w:rFonts w:ascii="Times New Roman" w:eastAsia="Times New Roman" w:hAnsi="Times New Roman" w:cs="Times New Roman"/>
      <w:kern w:val="0"/>
      <w:sz w:val="20"/>
      <w:szCs w:val="20"/>
      <w:lang w:eastAsia="pt-BR" w:bidi="pt-BR"/>
    </w:rPr>
  </w:style>
  <w:style w:type="paragraph" w:styleId="Assuntodocomentrio">
    <w:name w:val="annotation subject"/>
    <w:basedOn w:val="Textodecomentrio"/>
    <w:next w:val="Textodecomentrio"/>
    <w:link w:val="AssuntodocomentrioChar"/>
    <w:uiPriority w:val="99"/>
    <w:semiHidden/>
    <w:unhideWhenUsed/>
    <w:rsid w:val="003825A5"/>
    <w:rPr>
      <w:b/>
      <w:bCs/>
    </w:rPr>
  </w:style>
  <w:style w:type="character" w:customStyle="1" w:styleId="AssuntodocomentrioChar">
    <w:name w:val="Assunto do comentário Char"/>
    <w:basedOn w:val="TextodecomentrioChar"/>
    <w:link w:val="Assuntodocomentrio"/>
    <w:uiPriority w:val="99"/>
    <w:semiHidden/>
    <w:rsid w:val="003825A5"/>
    <w:rPr>
      <w:rFonts w:ascii="Times New Roman" w:eastAsia="Times New Roman" w:hAnsi="Times New Roman" w:cs="Times New Roman"/>
      <w:b/>
      <w:bCs/>
      <w:kern w:val="0"/>
      <w:sz w:val="20"/>
      <w:szCs w:val="20"/>
      <w:lang w:eastAsia="pt-BR" w:bidi="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HfN1AtDEnRbCdiJ6YEEXFC0Qw==">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2126</Words>
  <Characters>11481</Characters>
  <Application>Microsoft Office Word</Application>
  <DocSecurity>0</DocSecurity>
  <Lines>95</Lines>
  <Paragraphs>27</Paragraphs>
  <ScaleCrop>false</ScaleCrop>
  <Company/>
  <LinksUpToDate>false</LinksUpToDate>
  <CharactersWithSpaces>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Beatriz Cardoso</dc:creator>
  <cp:lastModifiedBy>Ana Beatriz Cardoso</cp:lastModifiedBy>
  <cp:revision>2</cp:revision>
  <dcterms:created xsi:type="dcterms:W3CDTF">2025-05-29T17:58:00Z</dcterms:created>
  <dcterms:modified xsi:type="dcterms:W3CDTF">2025-06-10T19:54:00Z</dcterms:modified>
</cp:coreProperties>
</file>