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1"/>
        <w:ind w:left="142" w:right="0" w:firstLine="0"/>
        <w:jc w:val="left"/>
        <w:rPr>
          <w:b/>
          <w:i/>
          <w:sz w:val="22"/>
        </w:rPr>
      </w:pPr>
      <w:r>
        <w:rPr>
          <w:b/>
          <w:i/>
          <w:color w:val="2E74B4"/>
          <w:sz w:val="22"/>
        </w:rPr>
        <w:t>RESUMO</w:t>
      </w:r>
      <w:r>
        <w:rPr>
          <w:b/>
          <w:i/>
          <w:color w:val="2E74B4"/>
          <w:spacing w:val="-9"/>
          <w:sz w:val="22"/>
        </w:rPr>
        <w:t> </w:t>
      </w:r>
      <w:r>
        <w:rPr>
          <w:b/>
          <w:i/>
          <w:color w:val="2E74B4"/>
          <w:sz w:val="22"/>
        </w:rPr>
        <w:t>SIMPLES</w:t>
      </w:r>
      <w:r>
        <w:rPr>
          <w:b/>
          <w:i/>
          <w:color w:val="2E74B4"/>
          <w:spacing w:val="-8"/>
          <w:sz w:val="22"/>
        </w:rPr>
        <w:t> </w:t>
      </w:r>
      <w:r>
        <w:rPr>
          <w:b/>
          <w:i/>
          <w:color w:val="2E74B4"/>
          <w:spacing w:val="-2"/>
          <w:sz w:val="22"/>
        </w:rPr>
        <w:t>REGIONAL</w:t>
      </w:r>
    </w:p>
    <w:p>
      <w:pPr>
        <w:pStyle w:val="BodyText"/>
        <w:spacing w:before="12"/>
        <w:rPr>
          <w:b/>
          <w:i/>
          <w:sz w:val="11"/>
        </w:rPr>
      </w:pPr>
      <w:r>
        <w:rPr>
          <w:b/>
          <w:i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1079500</wp:posOffset>
                </wp:positionH>
                <wp:positionV relativeFrom="paragraph">
                  <wp:posOffset>108245</wp:posOffset>
                </wp:positionV>
                <wp:extent cx="5410200" cy="3937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410200" cy="393700"/>
                        </a:xfrm>
                        <a:prstGeom prst="rect">
                          <a:avLst/>
                        </a:prstGeom>
                        <a:solidFill>
                          <a:srgbClr val="FFBF00"/>
                        </a:solidFill>
                      </wps:spPr>
                      <wps:txbx>
                        <w:txbxContent>
                          <w:p>
                            <w:pPr>
                              <w:spacing w:line="259" w:lineRule="auto" w:before="11"/>
                              <w:ind w:left="3723" w:right="81" w:hanging="3656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IMPACTO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NUTRIÇÃO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PRÉ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PÓS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OPERATÓRIA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SUCESSO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CIRURGIA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OBSTRUÇÃO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INTESTINAL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pt;margin-top:8.523299pt;width:426pt;height:31pt;mso-position-horizontal-relative:page;mso-position-vertical-relative:paragraph;z-index:-15728640;mso-wrap-distance-left:0;mso-wrap-distance-right:0" type="#_x0000_t202" id="docshape1" filled="true" fillcolor="#ffbf00" stroked="false">
                <v:textbox inset="0,0,0,0">
                  <w:txbxContent>
                    <w:p>
                      <w:pPr>
                        <w:spacing w:line="259" w:lineRule="auto" w:before="11"/>
                        <w:ind w:left="3723" w:right="81" w:hanging="3656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IMPACTO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NUTRIÇÃO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PRÉ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PÓS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OPERATÓRIA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NO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SUCESSO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CIRURGIA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OBSTRUÇÃO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INTESTINAL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30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Vanessa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Miranda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Santos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Rocha</w:t>
      </w:r>
    </w:p>
    <w:p>
      <w:pPr>
        <w:spacing w:before="0"/>
        <w:ind w:left="142" w:right="5930" w:firstLine="0"/>
        <w:jc w:val="left"/>
        <w:rPr>
          <w:i/>
          <w:sz w:val="18"/>
        </w:rPr>
      </w:pPr>
      <w:hyperlink r:id="rId5">
        <w:r>
          <w:rPr>
            <w:i/>
            <w:color w:val="0462C1"/>
            <w:spacing w:val="-2"/>
            <w:sz w:val="18"/>
            <w:u w:val="thick" w:color="0462C1"/>
          </w:rPr>
          <w:t>Vanessa.m.rocha@ufv.br</w:t>
        </w:r>
      </w:hyperlink>
      <w:r>
        <w:rPr>
          <w:i/>
          <w:color w:val="0462C1"/>
          <w:sz w:val="18"/>
        </w:rPr>
        <w:t> </w:t>
      </w:r>
      <w:r>
        <w:rPr>
          <w:i/>
          <w:sz w:val="18"/>
        </w:rPr>
        <w:t>Universidade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Federal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Viçosa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142" w:right="5623" w:firstLine="360"/>
        <w:jc w:val="left"/>
        <w:rPr>
          <w:i/>
          <w:sz w:val="18"/>
        </w:rPr>
      </w:pPr>
      <w:r>
        <w:rPr>
          <w:i/>
          <w:sz w:val="22"/>
        </w:rPr>
        <w:t>Lucas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Hideki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Hara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Tamura </w:t>
      </w:r>
      <w:hyperlink r:id="rId6">
        <w:r>
          <w:rPr>
            <w:i/>
            <w:color w:val="0462C1"/>
            <w:spacing w:val="-2"/>
            <w:sz w:val="18"/>
            <w:u w:val="thick" w:color="0462C1"/>
          </w:rPr>
          <w:t>Lucastamura1@hotmail.com</w:t>
        </w:r>
      </w:hyperlink>
      <w:r>
        <w:rPr>
          <w:i/>
          <w:color w:val="0462C1"/>
          <w:spacing w:val="40"/>
          <w:sz w:val="18"/>
        </w:rPr>
        <w:t> </w:t>
      </w:r>
      <w:r>
        <w:rPr>
          <w:i/>
          <w:sz w:val="18"/>
        </w:rPr>
        <w:t>Universidade de Araraquara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142" w:right="6267" w:firstLine="360"/>
        <w:jc w:val="left"/>
        <w:rPr>
          <w:i/>
          <w:sz w:val="18"/>
        </w:rPr>
      </w:pPr>
      <w:r>
        <w:rPr>
          <w:i/>
          <w:sz w:val="22"/>
        </w:rPr>
        <w:t>Rômulo Zanesco </w:t>
      </w:r>
      <w:hyperlink r:id="rId7">
        <w:r>
          <w:rPr>
            <w:i/>
            <w:color w:val="0462C1"/>
            <w:spacing w:val="-2"/>
            <w:sz w:val="18"/>
            <w:u w:val="thick" w:color="0462C1"/>
          </w:rPr>
          <w:t>Zanesco_medvet@yahoo.com.br</w:t>
        </w:r>
      </w:hyperlink>
      <w:r>
        <w:rPr>
          <w:i/>
          <w:color w:val="0462C1"/>
          <w:sz w:val="18"/>
        </w:rPr>
        <w:t> </w:t>
      </w:r>
      <w:r>
        <w:rPr>
          <w:i/>
          <w:spacing w:val="-2"/>
          <w:sz w:val="18"/>
        </w:rPr>
        <w:t>UNIFENAS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142" w:right="5696" w:firstLine="360"/>
        <w:jc w:val="left"/>
        <w:rPr>
          <w:i/>
          <w:sz w:val="18"/>
        </w:rPr>
      </w:pPr>
      <w:r>
        <w:rPr>
          <w:i/>
          <w:sz w:val="22"/>
        </w:rPr>
        <w:t>Klariana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Viveiros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Lima </w:t>
      </w:r>
      <w:hyperlink r:id="rId8">
        <w:r>
          <w:rPr>
            <w:i/>
            <w:color w:val="0462C1"/>
            <w:spacing w:val="-2"/>
            <w:sz w:val="18"/>
            <w:u w:val="thick" w:color="0462C1"/>
          </w:rPr>
          <w:t>Adv.klarianaviveiros@gmail.com</w:t>
        </w:r>
      </w:hyperlink>
      <w:r>
        <w:rPr>
          <w:i/>
          <w:color w:val="0462C1"/>
          <w:sz w:val="18"/>
        </w:rPr>
        <w:t> </w:t>
      </w:r>
      <w:r>
        <w:rPr>
          <w:i/>
          <w:sz w:val="18"/>
        </w:rPr>
        <w:t>Faculdade ZARNS medicina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142" w:right="5740" w:firstLine="360"/>
        <w:jc w:val="left"/>
        <w:rPr>
          <w:i/>
          <w:sz w:val="22"/>
        </w:rPr>
      </w:pPr>
      <w:r>
        <w:rPr>
          <w:i/>
          <w:sz w:val="22"/>
        </w:rPr>
        <w:t>Maria Aline Sa Chaves </w:t>
      </w:r>
      <w:hyperlink r:id="rId9">
        <w:r>
          <w:rPr>
            <w:i/>
            <w:color w:val="0462C1"/>
            <w:spacing w:val="-2"/>
            <w:sz w:val="22"/>
            <w:u w:val="thick" w:color="0462C1"/>
          </w:rPr>
          <w:t>212098@sempre.unifacig.edu.br</w:t>
        </w:r>
      </w:hyperlink>
      <w:r>
        <w:rPr>
          <w:i/>
          <w:color w:val="0462C1"/>
          <w:spacing w:val="-2"/>
          <w:sz w:val="22"/>
        </w:rPr>
        <w:t> </w:t>
      </w:r>
      <w:r>
        <w:rPr>
          <w:i/>
          <w:sz w:val="22"/>
        </w:rPr>
        <w:t>Centro Universitário UNIFACIG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0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Giovanna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Duarte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Carvalho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10">
        <w:r>
          <w:rPr>
            <w:i/>
            <w:color w:val="0462C1"/>
            <w:spacing w:val="-2"/>
            <w:sz w:val="18"/>
            <w:u w:val="thick" w:color="0462C1"/>
          </w:rPr>
          <w:t>giovannaduartedecarvalho@gmail.com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Acadêmica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em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Medicina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pela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Universidade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São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Caetano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Sul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campus </w:t>
      </w:r>
      <w:r>
        <w:rPr>
          <w:i/>
          <w:spacing w:val="-2"/>
          <w:sz w:val="18"/>
        </w:rPr>
        <w:t>Itapetininga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0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Nildson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Souza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Rodrigues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11">
        <w:r>
          <w:rPr>
            <w:i/>
            <w:color w:val="0462C1"/>
            <w:spacing w:val="-2"/>
            <w:sz w:val="18"/>
            <w:u w:val="thick" w:color="0462C1"/>
          </w:rPr>
          <w:t>nildson@yahoo.com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Acadêmico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em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Medicina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pela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Universidad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Sudamericana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filial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Pedro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Juan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Caballero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Paraguay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68" w:lineRule="exact" w:before="1" w:after="0"/>
        <w:ind w:left="860" w:right="0" w:hanging="358"/>
        <w:jc w:val="left"/>
        <w:rPr>
          <w:i/>
          <w:sz w:val="22"/>
        </w:rPr>
      </w:pPr>
      <w:r>
        <w:rPr>
          <w:i/>
          <w:sz w:val="22"/>
        </w:rPr>
        <w:t>Olívia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Maria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Marques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Faustino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Sousa</w:t>
      </w:r>
    </w:p>
    <w:p>
      <w:pPr>
        <w:spacing w:line="219" w:lineRule="exact" w:before="0"/>
        <w:ind w:left="142" w:right="0" w:firstLine="0"/>
        <w:jc w:val="left"/>
        <w:rPr>
          <w:i/>
          <w:sz w:val="18"/>
        </w:rPr>
      </w:pPr>
      <w:hyperlink r:id="rId12">
        <w:r>
          <w:rPr>
            <w:i/>
            <w:color w:val="0462C1"/>
            <w:spacing w:val="-2"/>
            <w:sz w:val="18"/>
            <w:u w:val="thick" w:color="0462C1"/>
          </w:rPr>
          <w:t>oliviafaustinomarques@gmail.com</w:t>
        </w:r>
      </w:hyperlink>
    </w:p>
    <w:p>
      <w:pPr>
        <w:spacing w:before="0"/>
        <w:ind w:left="142" w:right="0" w:firstLine="0"/>
        <w:jc w:val="left"/>
        <w:rPr>
          <w:i/>
          <w:sz w:val="18"/>
        </w:rPr>
      </w:pPr>
      <w:r>
        <w:rPr>
          <w:i/>
          <w:sz w:val="18"/>
        </w:rPr>
        <w:t>Acadêmica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em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Medicina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pela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Faculdade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IDOMED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Ribeirão</w:t>
      </w:r>
      <w:r>
        <w:rPr>
          <w:i/>
          <w:spacing w:val="-1"/>
          <w:sz w:val="18"/>
        </w:rPr>
        <w:t> </w:t>
      </w:r>
      <w:r>
        <w:rPr>
          <w:i/>
          <w:spacing w:val="-4"/>
          <w:sz w:val="18"/>
        </w:rPr>
        <w:t>Preto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pStyle w:val="BodyText"/>
        <w:spacing w:line="259" w:lineRule="auto"/>
        <w:ind w:left="142" w:right="154"/>
        <w:jc w:val="both"/>
      </w:pPr>
      <w:r>
        <w:rPr>
          <w:b/>
        </w:rPr>
        <w:t>Introdução: </w:t>
      </w:r>
      <w:r>
        <w:rPr/>
        <w:t>As condutas pré-operatórias devem envolver uma avaliação nutricional completa, a fim de identificar deficiências e otimizar o estado nutricional, especialmente em pacientes desnutridos. A nutrição enteral ou parenteral pode ser indicada, conforme a necessidade do paciente. Durante o período pré-operatório, é recomendada uma dieta rica em carboidratos complexos e proteínas, além da suplementação de vitaminas e minerais, quando necessário. No pós-operatório, a introdução gradual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líquidos</w:t>
      </w:r>
      <w:r>
        <w:rPr>
          <w:spacing w:val="-7"/>
        </w:rPr>
        <w:t> </w:t>
      </w:r>
      <w:r>
        <w:rPr/>
        <w:t>claros,</w:t>
      </w:r>
      <w:r>
        <w:rPr>
          <w:spacing w:val="-7"/>
        </w:rPr>
        <w:t> </w:t>
      </w:r>
      <w:r>
        <w:rPr/>
        <w:t>progredindo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alimentos</w:t>
      </w:r>
      <w:r>
        <w:rPr>
          <w:spacing w:val="-7"/>
        </w:rPr>
        <w:t> </w:t>
      </w:r>
      <w:r>
        <w:rPr/>
        <w:t>sólidos conforme a tolerância, é essencial, assim como a manutenção adequada da hidratação. Alimentos ricos em fibras e que possam causar distensão abdominal devem ser evitados imediatamente após a cirurgia para prevenir desconfortos gastrointestinais. A obstrução intestinal em pacientes</w:t>
      </w:r>
      <w:r>
        <w:rPr>
          <w:spacing w:val="-6"/>
        </w:rPr>
        <w:t> </w:t>
      </w:r>
      <w:r>
        <w:rPr/>
        <w:t>pediátricos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condição</w:t>
      </w:r>
      <w:r>
        <w:rPr>
          <w:spacing w:val="-6"/>
        </w:rPr>
        <w:t> </w:t>
      </w:r>
      <w:r>
        <w:rPr/>
        <w:t>grave,</w:t>
      </w:r>
      <w:r>
        <w:rPr>
          <w:spacing w:val="-6"/>
        </w:rPr>
        <w:t> </w:t>
      </w:r>
      <w:r>
        <w:rPr/>
        <w:t>podendo</w:t>
      </w:r>
      <w:r>
        <w:rPr>
          <w:spacing w:val="-6"/>
        </w:rPr>
        <w:t> </w:t>
      </w:r>
      <w:r>
        <w:rPr/>
        <w:t>resultar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etiologias</w:t>
      </w:r>
      <w:r>
        <w:rPr>
          <w:spacing w:val="-6"/>
        </w:rPr>
        <w:t> </w:t>
      </w:r>
      <w:r>
        <w:rPr/>
        <w:t>como atresia intestinal, vólvulo intestinal e hérnias estranguladas, com sintomas clínicos variando desde dor abdominal aguda até constipação crônica. Já em adultos, causas comuns incluem aderências pós-cirúrgicas, neoplasias malignas e hérnias. </w:t>
      </w:r>
      <w:r>
        <w:rPr>
          <w:b/>
        </w:rPr>
        <w:t>Objetivo: </w:t>
      </w:r>
      <w:r>
        <w:rPr/>
        <w:t>Analisar, através de uma revisão de literatura, o impacto da nutrição pré e pós operatória no sucesso da cirurgia de obstrução intestinal. </w:t>
      </w:r>
      <w:r>
        <w:rPr>
          <w:b/>
        </w:rPr>
        <w:t>Método: </w:t>
      </w:r>
      <w:r>
        <w:rPr/>
        <w:t>A metodologia adotada para este estudo consistiu em uma revisão de</w:t>
      </w:r>
      <w:r>
        <w:rPr>
          <w:spacing w:val="-7"/>
        </w:rPr>
        <w:t> </w:t>
      </w:r>
      <w:r>
        <w:rPr/>
        <w:t>literatura</w:t>
      </w:r>
      <w:r>
        <w:rPr>
          <w:spacing w:val="-7"/>
        </w:rPr>
        <w:t> </w:t>
      </w:r>
      <w:r>
        <w:rPr/>
        <w:t>nas</w:t>
      </w:r>
      <w:r>
        <w:rPr>
          <w:spacing w:val="-7"/>
        </w:rPr>
        <w:t> </w:t>
      </w:r>
      <w:r>
        <w:rPr/>
        <w:t>bases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dados</w:t>
      </w:r>
      <w:r>
        <w:rPr>
          <w:spacing w:val="-7"/>
        </w:rPr>
        <w:t> </w:t>
      </w:r>
      <w:r>
        <w:rPr/>
        <w:t>PUBMED,</w:t>
      </w:r>
      <w:r>
        <w:rPr>
          <w:spacing w:val="-7"/>
        </w:rPr>
        <w:t> </w:t>
      </w:r>
      <w:r>
        <w:rPr/>
        <w:t>LATINDEX,</w:t>
      </w:r>
      <w:r>
        <w:rPr>
          <w:spacing w:val="-7"/>
        </w:rPr>
        <w:t> </w:t>
      </w:r>
      <w:r>
        <w:rPr/>
        <w:t>SCIELO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BVS,</w:t>
      </w:r>
      <w:r>
        <w:rPr>
          <w:spacing w:val="-7"/>
        </w:rPr>
        <w:t> </w:t>
      </w:r>
      <w:r>
        <w:rPr/>
        <w:t>abrangendo</w:t>
      </w:r>
      <w:r>
        <w:rPr>
          <w:spacing w:val="-7"/>
        </w:rPr>
        <w:t> </w:t>
      </w:r>
      <w:r>
        <w:rPr/>
        <w:t>artigos publicados entre 2014 e 2024. A pesquisa foi realizada utilizando artigos completos, experimentais ou não, disponíveis gratuitamente, e</w:t>
      </w:r>
      <w:r>
        <w:rPr>
          <w:spacing w:val="-6"/>
        </w:rPr>
        <w:t> </w:t>
      </w:r>
      <w:r>
        <w:rPr/>
        <w:t>escritos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inglês,</w:t>
      </w:r>
      <w:r>
        <w:rPr>
          <w:spacing w:val="-6"/>
        </w:rPr>
        <w:t> </w:t>
      </w:r>
      <w:r>
        <w:rPr/>
        <w:t>espanhol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português. A estratégia PICO</w:t>
      </w:r>
      <w:r>
        <w:rPr>
          <w:spacing w:val="-6"/>
        </w:rPr>
        <w:t> </w:t>
      </w:r>
      <w:r>
        <w:rPr/>
        <w:t>formulada</w:t>
      </w:r>
      <w:r>
        <w:rPr>
          <w:spacing w:val="-6"/>
        </w:rPr>
        <w:t> </w:t>
      </w:r>
      <w:r>
        <w:rPr/>
        <w:t>foi:</w:t>
      </w:r>
      <w:r>
        <w:rPr>
          <w:spacing w:val="-6"/>
        </w:rPr>
        <w:t> </w:t>
      </w:r>
      <w:r>
        <w:rPr/>
        <w:t>"Qual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impacto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nutrição</w:t>
      </w:r>
      <w:r>
        <w:rPr>
          <w:spacing w:val="-6"/>
        </w:rPr>
        <w:t> </w:t>
      </w:r>
      <w:r>
        <w:rPr/>
        <w:t>pré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pós-operatória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sucesso da cirurgia de obstrução intestinal em adultos?" Os descritores utilizados foram "nutrição", "cirurgia", "obstrução intestinal" e "pós-operatório". Foram incluídos estudos com pacientes adultos submetidos à cirurgia de obstrução</w:t>
      </w:r>
      <w:r>
        <w:rPr>
          <w:spacing w:val="-6"/>
        </w:rPr>
        <w:t> </w:t>
      </w:r>
      <w:r>
        <w:rPr/>
        <w:t>intestinal,</w:t>
      </w:r>
      <w:r>
        <w:rPr>
          <w:spacing w:val="-6"/>
        </w:rPr>
        <w:t> </w:t>
      </w:r>
      <w:r>
        <w:rPr/>
        <w:t>abordando</w:t>
      </w:r>
      <w:r>
        <w:rPr>
          <w:spacing w:val="-6"/>
        </w:rPr>
        <w:t> </w:t>
      </w:r>
      <w:r>
        <w:rPr/>
        <w:t>aspectos</w:t>
      </w:r>
      <w:r>
        <w:rPr>
          <w:spacing w:val="-6"/>
        </w:rPr>
        <w:t> </w:t>
      </w:r>
      <w:r>
        <w:rPr/>
        <w:t>nutricionais</w:t>
      </w:r>
      <w:r>
        <w:rPr>
          <w:spacing w:val="-6"/>
        </w:rPr>
        <w:t> </w:t>
      </w:r>
      <w:r>
        <w:rPr/>
        <w:t>antes</w:t>
      </w:r>
      <w:r>
        <w:rPr>
          <w:spacing w:val="-6"/>
        </w:rPr>
        <w:t> </w:t>
      </w:r>
      <w:r>
        <w:rPr/>
        <w:t>e</w:t>
      </w:r>
    </w:p>
    <w:p>
      <w:pPr>
        <w:pStyle w:val="BodyText"/>
        <w:spacing w:after="0" w:line="259" w:lineRule="auto"/>
        <w:jc w:val="both"/>
        <w:sectPr>
          <w:type w:val="continuous"/>
          <w:pgSz w:w="11920" w:h="16840"/>
          <w:pgMar w:top="1380" w:bottom="280" w:left="1559" w:right="1559"/>
        </w:sectPr>
      </w:pPr>
    </w:p>
    <w:p>
      <w:pPr>
        <w:pStyle w:val="BodyText"/>
        <w:spacing w:line="259" w:lineRule="auto" w:before="41"/>
        <w:ind w:left="142" w:right="154"/>
        <w:jc w:val="both"/>
      </w:pPr>
      <w:r>
        <w:rPr/>
        <w:t>após a cirurgia. Artigos que não discutiam as variáveis nutricionais ou envolviam populações pediátricas ou com comorbidades graves foram excluídos. Ao final, 15 artigos foram selecionados para análise. </w:t>
      </w:r>
      <w:r>
        <w:rPr>
          <w:b/>
        </w:rPr>
        <w:t>Resultados: </w:t>
      </w:r>
      <w:r>
        <w:rPr/>
        <w:t>A nutrição adequada no período pré-operatório desempenha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papel</w:t>
      </w:r>
      <w:r>
        <w:rPr>
          <w:spacing w:val="-6"/>
        </w:rPr>
        <w:t> </w:t>
      </w:r>
      <w:r>
        <w:rPr/>
        <w:t>fundamental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redução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complicações,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melhoria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cicatrização</w:t>
      </w:r>
      <w:r>
        <w:rPr>
          <w:spacing w:val="-6"/>
        </w:rPr>
        <w:t> </w:t>
      </w:r>
      <w:r>
        <w:rPr/>
        <w:t>e na diminuição do tempo de internação hospitalar. A otimização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nutricional</w:t>
      </w:r>
      <w:r>
        <w:rPr>
          <w:spacing w:val="-6"/>
        </w:rPr>
        <w:t> </w:t>
      </w:r>
      <w:r>
        <w:rPr/>
        <w:t>antes</w:t>
      </w:r>
      <w:r>
        <w:rPr>
          <w:spacing w:val="-6"/>
        </w:rPr>
        <w:t> </w:t>
      </w:r>
      <w:r>
        <w:rPr/>
        <w:t>da cirurgia fortalece o sistema imunológico e promove uma recuperação mais rápida. Durante o pós-operatório, a nutrição adequada é igualmente crucial, pois contribui para a recuperação funcional do intestino, favorecendo a restauração do trânsito intestinal e a redução de complicações, como infecções e fístulas. A introdução gradual de alimentos, começando com líquidos claros e progredindo para dietas mais sólidas conforme a tolerância, é essencial para minimizar o risco de distúrbios gastrointestinais. Além</w:t>
      </w:r>
      <w:r>
        <w:rPr>
          <w:spacing w:val="-6"/>
        </w:rPr>
        <w:t> </w:t>
      </w:r>
      <w:r>
        <w:rPr/>
        <w:t>disso,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manutenção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hidratação adequada é determinante para o equilíbrio eletrolítico e o bom funcionamento dos órgãos. A nutrição enteral ou parenteral pode ser necessária em casos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pacientes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dificuldades</w:t>
      </w:r>
      <w:r>
        <w:rPr>
          <w:spacing w:val="-5"/>
        </w:rPr>
        <w:t> </w:t>
      </w:r>
      <w:r>
        <w:rPr/>
        <w:t>de ingestão alimentar, garantindo a oferta de nutrientes essenciais.</w:t>
      </w:r>
      <w:r>
        <w:rPr>
          <w:spacing w:val="-8"/>
        </w:rPr>
        <w:t> </w:t>
      </w:r>
      <w:r>
        <w:rPr/>
        <w:t>Dessa</w:t>
      </w:r>
      <w:r>
        <w:rPr>
          <w:spacing w:val="-8"/>
        </w:rPr>
        <w:t> </w:t>
      </w:r>
      <w:r>
        <w:rPr/>
        <w:t>forma,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nutrição pré-operatória quanto a pós-operatória devem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estrategicamente</w:t>
      </w:r>
      <w:r>
        <w:rPr>
          <w:spacing w:val="-10"/>
        </w:rPr>
        <w:t> </w:t>
      </w:r>
      <w:r>
        <w:rPr/>
        <w:t>planejadas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monitoradas para assegurar a recuperação otimizada e prevenir complicações relacionadas à cirurgia. </w:t>
      </w:r>
      <w:r>
        <w:rPr>
          <w:b/>
        </w:rPr>
        <w:t>Conclusão: </w:t>
      </w:r>
      <w:r>
        <w:rPr/>
        <w:t>As evidências revisadas destacam a importância fundamental da nutrição pré e</w:t>
      </w:r>
      <w:r>
        <w:rPr>
          <w:spacing w:val="40"/>
        </w:rPr>
        <w:t> </w:t>
      </w:r>
      <w:r>
        <w:rPr/>
        <w:t>pós-operatória no manejo de obstrução intestinal, evidenciando que um estado nutricional otimizado pode melhorar os desfechos cirúrgicos, reduzir complicações e acelerar a recuperação. A manutenção de uma alimentação adequada contribui para a cicatrização, diminui o risco de infecções e fístulas, além de favorecer o retorno da função intestinal. É crucial incentivar mais pesquisas focadas na personalização dos protocolos nutricionais, considerando variáveis individuais dos pacientes, para aprimorar os resultados no tratamento dessa condição.</w:t>
      </w:r>
    </w:p>
    <w:p>
      <w:pPr>
        <w:pStyle w:val="BodyText"/>
        <w:spacing w:before="154"/>
        <w:ind w:left="142"/>
      </w:pPr>
      <w:r>
        <w:rPr>
          <w:spacing w:val="-2"/>
        </w:rPr>
        <w:t>Palavras-chave:</w:t>
      </w:r>
      <w:r>
        <w:rPr>
          <w:spacing w:val="1"/>
        </w:rPr>
        <w:t> </w:t>
      </w:r>
      <w:r>
        <w:rPr>
          <w:spacing w:val="-2"/>
        </w:rPr>
        <w:t>nutrição,</w:t>
      </w:r>
      <w:r>
        <w:rPr>
          <w:spacing w:val="3"/>
        </w:rPr>
        <w:t> </w:t>
      </w:r>
      <w:r>
        <w:rPr>
          <w:spacing w:val="-2"/>
        </w:rPr>
        <w:t>obstrução</w:t>
      </w:r>
      <w:r>
        <w:rPr>
          <w:spacing w:val="3"/>
        </w:rPr>
        <w:t> </w:t>
      </w:r>
      <w:r>
        <w:rPr>
          <w:spacing w:val="-2"/>
        </w:rPr>
        <w:t>intestinal,</w:t>
      </w:r>
      <w:r>
        <w:rPr>
          <w:spacing w:val="4"/>
        </w:rPr>
        <w:t> </w:t>
      </w:r>
      <w:r>
        <w:rPr>
          <w:spacing w:val="-2"/>
        </w:rPr>
        <w:t>cirurgia.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142"/>
      </w:pPr>
      <w:r>
        <w:rPr>
          <w:spacing w:val="-2"/>
        </w:rPr>
        <w:t>Referências: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182" w:after="0"/>
        <w:ind w:left="862" w:right="155" w:hanging="360"/>
        <w:jc w:val="both"/>
        <w:rPr>
          <w:sz w:val="22"/>
        </w:rPr>
      </w:pPr>
      <w:r>
        <w:rPr>
          <w:sz w:val="22"/>
        </w:rPr>
        <w:t>ALMEIDA, Luiza Figueiredo Ribeiro et</w:t>
      </w:r>
      <w:r>
        <w:rPr>
          <w:spacing w:val="-8"/>
          <w:sz w:val="22"/>
        </w:rPr>
        <w:t> </w:t>
      </w:r>
      <w:r>
        <w:rPr>
          <w:sz w:val="22"/>
        </w:rPr>
        <w:t>al.</w:t>
      </w:r>
      <w:r>
        <w:rPr>
          <w:spacing w:val="-8"/>
          <w:sz w:val="22"/>
        </w:rPr>
        <w:t> </w:t>
      </w:r>
      <w:r>
        <w:rPr>
          <w:sz w:val="22"/>
        </w:rPr>
        <w:t>Obstrução</w:t>
      </w:r>
      <w:r>
        <w:rPr>
          <w:spacing w:val="-8"/>
          <w:sz w:val="22"/>
        </w:rPr>
        <w:t> </w:t>
      </w:r>
      <w:r>
        <w:rPr>
          <w:sz w:val="22"/>
        </w:rPr>
        <w:t>Intestinal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Pacientes</w:t>
      </w:r>
      <w:r>
        <w:rPr>
          <w:spacing w:val="-8"/>
          <w:sz w:val="22"/>
        </w:rPr>
        <w:t> </w:t>
      </w:r>
      <w:r>
        <w:rPr>
          <w:sz w:val="22"/>
        </w:rPr>
        <w:t>Pediátricos: Manifestações Clínicas, Conduta Cirúrgica E Desfechos.</w:t>
      </w:r>
      <w:r>
        <w:rPr>
          <w:spacing w:val="-6"/>
          <w:sz w:val="22"/>
        </w:rPr>
        <w:t> </w:t>
      </w:r>
      <w:r>
        <w:rPr>
          <w:sz w:val="22"/>
        </w:rPr>
        <w:t>Revista Ibero-Americana de Humanidades, Ciências e Educação, v. 10, n. 7, p. 552-562, 2024.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59" w:hanging="360"/>
        <w:jc w:val="both"/>
        <w:rPr>
          <w:sz w:val="22"/>
        </w:rPr>
      </w:pPr>
      <w:r>
        <w:rPr>
          <w:sz w:val="22"/>
        </w:rPr>
        <w:t>DANTAS-FILHO, Antônio Medeiros et al. OS PRINCÍPIOS DO PRÉ E PÓS-OPERATÓRIO: PRINCÍPIOS DO PRÉ E PÓS-OPERATÓRIO.</w:t>
      </w:r>
      <w:r>
        <w:rPr>
          <w:spacing w:val="-4"/>
          <w:sz w:val="22"/>
        </w:rPr>
        <w:t> </w:t>
      </w:r>
      <w:r>
        <w:rPr>
          <w:sz w:val="22"/>
        </w:rPr>
        <w:t>JOURNAL OF SURGICAL AND CLINICAL RESEARCH, v. 14, n. 2, p. 92-106, 2023.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58" w:hanging="360"/>
        <w:jc w:val="both"/>
        <w:rPr>
          <w:sz w:val="22"/>
        </w:rPr>
      </w:pPr>
      <w:r>
        <w:rPr>
          <w:sz w:val="22"/>
        </w:rPr>
        <w:t>GUERRA, Denise Krishna Holanda et al. Manejo Clínico Da Obstrução Intestinal Em Cirurgia Geral: Uma Metanálise Das Abordagens Terapêuticas.</w:t>
      </w:r>
      <w:r>
        <w:rPr>
          <w:spacing w:val="-7"/>
          <w:sz w:val="22"/>
        </w:rPr>
        <w:t> </w:t>
      </w:r>
      <w:r>
        <w:rPr>
          <w:sz w:val="22"/>
        </w:rPr>
        <w:t>Journal of Medical and Biosciences Research, v. 1, n. 2, p. 97-114, 2024.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61" w:hanging="360"/>
        <w:jc w:val="both"/>
        <w:rPr>
          <w:sz w:val="22"/>
        </w:rPr>
      </w:pPr>
      <w:r>
        <w:rPr>
          <w:sz w:val="22"/>
        </w:rPr>
        <w:t>NOETZOLD,</w:t>
      </w:r>
      <w:r>
        <w:rPr>
          <w:spacing w:val="80"/>
          <w:sz w:val="22"/>
        </w:rPr>
        <w:t> </w:t>
      </w:r>
      <w:r>
        <w:rPr>
          <w:sz w:val="22"/>
        </w:rPr>
        <w:t>Eduarda</w:t>
      </w:r>
      <w:r>
        <w:rPr>
          <w:spacing w:val="80"/>
          <w:sz w:val="22"/>
        </w:rPr>
        <w:t> </w:t>
      </w:r>
      <w:r>
        <w:rPr>
          <w:sz w:val="22"/>
        </w:rPr>
        <w:t>Aparecida</w:t>
      </w:r>
      <w:r>
        <w:rPr>
          <w:spacing w:val="80"/>
          <w:sz w:val="22"/>
        </w:rPr>
        <w:t> </w:t>
      </w:r>
      <w:r>
        <w:rPr>
          <w:sz w:val="22"/>
        </w:rPr>
        <w:t>Gevieschi</w:t>
      </w:r>
      <w:r>
        <w:rPr>
          <w:spacing w:val="80"/>
          <w:sz w:val="22"/>
        </w:rPr>
        <w:t> </w:t>
      </w:r>
      <w:r>
        <w:rPr>
          <w:sz w:val="22"/>
        </w:rPr>
        <w:t>et</w:t>
      </w:r>
      <w:r>
        <w:rPr>
          <w:spacing w:val="80"/>
          <w:sz w:val="22"/>
        </w:rPr>
        <w:t> </w:t>
      </w:r>
      <w:r>
        <w:rPr>
          <w:sz w:val="22"/>
        </w:rPr>
        <w:t>al.</w:t>
      </w:r>
      <w:r>
        <w:rPr>
          <w:spacing w:val="80"/>
          <w:sz w:val="22"/>
        </w:rPr>
        <w:t> </w:t>
      </w:r>
      <w:r>
        <w:rPr>
          <w:sz w:val="22"/>
        </w:rPr>
        <w:t>Ações</w:t>
      </w:r>
      <w:r>
        <w:rPr>
          <w:spacing w:val="80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cuidado</w:t>
      </w:r>
      <w:r>
        <w:rPr>
          <w:spacing w:val="80"/>
          <w:sz w:val="22"/>
        </w:rPr>
        <w:t> </w:t>
      </w:r>
      <w:r>
        <w:rPr>
          <w:sz w:val="22"/>
        </w:rPr>
        <w:t>no</w:t>
      </w:r>
      <w:r>
        <w:rPr>
          <w:spacing w:val="80"/>
          <w:sz w:val="22"/>
        </w:rPr>
        <w:t> </w:t>
      </w:r>
      <w:r>
        <w:rPr>
          <w:sz w:val="22"/>
        </w:rPr>
        <w:t>preparo pré-operatório à criança submetida a procedimentos cirúrgicos.</w:t>
      </w:r>
      <w:r>
        <w:rPr>
          <w:spacing w:val="-5"/>
          <w:sz w:val="22"/>
        </w:rPr>
        <w:t> </w:t>
      </w:r>
      <w:r>
        <w:rPr>
          <w:sz w:val="22"/>
        </w:rPr>
        <w:t>Revista Ciência &amp; Humanização do Hospital de Clínicas de Passo Fundo, v. 2, n. 1, 2022.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862" w:val="left" w:leader="none"/>
        </w:tabs>
        <w:spacing w:line="259" w:lineRule="auto" w:before="0" w:after="0"/>
        <w:ind w:left="862" w:right="160" w:hanging="360"/>
        <w:jc w:val="both"/>
        <w:rPr>
          <w:sz w:val="22"/>
        </w:rPr>
      </w:pPr>
      <w:r>
        <w:rPr>
          <w:sz w:val="22"/>
        </w:rPr>
        <w:t>PAMPOLHA, Danielle Varvounis et al. Tempo de jejum no pré-operatório e suas repercussões: revisão integrativa.</w:t>
      </w:r>
      <w:r>
        <w:rPr>
          <w:spacing w:val="-11"/>
          <w:sz w:val="22"/>
        </w:rPr>
        <w:t> </w:t>
      </w:r>
      <w:r>
        <w:rPr>
          <w:sz w:val="22"/>
        </w:rPr>
        <w:t>Revista Recien-Revista Científica de Enfermagem, v. 10, n. 29, p. 19-29, 2020.</w:t>
      </w:r>
    </w:p>
    <w:sectPr>
      <w:pgSz w:w="11920" w:h="16840"/>
      <w:pgMar w:top="138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3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3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3723" w:right="81" w:hanging="3656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2" w:hanging="3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anessa.m.rocha@ufv.br" TargetMode="External"/><Relationship Id="rId6" Type="http://schemas.openxmlformats.org/officeDocument/2006/relationships/hyperlink" Target="mailto:Lucastamura1@hotmail.com" TargetMode="External"/><Relationship Id="rId7" Type="http://schemas.openxmlformats.org/officeDocument/2006/relationships/hyperlink" Target="mailto:Zanesco_medvet@yahoo.com.br" TargetMode="External"/><Relationship Id="rId8" Type="http://schemas.openxmlformats.org/officeDocument/2006/relationships/hyperlink" Target="mailto:Adv.klarianaviveiros@gmail.com" TargetMode="External"/><Relationship Id="rId9" Type="http://schemas.openxmlformats.org/officeDocument/2006/relationships/hyperlink" Target="mailto:212098@sempre.unifacig.edu.br" TargetMode="External"/><Relationship Id="rId10" Type="http://schemas.openxmlformats.org/officeDocument/2006/relationships/hyperlink" Target="mailto:giovannaduartedecarvalho@gmail.com" TargetMode="External"/><Relationship Id="rId11" Type="http://schemas.openxmlformats.org/officeDocument/2006/relationships/hyperlink" Target="mailto:nildson@yahoo.com" TargetMode="External"/><Relationship Id="rId12" Type="http://schemas.openxmlformats.org/officeDocument/2006/relationships/hyperlink" Target="mailto:oliviafaustinomarques@gmail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2024-12-24T05:50:02Z</dcterms:created>
  <dcterms:modified xsi:type="dcterms:W3CDTF">2024-12-24T05:50:02Z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2024-12-24T00:00:00Z</vt:filetime>
  </property>
  <property fmtid="{D5CDD505-2E9C-101B-9397-08002B2CF9AE}" pid="4" name="Producer">
    <vt:lpwstr>iLovePDF</vt:lpwstr>
  </property>
</Properties>
</file>