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2FB2" w14:textId="0CF8A279" w:rsidR="00F50F8E" w:rsidRPr="00F50F8E" w:rsidRDefault="00A91120" w:rsidP="00F50F8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ESTRATÉGI</w:t>
      </w:r>
      <w:r w:rsidR="00534160">
        <w:rPr>
          <w:rFonts w:ascii="Times New Roman" w:hAnsi="Times New Roman" w:cs="Times New Roman"/>
          <w:b/>
          <w:bCs/>
        </w:rPr>
        <w:t>CAS LÚDICAS</w:t>
      </w:r>
      <w:r w:rsidR="00D778E1">
        <w:rPr>
          <w:rFonts w:ascii="Times New Roman" w:hAnsi="Times New Roman" w:cs="Times New Roman"/>
          <w:b/>
          <w:bCs/>
        </w:rPr>
        <w:t xml:space="preserve"> NO CUIDADO</w:t>
      </w:r>
      <w:r w:rsidR="00250E86">
        <w:rPr>
          <w:rFonts w:ascii="Times New Roman" w:hAnsi="Times New Roman" w:cs="Times New Roman"/>
          <w:b/>
          <w:bCs/>
        </w:rPr>
        <w:t xml:space="preserve"> DE ENFERMAGEM PEDIÁTRIC</w:t>
      </w:r>
      <w:r w:rsidR="00DC14C3">
        <w:rPr>
          <w:rFonts w:ascii="Times New Roman" w:hAnsi="Times New Roman" w:cs="Times New Roman"/>
          <w:b/>
          <w:bCs/>
        </w:rPr>
        <w:t>A</w:t>
      </w:r>
      <w:r w:rsidR="00250E86">
        <w:rPr>
          <w:rFonts w:ascii="Times New Roman" w:hAnsi="Times New Roman" w:cs="Times New Roman"/>
          <w:b/>
          <w:bCs/>
        </w:rPr>
        <w:t xml:space="preserve">: </w:t>
      </w:r>
      <w:r w:rsidR="001B47CD">
        <w:rPr>
          <w:rFonts w:ascii="Times New Roman" w:hAnsi="Times New Roman" w:cs="Times New Roman"/>
          <w:b/>
          <w:bCs/>
        </w:rPr>
        <w:t xml:space="preserve">CONTRIBUIÇÕES </w:t>
      </w:r>
      <w:r w:rsidR="00CE1498">
        <w:rPr>
          <w:rFonts w:ascii="Times New Roman" w:hAnsi="Times New Roman" w:cs="Times New Roman"/>
          <w:b/>
          <w:bCs/>
        </w:rPr>
        <w:t xml:space="preserve">PARA UMA ASSISTÊNCIA </w:t>
      </w:r>
      <w:r w:rsidR="00F124D0">
        <w:rPr>
          <w:rFonts w:ascii="Times New Roman" w:hAnsi="Times New Roman" w:cs="Times New Roman"/>
          <w:b/>
          <w:bCs/>
        </w:rPr>
        <w:t>HUMANIZADA</w:t>
      </w:r>
    </w:p>
    <w:p w14:paraId="43DCEB26" w14:textId="54422B7B" w:rsidR="00BB6969" w:rsidRPr="00DB0051" w:rsidRDefault="00D14196" w:rsidP="00B85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SOUSA, Lohanny</w:t>
      </w:r>
      <w:r w:rsidR="00C45241">
        <w:rPr>
          <w:rFonts w:ascii="Times New Roman" w:hAnsi="Times New Roman" w:cs="Times New Roman"/>
        </w:rPr>
        <w:t xml:space="preserve"> </w:t>
      </w:r>
      <w:r w:rsidR="003C4BD0">
        <w:rPr>
          <w:rFonts w:ascii="Times New Roman" w:hAnsi="Times New Roman" w:cs="Times New Roman"/>
        </w:rPr>
        <w:t>–</w:t>
      </w:r>
      <w:r w:rsidR="00FC2F1B" w:rsidRPr="00FC2F1B">
        <w:rPr>
          <w:rFonts w:ascii="Times New Roman" w:hAnsi="Times New Roman" w:cs="Times New Roman"/>
        </w:rPr>
        <w:t xml:space="preserve"> 0009-0007-1363-3412</w:t>
      </w:r>
      <w:r w:rsidR="00A13157" w:rsidRPr="00A13157">
        <w:rPr>
          <w:rFonts w:ascii="Times New Roman" w:hAnsi="Times New Roman" w:cs="Times New Roman"/>
          <w:vertAlign w:val="superscript"/>
        </w:rPr>
        <w:t>1</w:t>
      </w:r>
    </w:p>
    <w:p w14:paraId="0055BF5C" w14:textId="25846082" w:rsidR="00683534" w:rsidRDefault="00112FDB" w:rsidP="006835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CAMPOS</w:t>
      </w:r>
      <w:r w:rsidR="00C77E6B">
        <w:rPr>
          <w:rFonts w:ascii="Times New Roman" w:hAnsi="Times New Roman" w:cs="Times New Roman"/>
        </w:rPr>
        <w:t>, Fabíola</w:t>
      </w:r>
      <w:r w:rsidR="00937C41">
        <w:rPr>
          <w:rFonts w:ascii="Times New Roman" w:hAnsi="Times New Roman" w:cs="Times New Roman"/>
        </w:rPr>
        <w:t xml:space="preserve"> –</w:t>
      </w:r>
      <w:r w:rsidR="00C77E6B">
        <w:rPr>
          <w:rFonts w:ascii="Times New Roman" w:hAnsi="Times New Roman" w:cs="Times New Roman"/>
        </w:rPr>
        <w:t xml:space="preserve"> </w:t>
      </w:r>
      <w:r w:rsidR="00D9795F">
        <w:rPr>
          <w:rFonts w:ascii="Times New Roman" w:hAnsi="Times New Roman" w:cs="Times New Roman"/>
        </w:rPr>
        <w:t>0000</w:t>
      </w:r>
      <w:r w:rsidR="003F18C5">
        <w:rPr>
          <w:rFonts w:ascii="Times New Roman" w:hAnsi="Times New Roman" w:cs="Times New Roman"/>
        </w:rPr>
        <w:t xml:space="preserve"> </w:t>
      </w:r>
      <w:r w:rsidR="00576BCC">
        <w:rPr>
          <w:rFonts w:ascii="Times New Roman" w:hAnsi="Times New Roman" w:cs="Times New Roman"/>
        </w:rPr>
        <w:t>–</w:t>
      </w:r>
      <w:r w:rsidR="003F18C5">
        <w:rPr>
          <w:rFonts w:ascii="Times New Roman" w:hAnsi="Times New Roman" w:cs="Times New Roman"/>
        </w:rPr>
        <w:t xml:space="preserve"> </w:t>
      </w:r>
      <w:r w:rsidR="00E03A4F">
        <w:rPr>
          <w:rFonts w:ascii="Times New Roman" w:hAnsi="Times New Roman" w:cs="Times New Roman"/>
        </w:rPr>
        <w:t>0003</w:t>
      </w:r>
      <w:r w:rsidR="00576BCC">
        <w:rPr>
          <w:rFonts w:ascii="Times New Roman" w:hAnsi="Times New Roman" w:cs="Times New Roman"/>
        </w:rPr>
        <w:t xml:space="preserve">- </w:t>
      </w:r>
      <w:r w:rsidR="00F320AC">
        <w:rPr>
          <w:rFonts w:ascii="Times New Roman" w:hAnsi="Times New Roman" w:cs="Times New Roman"/>
        </w:rPr>
        <w:t xml:space="preserve">4569 </w:t>
      </w:r>
      <w:r w:rsidR="003C478D">
        <w:rPr>
          <w:rFonts w:ascii="Times New Roman" w:hAnsi="Times New Roman" w:cs="Times New Roman"/>
        </w:rPr>
        <w:t>–</w:t>
      </w:r>
      <w:r w:rsidR="00F320AC">
        <w:rPr>
          <w:rFonts w:ascii="Times New Roman" w:hAnsi="Times New Roman" w:cs="Times New Roman"/>
        </w:rPr>
        <w:t xml:space="preserve"> </w:t>
      </w:r>
      <w:r w:rsidR="00C14DB8">
        <w:rPr>
          <w:rFonts w:ascii="Times New Roman" w:hAnsi="Times New Roman" w:cs="Times New Roman"/>
        </w:rPr>
        <w:t>5208</w:t>
      </w:r>
    </w:p>
    <w:p w14:paraId="0B39EB65" w14:textId="7E82C007" w:rsidR="00DB2BF5" w:rsidRPr="00DB2BF5" w:rsidRDefault="00F27421" w:rsidP="00DB2BF5">
      <w:pPr>
        <w:pStyle w:val="p1"/>
        <w:rPr>
          <w:rFonts w:ascii="Times New Roman" w:hAnsi="Times New Roman"/>
          <w:sz w:val="24"/>
          <w:szCs w:val="24"/>
        </w:rPr>
      </w:pPr>
      <w:r w:rsidRPr="00DB2BF5">
        <w:rPr>
          <w:rFonts w:ascii="Times New Roman" w:hAnsi="Times New Roman"/>
          <w:b/>
          <w:bCs/>
          <w:sz w:val="24"/>
          <w:szCs w:val="24"/>
        </w:rPr>
        <w:t xml:space="preserve">INTRODUÇÃO: </w:t>
      </w:r>
      <w:r w:rsidRPr="00DB2BF5">
        <w:rPr>
          <w:rFonts w:ascii="Times New Roman" w:hAnsi="Times New Roman"/>
          <w:sz w:val="24"/>
          <w:szCs w:val="24"/>
        </w:rPr>
        <w:t xml:space="preserve">O cuidado de enfermagem pediátrico constitui uma área de atuação que exige abordagem ampliada, sensível e comprometida com a integralidade do cuidado, uma vez que ultrapassa o aspecto técnico e envolve dimensões emocionais, cognitivas, familiares e sociais. Nesse contexto, o ambiente hospitalar pode representar espaço de medo, insegurança e sofrimento, devido a procedimentos invasivos, mudanças na rotina e afastamento familiar, fatores que podem impactar negativamente a experiência da criança durante a hospitalização, interferindo na adesão ao tratamento e na forma como percebe o cuidado em saúde. Diante disso, as estratégias lúdicas se apresentam como recursos essenciais no cuidado de enfermagem pediátrico, ao possibilitarem aproximação mais humanizada entre profissional e criança. O uso do brincar, música, </w:t>
      </w:r>
      <w:proofErr w:type="spellStart"/>
      <w:r w:rsidRPr="00DB2BF5">
        <w:rPr>
          <w:rFonts w:ascii="Times New Roman" w:hAnsi="Times New Roman"/>
          <w:sz w:val="24"/>
          <w:szCs w:val="24"/>
        </w:rPr>
        <w:t>contação</w:t>
      </w:r>
      <w:proofErr w:type="spellEnd"/>
      <w:r w:rsidRPr="00DB2BF5">
        <w:rPr>
          <w:rFonts w:ascii="Times New Roman" w:hAnsi="Times New Roman"/>
          <w:sz w:val="24"/>
          <w:szCs w:val="24"/>
        </w:rPr>
        <w:t xml:space="preserve"> de histórias, brinquedos terapêuticos e outras atividades lúdicas favorece a expressão de sentimentos, reduz ansiedade e medo, além de contribuir para a compreensão dos procedimentos realizados [1]. Dessa forma, o lúdico não deve ser compreendido apenas como entretenimento, mas como tecnologia leve de cuidado, capaz de tornar a experiência hospitalar menos traumática e mais acolhedora. A relevância do tema relaciona-se à necessidade de fortalecimento de práticas humanizadas na enfermagem pediátrica, em consonância com os princípios do Sistema Único de Saúde (SUS), especialmente integralidade e humanização da assistência [2]. Apesar dos avanços teóricos e normativos, ainda há lacunas na implementação dessas estratégias nos serviços de saúde, relacionadas a limitações estruturais, falta de capacitação e sobrecarga de trabalho. Esse cenário reforça a importância de discutir o uso do lúdico como ferramenta terapêutica, visando qualificar o cuidado e ampliar a atuação do enfermeiro junto aos pacientes pediátricos. Nesse sentido, as estratégias lúdicas contribuem para um cuidado mais humanizado, centrado na criança e suas necessidades, fortalecendo vínculo entre profissional, criança e família, além de favorecer comunicação terapêutica e confiança no processo de </w:t>
      </w:r>
      <w:r w:rsidR="003D2C4C" w:rsidRPr="00DB2BF5">
        <w:rPr>
          <w:rFonts w:ascii="Times New Roman" w:hAnsi="Times New Roman"/>
          <w:sz w:val="24"/>
          <w:szCs w:val="24"/>
        </w:rPr>
        <w:t>cuidado.</w:t>
      </w:r>
      <w:r w:rsidR="003D2C4C" w:rsidRPr="00DB2BF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OBJETIVO</w:t>
      </w:r>
      <w:r w:rsidR="00777C8A" w:rsidRPr="00DB2BF5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5A62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7C8A" w:rsidRPr="00DB2BF5">
        <w:rPr>
          <w:rFonts w:ascii="Times New Roman" w:hAnsi="Times New Roman"/>
          <w:color w:val="000000" w:themeColor="text1"/>
          <w:sz w:val="24"/>
          <w:szCs w:val="24"/>
        </w:rPr>
        <w:t>analisar estratégias lúdicas no cuidado de enfermagem pediátrico: contribuições para uma assistência humanizada.</w:t>
      </w:r>
      <w:r w:rsidR="00777C8A" w:rsidRPr="00DB2BF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METODOLOGIA: </w:t>
      </w:r>
      <w:r w:rsidR="00777C8A" w:rsidRPr="00DB2BF5">
        <w:rPr>
          <w:rFonts w:ascii="Times New Roman" w:hAnsi="Times New Roman"/>
          <w:sz w:val="24"/>
          <w:szCs w:val="24"/>
        </w:rPr>
        <w:t xml:space="preserve">Trata-se de um estudo de natureza bibliográfica, do tipo revisão narrativa de literatura, com abordagem descritiva. Esse delineamento foi adotado por permitir a análise e síntese de produções científicas já publicadas, possibilitando compreender as contribuições das estratégias lúdicas no cuidado de enfermagem pediátrico para a promoção de uma assistência humanizada. Os dados foram obtidos na Biblioteca Virtual em Saúde (BVS), incluindo bases como LILACS e </w:t>
      </w:r>
      <w:proofErr w:type="spellStart"/>
      <w:r w:rsidR="00777C8A" w:rsidRPr="00DB2BF5">
        <w:rPr>
          <w:rFonts w:ascii="Times New Roman" w:hAnsi="Times New Roman"/>
          <w:sz w:val="24"/>
          <w:szCs w:val="24"/>
        </w:rPr>
        <w:t>SciELO</w:t>
      </w:r>
      <w:proofErr w:type="spellEnd"/>
      <w:r w:rsidR="00777C8A" w:rsidRPr="00DB2BF5">
        <w:rPr>
          <w:rFonts w:ascii="Times New Roman" w:hAnsi="Times New Roman"/>
          <w:sz w:val="24"/>
          <w:szCs w:val="24"/>
        </w:rPr>
        <w:t>, utilizando os descritores “enfermagem pediátrica”, “estratégias lúdicas” e “humanização da assistência”, combinados pelo operador booleano AND. O recorte temporal foi de 2021 a 2025. Foram incluídos artigos completos, disponíveis na íntegra, em português, inglês ou espanhol, que abordassem diretamente a temática. Foram excluídos estudos duplicados, resumos, editoriais e publicações fora do objetivo proposto. A amostra foi composta pelos estudos selecionados conforme os critérios de elegibilidade. A análise dos dados ocorreu por leitura exploratória, seletiva e analítica, com organização em categorias temáticas, permitindo síntese das evidências sobre as estratégias lúdicas no cuidado pediátrico.</w:t>
      </w:r>
      <w:r w:rsidR="00777C8A" w:rsidRPr="00DB2BF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RESULTADOS E DISCUSSÃO:</w:t>
      </w:r>
      <w:r w:rsidR="00777C8A" w:rsidRPr="00DB2BF5">
        <w:rPr>
          <w:rFonts w:ascii="Times New Roman" w:hAnsi="Times New Roman"/>
          <w:sz w:val="24"/>
          <w:szCs w:val="24"/>
        </w:rPr>
        <w:t xml:space="preserve"> A partir da análise, observou-se que as estratégias lúdicas no cuidado de enfermagem pediátrico vêm sendo amplamente discutidas na literatura científica como ferramentas fundamentais para a humanização da assistência [1]. Os achados evidenciam que o uso do lúdico está diretamente associado à melhoria da experiência da criança hospitalizada, promovendo redução de estresse, ansiedade e medo frente ao ambiente hospitalar [2]. Entre as </w:t>
      </w:r>
      <w:r w:rsidR="00777C8A" w:rsidRPr="00DB2BF5">
        <w:rPr>
          <w:rFonts w:ascii="Times New Roman" w:hAnsi="Times New Roman"/>
          <w:sz w:val="24"/>
          <w:szCs w:val="24"/>
        </w:rPr>
        <w:lastRenderedPageBreak/>
        <w:t xml:space="preserve">estratégias mais frequentemente identificadas nos estudos analisados, destaca-se o brinquedo terapêutico, amplamente utilizado no preparo da criança para procedimentos invasivos e na expressão de sentimentos relacionados à hospitalização. </w:t>
      </w:r>
      <w:r w:rsidR="0017345C" w:rsidRPr="00DB2BF5">
        <w:rPr>
          <w:rFonts w:ascii="Times New Roman" w:hAnsi="Times New Roman"/>
          <w:sz w:val="24"/>
          <w:szCs w:val="24"/>
        </w:rPr>
        <w:t>Diante do exposto,</w:t>
      </w:r>
      <w:r w:rsidR="00777C8A" w:rsidRPr="00DB2BF5">
        <w:rPr>
          <w:rFonts w:ascii="Times New Roman" w:hAnsi="Times New Roman"/>
          <w:sz w:val="24"/>
          <w:szCs w:val="24"/>
        </w:rPr>
        <w:t xml:space="preserve"> resultados indicam que essa prática possibilita que a criança compreenda, de forma simbólica e adaptada ao seu nível de desenvolvimento, o que será realizado durante o cuidado, contribuindo para maior aceitação dos procedimentos e diminuição de reações de resistência [3]. Além disso, a </w:t>
      </w:r>
      <w:proofErr w:type="spellStart"/>
      <w:r w:rsidR="00777C8A" w:rsidRPr="00DB2BF5">
        <w:rPr>
          <w:rFonts w:ascii="Times New Roman" w:hAnsi="Times New Roman"/>
          <w:sz w:val="24"/>
          <w:szCs w:val="24"/>
        </w:rPr>
        <w:t>contação</w:t>
      </w:r>
      <w:proofErr w:type="spellEnd"/>
      <w:r w:rsidR="00777C8A" w:rsidRPr="00DB2BF5">
        <w:rPr>
          <w:rFonts w:ascii="Times New Roman" w:hAnsi="Times New Roman"/>
          <w:sz w:val="24"/>
          <w:szCs w:val="24"/>
        </w:rPr>
        <w:t xml:space="preserve"> de histórias também se mostrou uma estratégia recorrente nos estudos analisados, sendo utilizada principalmente como forma de distração durante a realização de procedimentos e períodos de internação. Observou-se que essa prática contribui para a redução da percepção de dor e desconforto, além de favorecer a comunicação entre enfermeiro e criança, permitindo a criação de um ambiente mais acolhedor e seguro [2]. Os jogos educativos e </w:t>
      </w:r>
      <w:r w:rsidR="00F243CB" w:rsidRPr="00DB2BF5">
        <w:rPr>
          <w:rFonts w:ascii="Times New Roman" w:hAnsi="Times New Roman"/>
          <w:sz w:val="24"/>
          <w:szCs w:val="24"/>
        </w:rPr>
        <w:t xml:space="preserve">música </w:t>
      </w:r>
      <w:r w:rsidR="00777C8A" w:rsidRPr="00DB2BF5">
        <w:rPr>
          <w:rFonts w:ascii="Times New Roman" w:hAnsi="Times New Roman"/>
          <w:sz w:val="24"/>
          <w:szCs w:val="24"/>
        </w:rPr>
        <w:t xml:space="preserve">também apareceram com frequência nos estudos analisados, sendo associados à melhora da interação social, ao aumento da cooperação durante os cuidados e à redução do impacto negativo da hospitalização. </w:t>
      </w:r>
      <w:r w:rsidR="0066405C" w:rsidRPr="00DB2BF5">
        <w:rPr>
          <w:rFonts w:ascii="Times New Roman" w:hAnsi="Times New Roman"/>
          <w:sz w:val="24"/>
          <w:szCs w:val="24"/>
        </w:rPr>
        <w:t>Outrossim, e</w:t>
      </w:r>
      <w:r w:rsidR="00777C8A" w:rsidRPr="00DB2BF5">
        <w:rPr>
          <w:rFonts w:ascii="Times New Roman" w:hAnsi="Times New Roman"/>
          <w:sz w:val="24"/>
          <w:szCs w:val="24"/>
        </w:rPr>
        <w:t xml:space="preserve">sses recursos são descritos como facilitadores da adaptação da criança ao ambiente hospitalar, contribuindo para tornar o espaço mais leve e menos hostil [4]. </w:t>
      </w:r>
      <w:r w:rsidR="00FE7155" w:rsidRPr="00DB2BF5">
        <w:rPr>
          <w:rFonts w:ascii="Times New Roman" w:hAnsi="Times New Roman"/>
          <w:sz w:val="24"/>
          <w:szCs w:val="24"/>
        </w:rPr>
        <w:t>Nesse sentido, o</w:t>
      </w:r>
      <w:r w:rsidR="00777C8A" w:rsidRPr="00DB2BF5">
        <w:rPr>
          <w:rFonts w:ascii="Times New Roman" w:hAnsi="Times New Roman"/>
          <w:sz w:val="24"/>
          <w:szCs w:val="24"/>
        </w:rPr>
        <w:t>utro ponto evidenciado nos resultados é que a utilização das estratégias lúdicas favorece significativamente o fortalecimento do vínculo entre enfermeiro, criança e família. Esse aspecto é fundamental no contexto pediátrico, uma vez que a confiança estabelecida influencia diretamente na adesão ao tratamento e na forma como a criança vivencia o processo de hospitalização [3]. Quando comparados à literatura científica, os achados deste estudo corroboram a importância das estratégias lúdicas como parte integrante do cuidado de enfermagem pediátrico, e não apenas como atividade complementar ou recreativa. Autores destacam que o lúdico deve ser compreendido como uma tecnologia leve de cuidado, inserida de forma sistemática na prática assistencial, por seu potencial de reduzir sofrimento e promover humanização [5].Entretanto, apesar dos benefícios amplamente reconhecidos, os estudos analisados também apontam desafios importantes para a implementação dessas estratégias na prática cotidiana, como sobrecarga de trabalho da equipe de enfermagem, falta de capacitação específica e limitações estruturais nos serviços de saúde.Dessa forma, os resultados obtidos evidenciam que as estratégias lúdicas desempenham papel central no cuidado de enfermagem pediátrico, promovendo benefícios que vão desde a redução do sofrimento infantil até o fortalecimento do vínculo terapêutico e a qualificação da assistência. A literatura analisada converge no sentido de que a incorporação do lúdico no ambiente hospitalar contribui significativamente para uma prática mais humanizada, integral e centrada nas necessidades da criança.</w:t>
      </w:r>
      <w:r w:rsidR="00777C8A" w:rsidRPr="00DB2BF5">
        <w:rPr>
          <w:rFonts w:ascii="Times New Roman" w:hAnsi="Times New Roman"/>
          <w:b/>
          <w:bCs/>
          <w:sz w:val="24"/>
          <w:szCs w:val="24"/>
        </w:rPr>
        <w:t xml:space="preserve"> CONCLUSÃO: </w:t>
      </w:r>
      <w:r w:rsidR="00777C8A" w:rsidRPr="00DB2BF5">
        <w:rPr>
          <w:rFonts w:ascii="Times New Roman" w:hAnsi="Times New Roman"/>
          <w:sz w:val="24"/>
          <w:szCs w:val="24"/>
        </w:rPr>
        <w:t xml:space="preserve">O desenvolvimento deste estudo permitiu ampliar a compreensão acerca da importância de práticas assistenciais que ultrapassam o modelo biomédico tradicional, reforçando a necessidade de um cuidado de enfermagem mais sensível, integral e centrado no paciente pediátrico. A análise das produções científicas evidenciou que a enfermagem, ao incorporar abordagens que consideram aspectos emocionais e subjetivos da criança, avança na qualificação da assistência e no fortalecimento de uma prática mais humanizada.De modo geral, o trabalho evidenciou a relevância de se discutir estratégias que aproximem o cuidado técnico da dimensão relacional, reconhecendo que o processo de hospitalização infantil envolve repercussões que vão além do físico, impactando diretamente o bem-estar e a vivência da criança e de sua família. Nesse sentido, a revisão contribui para reforçar a importância de uma atuação profissional mais crítica, reflexiva e comprometida com a integralidade do cuidado. Assim, conclui-se que a temática abordada possui grande relevância para a prática da enfermagem contemporânea, uma vez que aponta caminhos para o aprimoramento da assistência pediátrica e para a valorização de práticas que favorecem um cuidado mais acolhedor, ético e humanizado. Além disso, destaca-se a necessidade de maior incentivo institucional e formação profissional contínua, de modo a possibilitar a efetiva </w:t>
      </w:r>
      <w:r w:rsidR="00777C8A" w:rsidRPr="00DB2BF5">
        <w:rPr>
          <w:rFonts w:ascii="Times New Roman" w:hAnsi="Times New Roman"/>
          <w:sz w:val="24"/>
          <w:szCs w:val="24"/>
        </w:rPr>
        <w:lastRenderedPageBreak/>
        <w:t>incorporação dessas abordagens no cotidiano dos serviços de saúde.</w:t>
      </w:r>
      <w:r w:rsidR="00777C8A" w:rsidRPr="00DB2B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2BF5" w:rsidRPr="00DB2BF5">
        <w:rPr>
          <w:rFonts w:ascii="Times New Roman" w:hAnsi="Times New Roman"/>
          <w:b/>
          <w:bCs/>
          <w:sz w:val="24"/>
          <w:szCs w:val="24"/>
        </w:rPr>
        <w:t>CONTRIBUIÇÕES E IMPLICAÇÕES PARA A ENFERMAGEM:</w:t>
      </w:r>
      <w:r w:rsidR="00DB2BF5" w:rsidRPr="00DB2BF5">
        <w:rPr>
          <w:rFonts w:ascii="Times New Roman" w:hAnsi="Times New Roman"/>
          <w:sz w:val="24"/>
          <w:szCs w:val="24"/>
        </w:rPr>
        <w:t xml:space="preserve"> Este estudo contribui para a enfermagem ao reforçar a importância de práticas assistenciais que considerem não apenas as demandas biológicas do paciente pediátrico, mas também suas necessidades emocionais e subjetivas. As evidências reunidas fortalecem a reflexão crítica sobre a prática profissional e ampliam a compreensão da criança como sujeito integral no cuidado.Como implicação para a prática, evidencia-se a necessidade de estratégias que favoreçam uma assistência mais acolhedora, promovendo maior vínculo entre profissional, criança e família, além da qualificação contínua dos profissionais para atuação sensível e criativa no contexto pediátrico.No âmbito institucional, destaca-se a importância de ambientes estruturados que possibilitem práticas mais humanizadas e que favoreçam o bem-estar da criança hospitalizada.Assim, o estudo contribui para o aprimoramento da assistência de enfermagem pediátrica e para uma prática mais ética, integral e centrada no paciente.</w:t>
      </w:r>
    </w:p>
    <w:p w14:paraId="357E87BF" w14:textId="4808444D" w:rsidR="00D41B23" w:rsidRDefault="00D41B23" w:rsidP="00DB2BF5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14:paraId="389FE262" w14:textId="06B337E7" w:rsidR="00001EDB" w:rsidRDefault="00820A29" w:rsidP="001971E4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Descritores </w:t>
      </w:r>
      <w:r w:rsidR="0007315F">
        <w:rPr>
          <w:rFonts w:ascii="Times New Roman" w:hAnsi="Times New Roman"/>
          <w:b/>
          <w:bCs/>
          <w:sz w:val="24"/>
          <w:szCs w:val="24"/>
        </w:rPr>
        <w:t>(</w:t>
      </w:r>
      <w:r w:rsidR="00BA295E">
        <w:rPr>
          <w:rFonts w:ascii="Times New Roman" w:hAnsi="Times New Roman"/>
          <w:b/>
          <w:bCs/>
          <w:sz w:val="24"/>
          <w:szCs w:val="24"/>
        </w:rPr>
        <w:t>DeCS – ID)</w:t>
      </w:r>
      <w:r w:rsidR="00B37C09">
        <w:rPr>
          <w:rFonts w:ascii="Times New Roman" w:hAnsi="Times New Roman"/>
          <w:b/>
          <w:bCs/>
          <w:sz w:val="24"/>
          <w:szCs w:val="24"/>
        </w:rPr>
        <w:t>:</w:t>
      </w:r>
      <w:r w:rsidR="00A46E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4F2B">
        <w:rPr>
          <w:rFonts w:ascii="Times New Roman" w:hAnsi="Times New Roman"/>
          <w:sz w:val="24"/>
          <w:szCs w:val="24"/>
        </w:rPr>
        <w:t>Cuidados de enfermage</w:t>
      </w:r>
      <w:r w:rsidR="00D0555E">
        <w:rPr>
          <w:rFonts w:ascii="Times New Roman" w:hAnsi="Times New Roman"/>
          <w:sz w:val="24"/>
          <w:szCs w:val="24"/>
        </w:rPr>
        <w:t xml:space="preserve">m </w:t>
      </w:r>
      <w:r w:rsidR="00042AF2">
        <w:rPr>
          <w:rFonts w:ascii="Times New Roman" w:hAnsi="Times New Roman"/>
          <w:sz w:val="24"/>
          <w:szCs w:val="24"/>
        </w:rPr>
        <w:t>–</w:t>
      </w:r>
      <w:r w:rsidR="00D0555E">
        <w:rPr>
          <w:rFonts w:ascii="Times New Roman" w:hAnsi="Times New Roman"/>
          <w:sz w:val="24"/>
          <w:szCs w:val="24"/>
        </w:rPr>
        <w:t xml:space="preserve"> D</w:t>
      </w:r>
      <w:r w:rsidR="00A9307A">
        <w:rPr>
          <w:rFonts w:ascii="Times New Roman" w:hAnsi="Times New Roman"/>
          <w:sz w:val="24"/>
          <w:szCs w:val="24"/>
        </w:rPr>
        <w:t>009732;</w:t>
      </w:r>
      <w:r w:rsidR="009C738F">
        <w:rPr>
          <w:rFonts w:ascii="Times New Roman" w:hAnsi="Times New Roman"/>
          <w:sz w:val="24"/>
          <w:szCs w:val="24"/>
        </w:rPr>
        <w:t xml:space="preserve"> </w:t>
      </w:r>
      <w:r w:rsidR="005D6679">
        <w:rPr>
          <w:rFonts w:ascii="Times New Roman" w:hAnsi="Times New Roman"/>
          <w:sz w:val="24"/>
          <w:szCs w:val="24"/>
        </w:rPr>
        <w:t xml:space="preserve">Enfermagem </w:t>
      </w:r>
      <w:r w:rsidR="00FB449C">
        <w:rPr>
          <w:rFonts w:ascii="Times New Roman" w:hAnsi="Times New Roman"/>
          <w:sz w:val="24"/>
          <w:szCs w:val="24"/>
        </w:rPr>
        <w:t>P</w:t>
      </w:r>
      <w:r w:rsidR="005D6679">
        <w:rPr>
          <w:rFonts w:ascii="Times New Roman" w:hAnsi="Times New Roman"/>
          <w:sz w:val="24"/>
          <w:szCs w:val="24"/>
        </w:rPr>
        <w:t>ediátrica</w:t>
      </w:r>
      <w:r w:rsidR="006930C7">
        <w:rPr>
          <w:rFonts w:ascii="Times New Roman" w:hAnsi="Times New Roman"/>
          <w:sz w:val="24"/>
          <w:szCs w:val="24"/>
        </w:rPr>
        <w:t xml:space="preserve"> </w:t>
      </w:r>
      <w:r w:rsidR="00FB449C">
        <w:rPr>
          <w:rFonts w:ascii="Times New Roman" w:hAnsi="Times New Roman"/>
          <w:sz w:val="24"/>
          <w:szCs w:val="24"/>
        </w:rPr>
        <w:t>D</w:t>
      </w:r>
      <w:r w:rsidR="003C73BE">
        <w:rPr>
          <w:rFonts w:ascii="Times New Roman" w:hAnsi="Times New Roman"/>
          <w:sz w:val="24"/>
          <w:szCs w:val="24"/>
        </w:rPr>
        <w:t>01</w:t>
      </w:r>
      <w:r w:rsidR="00122649">
        <w:rPr>
          <w:rFonts w:ascii="Times New Roman" w:hAnsi="Times New Roman"/>
          <w:sz w:val="24"/>
          <w:szCs w:val="24"/>
        </w:rPr>
        <w:t>03</w:t>
      </w:r>
      <w:r w:rsidR="001B1E94">
        <w:rPr>
          <w:rFonts w:ascii="Times New Roman" w:hAnsi="Times New Roman"/>
          <w:sz w:val="24"/>
          <w:szCs w:val="24"/>
        </w:rPr>
        <w:t>71</w:t>
      </w:r>
      <w:r w:rsidR="002E4372">
        <w:rPr>
          <w:rFonts w:ascii="Times New Roman" w:hAnsi="Times New Roman"/>
          <w:sz w:val="24"/>
          <w:szCs w:val="24"/>
        </w:rPr>
        <w:t>; Humanização da Assistência</w:t>
      </w:r>
      <w:r w:rsidR="00AF290F">
        <w:rPr>
          <w:rFonts w:ascii="Times New Roman" w:hAnsi="Times New Roman"/>
          <w:sz w:val="24"/>
          <w:szCs w:val="24"/>
        </w:rPr>
        <w:t xml:space="preserve"> - </w:t>
      </w:r>
      <w:r w:rsidR="006C01B9">
        <w:rPr>
          <w:rFonts w:ascii="Times New Roman" w:hAnsi="Times New Roman"/>
          <w:sz w:val="24"/>
          <w:szCs w:val="24"/>
        </w:rPr>
        <w:t>DDCS050250</w:t>
      </w:r>
    </w:p>
    <w:p w14:paraId="2AD94FB4" w14:textId="77777777" w:rsidR="00905D41" w:rsidRDefault="00905D41" w:rsidP="001971E4">
      <w:pPr>
        <w:pStyle w:val="p1"/>
        <w:rPr>
          <w:rFonts w:ascii="Times New Roman" w:hAnsi="Times New Roman"/>
          <w:sz w:val="24"/>
          <w:szCs w:val="24"/>
        </w:rPr>
      </w:pPr>
    </w:p>
    <w:p w14:paraId="2F2F9248" w14:textId="0283680D" w:rsidR="00D04B83" w:rsidRPr="00B765D2" w:rsidRDefault="002B362F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Modalidade</w:t>
      </w:r>
      <w:r w:rsidR="00585C06">
        <w:rPr>
          <w:rFonts w:ascii="Times New Roman" w:hAnsi="Times New Roman"/>
          <w:b/>
          <w:bCs/>
          <w:sz w:val="24"/>
          <w:szCs w:val="24"/>
        </w:rPr>
        <w:t xml:space="preserve">:     </w:t>
      </w:r>
      <w:r w:rsidR="00E50B3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8153E">
        <w:rPr>
          <w:rFonts w:ascii="Times New Roman" w:hAnsi="Times New Roman"/>
          <w:b/>
          <w:bCs/>
          <w:sz w:val="24"/>
          <w:szCs w:val="24"/>
        </w:rPr>
        <w:t>(</w:t>
      </w:r>
      <w:r w:rsidR="006678E1">
        <w:rPr>
          <w:rFonts w:ascii="Times New Roman" w:hAnsi="Times New Roman"/>
          <w:b/>
          <w:bCs/>
          <w:sz w:val="24"/>
          <w:szCs w:val="24"/>
        </w:rPr>
        <w:t xml:space="preserve"> ) estudo</w:t>
      </w:r>
      <w:r w:rsidR="002C1D4F">
        <w:rPr>
          <w:rFonts w:ascii="Times New Roman" w:hAnsi="Times New Roman"/>
          <w:b/>
          <w:bCs/>
          <w:sz w:val="24"/>
          <w:szCs w:val="24"/>
        </w:rPr>
        <w:t xml:space="preserve"> original</w:t>
      </w:r>
      <w:r w:rsidR="008A3782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E50B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341D">
        <w:rPr>
          <w:rFonts w:ascii="Times New Roman" w:hAnsi="Times New Roman"/>
          <w:b/>
          <w:bCs/>
          <w:sz w:val="24"/>
          <w:szCs w:val="24"/>
        </w:rPr>
        <w:t>(</w:t>
      </w:r>
      <w:r w:rsidR="00376A46">
        <w:rPr>
          <w:rFonts w:ascii="Times New Roman" w:hAnsi="Times New Roman"/>
          <w:b/>
          <w:bCs/>
          <w:sz w:val="24"/>
          <w:szCs w:val="24"/>
        </w:rPr>
        <w:t xml:space="preserve"> )</w:t>
      </w:r>
      <w:r w:rsidR="00AF62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2C12">
        <w:rPr>
          <w:rFonts w:ascii="Times New Roman" w:hAnsi="Times New Roman"/>
          <w:b/>
          <w:bCs/>
          <w:sz w:val="24"/>
          <w:szCs w:val="24"/>
        </w:rPr>
        <w:t>desenvolvimento</w:t>
      </w:r>
      <w:r w:rsidR="00B765D2">
        <w:rPr>
          <w:rFonts w:ascii="Times New Roman" w:hAnsi="Times New Roman"/>
          <w:sz w:val="24"/>
          <w:szCs w:val="24"/>
        </w:rPr>
        <w:t xml:space="preserve"> </w:t>
      </w:r>
      <w:r w:rsidR="0084341D">
        <w:rPr>
          <w:rFonts w:ascii="Times New Roman" w:hAnsi="Times New Roman"/>
          <w:b/>
          <w:bCs/>
          <w:sz w:val="24"/>
          <w:szCs w:val="24"/>
        </w:rPr>
        <w:t xml:space="preserve">tecnológico </w:t>
      </w:r>
    </w:p>
    <w:p w14:paraId="045DAD12" w14:textId="4E0220A3" w:rsidR="008E0F97" w:rsidRDefault="008E0F97" w:rsidP="00B765D2">
      <w:pPr>
        <w:pStyle w:val="p1"/>
        <w:jc w:val="both"/>
        <w:rPr>
          <w:rFonts w:ascii="Times New Roman" w:hAnsi="Times New Roman"/>
        </w:rPr>
      </w:pPr>
    </w:p>
    <w:p w14:paraId="68A25441" w14:textId="24CA431C" w:rsidR="00C61A83" w:rsidRDefault="00B765D2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( ) </w:t>
      </w:r>
      <w:r w:rsidR="005D5EAD">
        <w:rPr>
          <w:rFonts w:ascii="Times New Roman" w:hAnsi="Times New Roman"/>
          <w:b/>
          <w:bCs/>
          <w:sz w:val="24"/>
          <w:szCs w:val="24"/>
        </w:rPr>
        <w:t xml:space="preserve">relação de </w:t>
      </w:r>
      <w:r w:rsidR="00A13E2E">
        <w:rPr>
          <w:rFonts w:ascii="Times New Roman" w:hAnsi="Times New Roman"/>
          <w:b/>
          <w:bCs/>
          <w:sz w:val="24"/>
          <w:szCs w:val="24"/>
        </w:rPr>
        <w:t>experiência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13E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1D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3E2E">
        <w:rPr>
          <w:rFonts w:ascii="Times New Roman" w:hAnsi="Times New Roman"/>
          <w:b/>
          <w:bCs/>
          <w:sz w:val="24"/>
          <w:szCs w:val="24"/>
        </w:rPr>
        <w:t>(</w:t>
      </w:r>
      <w:r w:rsidR="008F2B5A">
        <w:rPr>
          <w:rFonts w:ascii="Times New Roman" w:hAnsi="Times New Roman"/>
          <w:b/>
          <w:bCs/>
          <w:sz w:val="24"/>
          <w:szCs w:val="24"/>
        </w:rPr>
        <w:t>X</w:t>
      </w:r>
      <w:r w:rsidR="00F11C26">
        <w:rPr>
          <w:rFonts w:ascii="Times New Roman" w:hAnsi="Times New Roman"/>
          <w:b/>
          <w:bCs/>
          <w:sz w:val="24"/>
          <w:szCs w:val="24"/>
        </w:rPr>
        <w:t>)</w:t>
      </w:r>
      <w:r w:rsidR="006F6B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099B">
        <w:rPr>
          <w:rFonts w:ascii="Times New Roman" w:hAnsi="Times New Roman"/>
          <w:b/>
          <w:bCs/>
          <w:sz w:val="24"/>
          <w:szCs w:val="24"/>
        </w:rPr>
        <w:t>revisão da</w:t>
      </w:r>
      <w:r w:rsidR="006F16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099B">
        <w:rPr>
          <w:rFonts w:ascii="Times New Roman" w:hAnsi="Times New Roman"/>
          <w:b/>
          <w:bCs/>
          <w:sz w:val="24"/>
          <w:szCs w:val="24"/>
        </w:rPr>
        <w:t>literatura</w:t>
      </w:r>
    </w:p>
    <w:p w14:paraId="44697167" w14:textId="35A2158C" w:rsidR="005D3325" w:rsidRDefault="005D3325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Eixo </w:t>
      </w:r>
      <w:r w:rsidR="00C61A83">
        <w:rPr>
          <w:rFonts w:ascii="Times New Roman" w:hAnsi="Times New Roman"/>
          <w:b/>
          <w:bCs/>
          <w:sz w:val="24"/>
          <w:szCs w:val="24"/>
        </w:rPr>
        <w:t xml:space="preserve">temático: 2 </w:t>
      </w:r>
    </w:p>
    <w:p w14:paraId="04904891" w14:textId="77777777" w:rsidR="00F51313" w:rsidRDefault="00F51313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70C12F" w14:textId="7A2B8139" w:rsidR="00030E76" w:rsidRDefault="007F01D8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REFERÊNCIAS</w:t>
      </w:r>
    </w:p>
    <w:p w14:paraId="4E570FE3" w14:textId="6A4B689D" w:rsidR="00030E76" w:rsidRPr="00030E76" w:rsidRDefault="00030E76" w:rsidP="00030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0E76">
        <w:rPr>
          <w:rFonts w:ascii="Times New Roman" w:eastAsia="Times New Roman" w:hAnsi="Times New Roman" w:cs="Times New Roman"/>
          <w:kern w:val="0"/>
          <w14:ligatures w14:val="none"/>
        </w:rPr>
        <w:t>Mediação por leitura como recurso de comunicação para crianças hospitalizadas: apoio à humanização do cuidado de enfermagem. PubMed [Internet]. Disponível em: https://share.google/lQih2s3HTTu3mfrtJ. DOI: 10.1590/1807-57622013.0536. Acesso em: 2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030E76">
        <w:rPr>
          <w:rFonts w:ascii="Times New Roman" w:eastAsia="Times New Roman" w:hAnsi="Times New Roman" w:cs="Times New Roman"/>
          <w:kern w:val="0"/>
          <w14:ligatures w14:val="none"/>
        </w:rPr>
        <w:t xml:space="preserve"> abr. 2026.</w:t>
      </w:r>
    </w:p>
    <w:p w14:paraId="4F05A30F" w14:textId="3C9FB26B" w:rsidR="00030E76" w:rsidRPr="00030E76" w:rsidRDefault="00030E76" w:rsidP="00030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0E76">
        <w:rPr>
          <w:rFonts w:ascii="Times New Roman" w:eastAsia="Times New Roman" w:hAnsi="Times New Roman" w:cs="Times New Roman"/>
          <w:kern w:val="0"/>
          <w14:ligatures w14:val="none"/>
        </w:rPr>
        <w:t>Musicoterapia no comportamento infantil. PubMed [Internet]. Disponível em: https://share.google/xhONz9XZv7SccfxeH. Acesso em: 2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030E76">
        <w:rPr>
          <w:rFonts w:ascii="Times New Roman" w:eastAsia="Times New Roman" w:hAnsi="Times New Roman" w:cs="Times New Roman"/>
          <w:kern w:val="0"/>
          <w14:ligatures w14:val="none"/>
        </w:rPr>
        <w:t xml:space="preserve"> abr. 2026.</w:t>
      </w:r>
    </w:p>
    <w:p w14:paraId="264D66B2" w14:textId="4DF1464E" w:rsidR="00030E76" w:rsidRDefault="00030E76" w:rsidP="00030E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0E76">
        <w:rPr>
          <w:rFonts w:ascii="Times New Roman" w:eastAsia="Times New Roman" w:hAnsi="Times New Roman" w:cs="Times New Roman"/>
          <w:kern w:val="0"/>
          <w14:ligatures w14:val="none"/>
        </w:rPr>
        <w:t>Humanização, Pediatria. Google Acadêmico [Internet]. Disponível em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030E76">
        <w:rPr>
          <w:rFonts w:ascii="Times New Roman" w:eastAsia="Times New Roman" w:hAnsi="Times New Roman" w:cs="Times New Roman"/>
          <w:kern w:val="0"/>
          <w14:ligatures w14:val="none"/>
        </w:rPr>
        <w:t xml:space="preserve"> https://share.google/c2jEBFFQsqf3REEjt. Acesso em: </w:t>
      </w:r>
      <w:r>
        <w:rPr>
          <w:rFonts w:ascii="Times New Roman" w:eastAsia="Times New Roman" w:hAnsi="Times New Roman" w:cs="Times New Roman"/>
          <w:kern w:val="0"/>
          <w14:ligatures w14:val="none"/>
        </w:rPr>
        <w:t>19</w:t>
      </w:r>
      <w:r w:rsidRPr="00030E76">
        <w:rPr>
          <w:rFonts w:ascii="Times New Roman" w:eastAsia="Times New Roman" w:hAnsi="Times New Roman" w:cs="Times New Roman"/>
          <w:kern w:val="0"/>
          <w14:ligatures w14:val="none"/>
        </w:rPr>
        <w:t xml:space="preserve"> abr. 2026.</w:t>
      </w:r>
    </w:p>
    <w:p w14:paraId="4EFF4C4E" w14:textId="77777777" w:rsidR="008A3BA0" w:rsidRPr="008A3BA0" w:rsidRDefault="008A3BA0" w:rsidP="008A3B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A3BA0">
        <w:rPr>
          <w:rFonts w:ascii="Times New Roman" w:eastAsia="Times New Roman" w:hAnsi="Times New Roman" w:cs="Times New Roman"/>
          <w:kern w:val="0"/>
          <w14:ligatures w14:val="none"/>
        </w:rPr>
        <w:t>Estratégias lúdicas, pediatria. Google Acadêmico [Internet]. Disponível em: https://share.google/w0ZY76HRfh3NcCeIa. Acesso em: 25 abr. 2026.</w:t>
      </w:r>
    </w:p>
    <w:p w14:paraId="13852434" w14:textId="1B9A56A6" w:rsidR="002F3000" w:rsidRPr="0020032A" w:rsidRDefault="0020032A" w:rsidP="0020032A">
      <w:pPr>
        <w:pStyle w:val="PargrafodaLista"/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6F425" wp14:editId="3A1790DC">
                <wp:simplePos x="0" y="0"/>
                <wp:positionH relativeFrom="column">
                  <wp:posOffset>329565</wp:posOffset>
                </wp:positionH>
                <wp:positionV relativeFrom="paragraph">
                  <wp:posOffset>208915</wp:posOffset>
                </wp:positionV>
                <wp:extent cx="4406900" cy="45085"/>
                <wp:effectExtent l="12700" t="12700" r="12700" b="18415"/>
                <wp:wrapNone/>
                <wp:docPr id="1883997687" name="S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6900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69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eta 4" o:spid="_x0000_s1026" type="#_x0000_t32" style="position:absolute;margin-left:25.95pt;margin-top:16.45pt;width:347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" strokecolor="black [3213]" strokeweight="1.5pt">
                <v:stroke joinstyle="miter"/>
              </v:shape>
            </w:pict>
          </mc:Fallback>
        </mc:AlternateContent>
      </w:r>
      <w:r w:rsidR="008A3BA0" w:rsidRPr="008A3BA0">
        <w:rPr>
          <w:rFonts w:ascii="Times New Roman" w:hAnsi="Times New Roman" w:cs="Times New Roman"/>
          <w:kern w:val="0"/>
          <w14:ligatures w14:val="none"/>
        </w:rPr>
        <w:t> </w:t>
      </w:r>
    </w:p>
    <w:p w14:paraId="03711981" w14:textId="1E4FC009" w:rsidR="00B710EC" w:rsidRDefault="00B710EC" w:rsidP="00B710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612B7C" w14:textId="16FB758C" w:rsidR="00000B5A" w:rsidRDefault="0063043E" w:rsidP="00B710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Graduanda em enfermagem</w:t>
      </w:r>
      <w:r w:rsidR="001416F6">
        <w:rPr>
          <w:rFonts w:ascii="Times New Roman" w:eastAsia="Times New Roman" w:hAnsi="Times New Roman" w:cs="Times New Roman"/>
          <w:kern w:val="0"/>
          <w14:ligatures w14:val="none"/>
        </w:rPr>
        <w:t>. A</w:t>
      </w:r>
      <w:r w:rsidR="00142771">
        <w:rPr>
          <w:rFonts w:ascii="Times New Roman" w:eastAsia="Times New Roman" w:hAnsi="Times New Roman" w:cs="Times New Roman"/>
          <w:kern w:val="0"/>
          <w14:ligatures w14:val="none"/>
        </w:rPr>
        <w:t>cadêmica de enfermagem</w:t>
      </w:r>
      <w:r w:rsidR="00AC54F6">
        <w:rPr>
          <w:rFonts w:ascii="Times New Roman" w:eastAsia="Times New Roman" w:hAnsi="Times New Roman" w:cs="Times New Roman"/>
          <w:kern w:val="0"/>
          <w14:ligatures w14:val="none"/>
        </w:rPr>
        <w:t>, Centro Universitário Metropolitano da Amazônia</w:t>
      </w:r>
      <w:r w:rsidR="001416F6">
        <w:rPr>
          <w:rFonts w:ascii="Times New Roman" w:eastAsia="Times New Roman" w:hAnsi="Times New Roman" w:cs="Times New Roman"/>
          <w:kern w:val="0"/>
          <w14:ligatures w14:val="none"/>
        </w:rPr>
        <w:t xml:space="preserve"> (UNIFAMAZ). </w:t>
      </w:r>
      <w:hyperlink r:id="rId7" w:history="1">
        <w:r w:rsidR="00A30B11" w:rsidRPr="00E72440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Anny.ysa21@gmail.com</w:t>
        </w:r>
      </w:hyperlink>
    </w:p>
    <w:p w14:paraId="7FAE2352" w14:textId="1E99ED06" w:rsidR="00EF00F9" w:rsidRPr="00B710EC" w:rsidRDefault="00EF00F9" w:rsidP="005228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Mestre em Gestão e Serviços em saúde – Universidade Federal do Pará/ Fundação Santa Casa de Misericórdia do Pará. Enfermeira Neonatologista- Fundação Santa Casa de Misericórdia do Pará. Docente do curso de enfermagem – UNIFAMAZ </w:t>
      </w:r>
    </w:p>
    <w:p w14:paraId="3F91B148" w14:textId="55C46427" w:rsidR="004F11B5" w:rsidRDefault="004F11B5" w:rsidP="0084341D">
      <w:pPr>
        <w:jc w:val="right"/>
        <w:rPr>
          <w:rFonts w:ascii="Times New Roman" w:hAnsi="Times New Roman" w:cs="Times New Roman"/>
        </w:rPr>
      </w:pPr>
    </w:p>
    <w:p w14:paraId="2D2FC0D0" w14:textId="794A6738" w:rsidR="00410821" w:rsidRDefault="00410821" w:rsidP="0084341D">
      <w:pPr>
        <w:jc w:val="right"/>
        <w:rPr>
          <w:rFonts w:ascii="Times New Roman" w:hAnsi="Times New Roman" w:cs="Times New Roman"/>
        </w:rPr>
      </w:pPr>
    </w:p>
    <w:p w14:paraId="49FF4AF9" w14:textId="77777777" w:rsidR="003A4BB4" w:rsidRDefault="003A4BB4" w:rsidP="00B853BA">
      <w:pPr>
        <w:jc w:val="both"/>
        <w:rPr>
          <w:rFonts w:ascii="Times New Roman" w:hAnsi="Times New Roman" w:cs="Times New Roman"/>
        </w:rPr>
      </w:pPr>
    </w:p>
    <w:p w14:paraId="3864087D" w14:textId="77777777" w:rsidR="003A4BB4" w:rsidRDefault="003A4BB4" w:rsidP="00B853BA">
      <w:pPr>
        <w:jc w:val="both"/>
        <w:rPr>
          <w:rFonts w:ascii="Times New Roman" w:hAnsi="Times New Roman" w:cs="Times New Roman"/>
        </w:rPr>
      </w:pPr>
    </w:p>
    <w:p w14:paraId="3C4E26E0" w14:textId="77777777" w:rsidR="00FC61A2" w:rsidRPr="003C47FC" w:rsidRDefault="00FC61A2" w:rsidP="00B853BA">
      <w:pPr>
        <w:jc w:val="both"/>
        <w:rPr>
          <w:rFonts w:ascii="Times New Roman" w:hAnsi="Times New Roman" w:cs="Times New Roman"/>
        </w:rPr>
      </w:pPr>
    </w:p>
    <w:sectPr w:rsidR="00FC61A2" w:rsidRPr="003C47FC" w:rsidSect="008050E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766EC" w14:textId="77777777" w:rsidR="007D63D0" w:rsidRDefault="007D63D0" w:rsidP="00192F59">
      <w:pPr>
        <w:spacing w:after="0" w:line="240" w:lineRule="auto"/>
      </w:pPr>
      <w:r>
        <w:separator/>
      </w:r>
    </w:p>
  </w:endnote>
  <w:endnote w:type="continuationSeparator" w:id="0">
    <w:p w14:paraId="40ED8ECE" w14:textId="77777777" w:rsidR="007D63D0" w:rsidRDefault="007D63D0" w:rsidP="0019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87B5" w14:textId="77777777" w:rsidR="007D63D0" w:rsidRDefault="007D63D0" w:rsidP="00192F59">
      <w:pPr>
        <w:spacing w:after="0" w:line="240" w:lineRule="auto"/>
      </w:pPr>
      <w:r>
        <w:separator/>
      </w:r>
    </w:p>
  </w:footnote>
  <w:footnote w:type="continuationSeparator" w:id="0">
    <w:p w14:paraId="2549D718" w14:textId="77777777" w:rsidR="007D63D0" w:rsidRDefault="007D63D0" w:rsidP="0019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01C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A13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94362">
    <w:abstractNumId w:val="1"/>
  </w:num>
  <w:num w:numId="2" w16cid:durableId="114396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B5"/>
    <w:rsid w:val="00000B5A"/>
    <w:rsid w:val="00001093"/>
    <w:rsid w:val="00001EDB"/>
    <w:rsid w:val="00010583"/>
    <w:rsid w:val="00010D7F"/>
    <w:rsid w:val="000119F7"/>
    <w:rsid w:val="00021C91"/>
    <w:rsid w:val="00030E76"/>
    <w:rsid w:val="00033779"/>
    <w:rsid w:val="0003598C"/>
    <w:rsid w:val="000425E5"/>
    <w:rsid w:val="00042AF2"/>
    <w:rsid w:val="00050F27"/>
    <w:rsid w:val="00065052"/>
    <w:rsid w:val="00072510"/>
    <w:rsid w:val="0007315F"/>
    <w:rsid w:val="000829F4"/>
    <w:rsid w:val="00084F70"/>
    <w:rsid w:val="00085551"/>
    <w:rsid w:val="000A0AD1"/>
    <w:rsid w:val="000A0DCC"/>
    <w:rsid w:val="000A7F24"/>
    <w:rsid w:val="000C19AB"/>
    <w:rsid w:val="000C537A"/>
    <w:rsid w:val="000D079D"/>
    <w:rsid w:val="000E0E78"/>
    <w:rsid w:val="000F0437"/>
    <w:rsid w:val="000F2135"/>
    <w:rsid w:val="000F44E9"/>
    <w:rsid w:val="000F4B22"/>
    <w:rsid w:val="001000DB"/>
    <w:rsid w:val="00112FDB"/>
    <w:rsid w:val="001150A2"/>
    <w:rsid w:val="00121066"/>
    <w:rsid w:val="00122649"/>
    <w:rsid w:val="001323C4"/>
    <w:rsid w:val="00133447"/>
    <w:rsid w:val="001368BD"/>
    <w:rsid w:val="001416F6"/>
    <w:rsid w:val="00142771"/>
    <w:rsid w:val="00145274"/>
    <w:rsid w:val="001714B9"/>
    <w:rsid w:val="0017345C"/>
    <w:rsid w:val="001749BD"/>
    <w:rsid w:val="00186BB6"/>
    <w:rsid w:val="00192153"/>
    <w:rsid w:val="00192F59"/>
    <w:rsid w:val="00193D22"/>
    <w:rsid w:val="00195772"/>
    <w:rsid w:val="00195C19"/>
    <w:rsid w:val="001971E4"/>
    <w:rsid w:val="00197851"/>
    <w:rsid w:val="001A05A4"/>
    <w:rsid w:val="001A5D90"/>
    <w:rsid w:val="001B1E94"/>
    <w:rsid w:val="001B430B"/>
    <w:rsid w:val="001B47CD"/>
    <w:rsid w:val="001B61C5"/>
    <w:rsid w:val="001C0152"/>
    <w:rsid w:val="001D6E4A"/>
    <w:rsid w:val="001F072D"/>
    <w:rsid w:val="001F15A8"/>
    <w:rsid w:val="001F79DD"/>
    <w:rsid w:val="001F7C1F"/>
    <w:rsid w:val="0020032A"/>
    <w:rsid w:val="002062CA"/>
    <w:rsid w:val="002108A2"/>
    <w:rsid w:val="00221A30"/>
    <w:rsid w:val="00226317"/>
    <w:rsid w:val="0023250C"/>
    <w:rsid w:val="0023409E"/>
    <w:rsid w:val="0024264B"/>
    <w:rsid w:val="00246AEF"/>
    <w:rsid w:val="00247039"/>
    <w:rsid w:val="00250E86"/>
    <w:rsid w:val="00251666"/>
    <w:rsid w:val="0025746A"/>
    <w:rsid w:val="00257CA7"/>
    <w:rsid w:val="002618D3"/>
    <w:rsid w:val="00264698"/>
    <w:rsid w:val="00265103"/>
    <w:rsid w:val="002870D5"/>
    <w:rsid w:val="00294F9A"/>
    <w:rsid w:val="002A2DA5"/>
    <w:rsid w:val="002A6BB0"/>
    <w:rsid w:val="002B362F"/>
    <w:rsid w:val="002C1C7B"/>
    <w:rsid w:val="002C1D4F"/>
    <w:rsid w:val="002C2061"/>
    <w:rsid w:val="002C4B42"/>
    <w:rsid w:val="002D0313"/>
    <w:rsid w:val="002D22CB"/>
    <w:rsid w:val="002E02BE"/>
    <w:rsid w:val="002E4372"/>
    <w:rsid w:val="002E71D8"/>
    <w:rsid w:val="002F3000"/>
    <w:rsid w:val="00301F6E"/>
    <w:rsid w:val="00302358"/>
    <w:rsid w:val="003240FF"/>
    <w:rsid w:val="00347493"/>
    <w:rsid w:val="00353147"/>
    <w:rsid w:val="00355EA5"/>
    <w:rsid w:val="00356A84"/>
    <w:rsid w:val="003603EC"/>
    <w:rsid w:val="00363B99"/>
    <w:rsid w:val="00366EE8"/>
    <w:rsid w:val="00372D52"/>
    <w:rsid w:val="00376A46"/>
    <w:rsid w:val="0037706B"/>
    <w:rsid w:val="00386F23"/>
    <w:rsid w:val="0038770D"/>
    <w:rsid w:val="00393B74"/>
    <w:rsid w:val="00397867"/>
    <w:rsid w:val="003A4BB4"/>
    <w:rsid w:val="003B2E27"/>
    <w:rsid w:val="003B4283"/>
    <w:rsid w:val="003C09F3"/>
    <w:rsid w:val="003C478D"/>
    <w:rsid w:val="003C47FC"/>
    <w:rsid w:val="003C4BD0"/>
    <w:rsid w:val="003C73BE"/>
    <w:rsid w:val="003D2C4C"/>
    <w:rsid w:val="003D52DA"/>
    <w:rsid w:val="003E568C"/>
    <w:rsid w:val="003E690B"/>
    <w:rsid w:val="003F18C5"/>
    <w:rsid w:val="003F2DAA"/>
    <w:rsid w:val="003F4C77"/>
    <w:rsid w:val="00410821"/>
    <w:rsid w:val="004112C4"/>
    <w:rsid w:val="00426AFD"/>
    <w:rsid w:val="00447DDE"/>
    <w:rsid w:val="004555BE"/>
    <w:rsid w:val="004568A2"/>
    <w:rsid w:val="0046327B"/>
    <w:rsid w:val="004866C2"/>
    <w:rsid w:val="0049674D"/>
    <w:rsid w:val="004A4700"/>
    <w:rsid w:val="004A4AC5"/>
    <w:rsid w:val="004A4D60"/>
    <w:rsid w:val="004B1D54"/>
    <w:rsid w:val="004B3D82"/>
    <w:rsid w:val="004B6AEA"/>
    <w:rsid w:val="004D0975"/>
    <w:rsid w:val="004D20BC"/>
    <w:rsid w:val="004F11B5"/>
    <w:rsid w:val="004F4C79"/>
    <w:rsid w:val="004F76BE"/>
    <w:rsid w:val="005013CF"/>
    <w:rsid w:val="00505A06"/>
    <w:rsid w:val="00506DD3"/>
    <w:rsid w:val="00511DC5"/>
    <w:rsid w:val="0051349A"/>
    <w:rsid w:val="00520710"/>
    <w:rsid w:val="00523F92"/>
    <w:rsid w:val="005324D3"/>
    <w:rsid w:val="00532F8D"/>
    <w:rsid w:val="00534160"/>
    <w:rsid w:val="005434FE"/>
    <w:rsid w:val="00555D6F"/>
    <w:rsid w:val="005574A9"/>
    <w:rsid w:val="005707D7"/>
    <w:rsid w:val="00571D6D"/>
    <w:rsid w:val="00576BCC"/>
    <w:rsid w:val="0058318E"/>
    <w:rsid w:val="00585C06"/>
    <w:rsid w:val="0058659F"/>
    <w:rsid w:val="005978CB"/>
    <w:rsid w:val="005A0646"/>
    <w:rsid w:val="005A0958"/>
    <w:rsid w:val="005A412E"/>
    <w:rsid w:val="005A624D"/>
    <w:rsid w:val="005B6BEC"/>
    <w:rsid w:val="005C22E9"/>
    <w:rsid w:val="005D1330"/>
    <w:rsid w:val="005D3325"/>
    <w:rsid w:val="005D5EAD"/>
    <w:rsid w:val="005D6679"/>
    <w:rsid w:val="005F260B"/>
    <w:rsid w:val="00600458"/>
    <w:rsid w:val="00620689"/>
    <w:rsid w:val="00625DE8"/>
    <w:rsid w:val="0063043E"/>
    <w:rsid w:val="0063080D"/>
    <w:rsid w:val="00630B66"/>
    <w:rsid w:val="00630F8E"/>
    <w:rsid w:val="00654ABB"/>
    <w:rsid w:val="00660F29"/>
    <w:rsid w:val="00662690"/>
    <w:rsid w:val="0066405C"/>
    <w:rsid w:val="006678E1"/>
    <w:rsid w:val="00672891"/>
    <w:rsid w:val="00672AAB"/>
    <w:rsid w:val="00675288"/>
    <w:rsid w:val="006777D0"/>
    <w:rsid w:val="00683534"/>
    <w:rsid w:val="00685E09"/>
    <w:rsid w:val="006870F5"/>
    <w:rsid w:val="00690B60"/>
    <w:rsid w:val="006930C7"/>
    <w:rsid w:val="006B430A"/>
    <w:rsid w:val="006B45DE"/>
    <w:rsid w:val="006B4CE3"/>
    <w:rsid w:val="006B7AA1"/>
    <w:rsid w:val="006C01B9"/>
    <w:rsid w:val="006C1EC5"/>
    <w:rsid w:val="006C21B1"/>
    <w:rsid w:val="006C2876"/>
    <w:rsid w:val="006C6198"/>
    <w:rsid w:val="006D1CFD"/>
    <w:rsid w:val="006E0FB4"/>
    <w:rsid w:val="006E1781"/>
    <w:rsid w:val="006E3971"/>
    <w:rsid w:val="006E69EE"/>
    <w:rsid w:val="006F16DA"/>
    <w:rsid w:val="006F2C03"/>
    <w:rsid w:val="006F32AC"/>
    <w:rsid w:val="006F6658"/>
    <w:rsid w:val="006F6B96"/>
    <w:rsid w:val="0070408C"/>
    <w:rsid w:val="0070565A"/>
    <w:rsid w:val="00706BD7"/>
    <w:rsid w:val="00721A48"/>
    <w:rsid w:val="0072203D"/>
    <w:rsid w:val="00723301"/>
    <w:rsid w:val="00726DA5"/>
    <w:rsid w:val="007325B2"/>
    <w:rsid w:val="0073387F"/>
    <w:rsid w:val="0074381C"/>
    <w:rsid w:val="00745143"/>
    <w:rsid w:val="00750D97"/>
    <w:rsid w:val="007622DA"/>
    <w:rsid w:val="007623BF"/>
    <w:rsid w:val="00772603"/>
    <w:rsid w:val="007763E6"/>
    <w:rsid w:val="00777C8A"/>
    <w:rsid w:val="007829C8"/>
    <w:rsid w:val="00786E07"/>
    <w:rsid w:val="00791388"/>
    <w:rsid w:val="007960CA"/>
    <w:rsid w:val="007A5E55"/>
    <w:rsid w:val="007B01B9"/>
    <w:rsid w:val="007C25ED"/>
    <w:rsid w:val="007C7913"/>
    <w:rsid w:val="007D089C"/>
    <w:rsid w:val="007D4384"/>
    <w:rsid w:val="007D63D0"/>
    <w:rsid w:val="007E3D9A"/>
    <w:rsid w:val="007E508C"/>
    <w:rsid w:val="007F01D8"/>
    <w:rsid w:val="007F2AC1"/>
    <w:rsid w:val="007F3630"/>
    <w:rsid w:val="00801CCD"/>
    <w:rsid w:val="008050E2"/>
    <w:rsid w:val="008059EE"/>
    <w:rsid w:val="008079E3"/>
    <w:rsid w:val="0081085B"/>
    <w:rsid w:val="008109B6"/>
    <w:rsid w:val="00813480"/>
    <w:rsid w:val="00814759"/>
    <w:rsid w:val="00820A29"/>
    <w:rsid w:val="00821436"/>
    <w:rsid w:val="008220FD"/>
    <w:rsid w:val="008239DF"/>
    <w:rsid w:val="008250F5"/>
    <w:rsid w:val="00827F9B"/>
    <w:rsid w:val="00841E40"/>
    <w:rsid w:val="0084341D"/>
    <w:rsid w:val="00847D4A"/>
    <w:rsid w:val="00852BB3"/>
    <w:rsid w:val="00853FA3"/>
    <w:rsid w:val="0085527A"/>
    <w:rsid w:val="00861F94"/>
    <w:rsid w:val="008643CE"/>
    <w:rsid w:val="00877476"/>
    <w:rsid w:val="00883601"/>
    <w:rsid w:val="00884735"/>
    <w:rsid w:val="00890261"/>
    <w:rsid w:val="008943AA"/>
    <w:rsid w:val="00895517"/>
    <w:rsid w:val="008A36AB"/>
    <w:rsid w:val="008A3782"/>
    <w:rsid w:val="008A3BA0"/>
    <w:rsid w:val="008A41CD"/>
    <w:rsid w:val="008A58D0"/>
    <w:rsid w:val="008B0553"/>
    <w:rsid w:val="008B5A9F"/>
    <w:rsid w:val="008C4809"/>
    <w:rsid w:val="008E0F97"/>
    <w:rsid w:val="008E172F"/>
    <w:rsid w:val="008E3D94"/>
    <w:rsid w:val="008E5C79"/>
    <w:rsid w:val="008F2B5A"/>
    <w:rsid w:val="008F4B71"/>
    <w:rsid w:val="008F7ED7"/>
    <w:rsid w:val="009009FD"/>
    <w:rsid w:val="00902986"/>
    <w:rsid w:val="00905D41"/>
    <w:rsid w:val="0091236E"/>
    <w:rsid w:val="00922499"/>
    <w:rsid w:val="00926BC6"/>
    <w:rsid w:val="0093093D"/>
    <w:rsid w:val="00937C41"/>
    <w:rsid w:val="00946F00"/>
    <w:rsid w:val="0095603F"/>
    <w:rsid w:val="00962025"/>
    <w:rsid w:val="0098791F"/>
    <w:rsid w:val="00995971"/>
    <w:rsid w:val="0099647F"/>
    <w:rsid w:val="009A0882"/>
    <w:rsid w:val="009A114F"/>
    <w:rsid w:val="009A6A0A"/>
    <w:rsid w:val="009A6C8A"/>
    <w:rsid w:val="009A7660"/>
    <w:rsid w:val="009B46F2"/>
    <w:rsid w:val="009C0554"/>
    <w:rsid w:val="009C214D"/>
    <w:rsid w:val="009C3CAC"/>
    <w:rsid w:val="009C738F"/>
    <w:rsid w:val="009D13ED"/>
    <w:rsid w:val="009D648C"/>
    <w:rsid w:val="009D672A"/>
    <w:rsid w:val="009E02F6"/>
    <w:rsid w:val="009F3597"/>
    <w:rsid w:val="00A01842"/>
    <w:rsid w:val="00A10782"/>
    <w:rsid w:val="00A12B5F"/>
    <w:rsid w:val="00A13157"/>
    <w:rsid w:val="00A13E2E"/>
    <w:rsid w:val="00A233E6"/>
    <w:rsid w:val="00A30B11"/>
    <w:rsid w:val="00A33E18"/>
    <w:rsid w:val="00A46E0C"/>
    <w:rsid w:val="00A579D3"/>
    <w:rsid w:val="00A82E3E"/>
    <w:rsid w:val="00A91120"/>
    <w:rsid w:val="00A9307A"/>
    <w:rsid w:val="00A957F3"/>
    <w:rsid w:val="00AA01E3"/>
    <w:rsid w:val="00AA1FCE"/>
    <w:rsid w:val="00AA2F3D"/>
    <w:rsid w:val="00AA512C"/>
    <w:rsid w:val="00AA6739"/>
    <w:rsid w:val="00AB6638"/>
    <w:rsid w:val="00AC54F6"/>
    <w:rsid w:val="00AF290F"/>
    <w:rsid w:val="00AF6284"/>
    <w:rsid w:val="00AF6949"/>
    <w:rsid w:val="00B021FB"/>
    <w:rsid w:val="00B10F9A"/>
    <w:rsid w:val="00B207DC"/>
    <w:rsid w:val="00B23594"/>
    <w:rsid w:val="00B273AA"/>
    <w:rsid w:val="00B37C09"/>
    <w:rsid w:val="00B513FD"/>
    <w:rsid w:val="00B52FD4"/>
    <w:rsid w:val="00B605C5"/>
    <w:rsid w:val="00B61880"/>
    <w:rsid w:val="00B61DCC"/>
    <w:rsid w:val="00B710EC"/>
    <w:rsid w:val="00B759F8"/>
    <w:rsid w:val="00B75FBD"/>
    <w:rsid w:val="00B765D2"/>
    <w:rsid w:val="00B853BA"/>
    <w:rsid w:val="00B9347D"/>
    <w:rsid w:val="00BA295E"/>
    <w:rsid w:val="00BB3E75"/>
    <w:rsid w:val="00BB6969"/>
    <w:rsid w:val="00BC1876"/>
    <w:rsid w:val="00BC3AF7"/>
    <w:rsid w:val="00BD182E"/>
    <w:rsid w:val="00BD2966"/>
    <w:rsid w:val="00BD3D99"/>
    <w:rsid w:val="00BD4954"/>
    <w:rsid w:val="00BD6A73"/>
    <w:rsid w:val="00BD6FA3"/>
    <w:rsid w:val="00BE4368"/>
    <w:rsid w:val="00BE506A"/>
    <w:rsid w:val="00BE7F64"/>
    <w:rsid w:val="00C054D8"/>
    <w:rsid w:val="00C11AB6"/>
    <w:rsid w:val="00C122EA"/>
    <w:rsid w:val="00C1255F"/>
    <w:rsid w:val="00C14DB8"/>
    <w:rsid w:val="00C22DCA"/>
    <w:rsid w:val="00C266E0"/>
    <w:rsid w:val="00C40CDA"/>
    <w:rsid w:val="00C45241"/>
    <w:rsid w:val="00C47F08"/>
    <w:rsid w:val="00C5099B"/>
    <w:rsid w:val="00C61A83"/>
    <w:rsid w:val="00C719EB"/>
    <w:rsid w:val="00C74C2B"/>
    <w:rsid w:val="00C7790A"/>
    <w:rsid w:val="00C77E6B"/>
    <w:rsid w:val="00C864AA"/>
    <w:rsid w:val="00C91022"/>
    <w:rsid w:val="00C928D1"/>
    <w:rsid w:val="00CA333B"/>
    <w:rsid w:val="00CA48B3"/>
    <w:rsid w:val="00CA61E6"/>
    <w:rsid w:val="00CB19B0"/>
    <w:rsid w:val="00CB2560"/>
    <w:rsid w:val="00CB2CD4"/>
    <w:rsid w:val="00CB48D4"/>
    <w:rsid w:val="00CC6797"/>
    <w:rsid w:val="00CD068A"/>
    <w:rsid w:val="00CD2681"/>
    <w:rsid w:val="00CD75CB"/>
    <w:rsid w:val="00CE1498"/>
    <w:rsid w:val="00D04B83"/>
    <w:rsid w:val="00D0555E"/>
    <w:rsid w:val="00D066F8"/>
    <w:rsid w:val="00D14196"/>
    <w:rsid w:val="00D247CF"/>
    <w:rsid w:val="00D30CD7"/>
    <w:rsid w:val="00D3643A"/>
    <w:rsid w:val="00D41B23"/>
    <w:rsid w:val="00D57D9A"/>
    <w:rsid w:val="00D67E97"/>
    <w:rsid w:val="00D72BB6"/>
    <w:rsid w:val="00D74E8D"/>
    <w:rsid w:val="00D778E1"/>
    <w:rsid w:val="00D80F2F"/>
    <w:rsid w:val="00D8153E"/>
    <w:rsid w:val="00D9153D"/>
    <w:rsid w:val="00D9310D"/>
    <w:rsid w:val="00D9340B"/>
    <w:rsid w:val="00D93FBD"/>
    <w:rsid w:val="00D9795F"/>
    <w:rsid w:val="00DA0CDD"/>
    <w:rsid w:val="00DA3971"/>
    <w:rsid w:val="00DA55BF"/>
    <w:rsid w:val="00DB0051"/>
    <w:rsid w:val="00DB0D8A"/>
    <w:rsid w:val="00DB2BF5"/>
    <w:rsid w:val="00DC14C3"/>
    <w:rsid w:val="00DC3B22"/>
    <w:rsid w:val="00DD4986"/>
    <w:rsid w:val="00DE00B1"/>
    <w:rsid w:val="00DE48A7"/>
    <w:rsid w:val="00DF2D92"/>
    <w:rsid w:val="00DF50BF"/>
    <w:rsid w:val="00DF561C"/>
    <w:rsid w:val="00E03A4F"/>
    <w:rsid w:val="00E06ECF"/>
    <w:rsid w:val="00E12C12"/>
    <w:rsid w:val="00E22BE2"/>
    <w:rsid w:val="00E404A3"/>
    <w:rsid w:val="00E463FE"/>
    <w:rsid w:val="00E50B3D"/>
    <w:rsid w:val="00E62F6B"/>
    <w:rsid w:val="00E8103C"/>
    <w:rsid w:val="00E8104C"/>
    <w:rsid w:val="00E821F9"/>
    <w:rsid w:val="00E8487D"/>
    <w:rsid w:val="00E90D84"/>
    <w:rsid w:val="00E9184B"/>
    <w:rsid w:val="00E93FF1"/>
    <w:rsid w:val="00E96F71"/>
    <w:rsid w:val="00EA3953"/>
    <w:rsid w:val="00EB04D0"/>
    <w:rsid w:val="00EB076C"/>
    <w:rsid w:val="00EB2AF9"/>
    <w:rsid w:val="00EB633C"/>
    <w:rsid w:val="00EC6B11"/>
    <w:rsid w:val="00EF00F9"/>
    <w:rsid w:val="00EF4F2B"/>
    <w:rsid w:val="00F07968"/>
    <w:rsid w:val="00F11C26"/>
    <w:rsid w:val="00F124D0"/>
    <w:rsid w:val="00F14896"/>
    <w:rsid w:val="00F176FE"/>
    <w:rsid w:val="00F17E9C"/>
    <w:rsid w:val="00F200D5"/>
    <w:rsid w:val="00F243CB"/>
    <w:rsid w:val="00F25B53"/>
    <w:rsid w:val="00F27421"/>
    <w:rsid w:val="00F320AC"/>
    <w:rsid w:val="00F33D8F"/>
    <w:rsid w:val="00F42748"/>
    <w:rsid w:val="00F43034"/>
    <w:rsid w:val="00F50F8E"/>
    <w:rsid w:val="00F51313"/>
    <w:rsid w:val="00F55A93"/>
    <w:rsid w:val="00F728F7"/>
    <w:rsid w:val="00F72BA5"/>
    <w:rsid w:val="00F72BAC"/>
    <w:rsid w:val="00F776A0"/>
    <w:rsid w:val="00F9278C"/>
    <w:rsid w:val="00F96334"/>
    <w:rsid w:val="00F97531"/>
    <w:rsid w:val="00FB449C"/>
    <w:rsid w:val="00FC2F1B"/>
    <w:rsid w:val="00FC368E"/>
    <w:rsid w:val="00FC61A2"/>
    <w:rsid w:val="00FD4BE8"/>
    <w:rsid w:val="00FE53F2"/>
    <w:rsid w:val="00FE7155"/>
    <w:rsid w:val="00FF47C3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A2BE"/>
  <w15:chartTrackingRefBased/>
  <w15:docId w15:val="{7B1DE547-BBBB-9B43-955E-4DB75690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1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F1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F1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1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1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1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1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1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1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1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1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1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11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11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1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11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1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1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1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1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1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1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1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11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11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11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1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11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11B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9340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Fontepargpadro"/>
    <w:rsid w:val="00D9340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2">
    <w:name w:val="p2"/>
    <w:basedOn w:val="Normal"/>
    <w:rsid w:val="0081085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81085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2">
    <w:name w:val="s2"/>
    <w:basedOn w:val="Fontepargpadro"/>
    <w:rsid w:val="00AA2F3D"/>
  </w:style>
  <w:style w:type="paragraph" w:styleId="Cabealho">
    <w:name w:val="header"/>
    <w:basedOn w:val="Normal"/>
    <w:link w:val="CabealhoChar"/>
    <w:uiPriority w:val="99"/>
    <w:unhideWhenUsed/>
    <w:rsid w:val="00192F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2F59"/>
  </w:style>
  <w:style w:type="paragraph" w:styleId="Rodap">
    <w:name w:val="footer"/>
    <w:basedOn w:val="Normal"/>
    <w:link w:val="RodapChar"/>
    <w:uiPriority w:val="99"/>
    <w:unhideWhenUsed/>
    <w:rsid w:val="00192F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2F59"/>
  </w:style>
  <w:style w:type="character" w:styleId="Hyperlink">
    <w:name w:val="Hyperlink"/>
    <w:basedOn w:val="Fontepargpadro"/>
    <w:uiPriority w:val="99"/>
    <w:unhideWhenUsed/>
    <w:rsid w:val="00A30B1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0B1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8A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y.ysa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1718</Words>
  <Characters>9282</Characters>
  <Application>Microsoft Office Word</Application>
  <DocSecurity>0</DocSecurity>
  <Lines>77</Lines>
  <Paragraphs>21</Paragraphs>
  <ScaleCrop>false</ScaleCrop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 Maciel Galiza</dc:creator>
  <cp:keywords/>
  <dc:description/>
  <cp:lastModifiedBy>anny sousa</cp:lastModifiedBy>
  <cp:revision>2</cp:revision>
  <dcterms:created xsi:type="dcterms:W3CDTF">2026-05-04T21:39:00Z</dcterms:created>
  <dcterms:modified xsi:type="dcterms:W3CDTF">2026-05-04T21:39:00Z</dcterms:modified>
</cp:coreProperties>
</file>