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Eixo Temático: Saúde do Trabalhador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SAÚDE DO TRABALHADOR: PANORAMA EPIDEMIOLÓGICO DOS ACIDENTES COM PERFUROCORTANTES. </w:t>
      </w:r>
    </w:p>
    <w:p w:rsidR="00000000" w:rsidDel="00000000" w:rsidP="00000000" w:rsidRDefault="00000000" w:rsidRPr="00000000" w14:paraId="00000003">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A saúde do trabalhador representa um eixo estratégico da saúde pública, sobretudo entre profissionais submetidos a riscos ocupacionais cotidianos. Entre esses agravos, os acidentes envolvendo materiais perfurocortantes ocupam posição de destaque, dada a possibilidade de exposição a agentes biológicos potencialmente infecciosos, como os vírus das hepatites B e C e o HIV. Tais eventos configuram um problema de expressiva relevância epidemiológica e social, exigindo vigilância contínua, medidas efetivas de prevenção e resposta oportuna nos serviços de saúde. A análise desses eventos permite identificar fatores de risco e orientar ações preventivas. </w:t>
      </w:r>
      <w:r w:rsidDel="00000000" w:rsidR="00000000" w:rsidRPr="00000000">
        <w:rPr>
          <w:rFonts w:ascii="Times New Roman" w:cs="Times New Roman" w:eastAsia="Times New Roman" w:hAnsi="Times New Roman"/>
          <w:b w:val="1"/>
          <w:bCs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Analisar o panorama epidemiológico dos acidentes com materiais perfurocortantes entre trabalhadores da saúde no período de 2017 a 2024. </w:t>
      </w:r>
      <w:r w:rsidDel="00000000" w:rsidR="00000000" w:rsidRPr="00000000">
        <w:rPr>
          <w:rFonts w:ascii="Times New Roman" w:cs="Times New Roman" w:eastAsia="Times New Roman" w:hAnsi="Times New Roman"/>
          <w:b w:val="1"/>
          <w:bCs w:val="1"/>
          <w:sz w:val="24"/>
          <w:szCs w:val="24"/>
          <w:rtl w:val="0"/>
        </w:rPr>
        <w:t xml:space="preserve">MÉTODOS:</w:t>
      </w:r>
      <w:r w:rsidDel="00000000" w:rsidR="00000000" w:rsidRPr="00000000">
        <w:rPr>
          <w:rFonts w:ascii="Times New Roman" w:cs="Times New Roman" w:eastAsia="Times New Roman" w:hAnsi="Times New Roman"/>
          <w:sz w:val="24"/>
          <w:szCs w:val="24"/>
          <w:rtl w:val="0"/>
        </w:rPr>
        <w:t xml:space="preserve"> Trata-se de um estudo epidemiológico descritivo, de abordagem quantitativa, fundamentado na análise de dados obtidos no Sistema de Informação de Agravos de Notificação (SINAN), disponibilizado pelo Departamento de Informática do Sistema Único de Saúde (DATASUS). A extração foi realizada por meio da plataforma TabNet, utilizando o ano de notificação (2017–2024) e local de residência (Ceará). As variáveis analisadas foram: ano de exposição, agente, material orgânico, circunstância do acidente, situação no mercado de trabalho, sexo e idade. </w:t>
      </w:r>
      <w:r w:rsidDel="00000000" w:rsidR="00000000" w:rsidRPr="00000000">
        <w:rPr>
          <w:rFonts w:ascii="Times New Roman" w:cs="Times New Roman" w:eastAsia="Times New Roman" w:hAnsi="Times New Roman"/>
          <w:b w:val="1"/>
          <w:bCs w:val="1"/>
          <w:sz w:val="24"/>
          <w:szCs w:val="24"/>
          <w:rtl w:val="0"/>
        </w:rPr>
        <w:t xml:space="preserve">RESULTADOS:</w:t>
      </w:r>
      <w:r w:rsidDel="00000000" w:rsidR="00000000" w:rsidRPr="00000000">
        <w:rPr>
          <w:rFonts w:ascii="Times New Roman" w:cs="Times New Roman" w:eastAsia="Times New Roman" w:hAnsi="Times New Roman"/>
          <w:sz w:val="24"/>
          <w:szCs w:val="24"/>
          <w:rtl w:val="0"/>
        </w:rPr>
        <w:t xml:space="preserve"> No Ceará, entre 2017 e 2024, foram registradas 18.336 notificações de acidentes com exposição à material biológico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 SINAN, com evidências de um aumento progressivo no período, com destaque para os anos de 2023 e 2024, que concentraram aumentos de 15,76% e 17,78%, respectivamente. O agente de exposição mais frequente foi a agulha com lúmen, responsável por (58,31%) dos casos, seguida por outros agentes (17,59%) e por agulha sem lúmen (10,60%). O sangue destacou-se como o principal material orgânico envolvido, presente em 79,14% das notificações. Quanto às circunstâncias do acidente, o descarte inadequado no chão respondeu por 12,83% das ocorrências, seguido por procedimentos cirúrgicos (8,95%) e administração endovenosa de medicamentos (8,77%). Sobre a situação no mercado de trabalho, observou-se que 50,20 % dos acidentados possuíam vínculo formal (carteira assinada, cooperativa, servidor público celetista ou estatutário), enquanto 9,74% atuavam sem registro, avulsos ou temporários. Além disso, 2,10% eram autônomos, desempregados ou aposentados, e 0,09% exerciam atividades na condição de empregadores. As demais categorias e situações ignoradas somaram 7,29% e 27,59%, respectivamente. Observou-se que 75,29% dos acidentados eram do sexo feminino, o que pode refletir a maior presença de mulheres nas profissões da saúde. As faixas etárias mais acometidas foram de 20 a 34 anos (58,01%) e de 35 a 49 anos (29,08%), concentrando os casos entre trabalhadores em idade produtiva. </w:t>
      </w:r>
      <w:r w:rsidDel="00000000" w:rsidR="00000000" w:rsidRPr="00000000">
        <w:rPr>
          <w:rFonts w:ascii="Times New Roman" w:cs="Times New Roman" w:eastAsia="Times New Roman" w:hAnsi="Times New Roman"/>
          <w:b w:val="1"/>
          <w:bCs w:val="1"/>
          <w:sz w:val="24"/>
          <w:szCs w:val="24"/>
          <w:rtl w:val="0"/>
        </w:rPr>
        <w:t xml:space="preserve">CONCLUSÃO: </w:t>
      </w:r>
      <w:r w:rsidDel="00000000" w:rsidR="00000000" w:rsidRPr="00000000">
        <w:rPr>
          <w:rFonts w:ascii="Times New Roman" w:cs="Times New Roman" w:eastAsia="Times New Roman" w:hAnsi="Times New Roman"/>
          <w:sz w:val="24"/>
          <w:szCs w:val="24"/>
          <w:rtl w:val="0"/>
        </w:rPr>
        <w:t xml:space="preserve">Os acidentes com material biológico seguem sendo um desafio à saúde ocupacional entre profissionais. O predomínio de agulhas com lúmen e sangue evidencia falhas no manuseio e descarte de materiais, exigindo fortalecer a adesão às normas de biossegurança. Observou-se maior ocorrência entre mulheres e adultos jovens, indicando a importância de capacitação contínua e da aplicação da NR-32 para reduzir riscos e promover ambientes seguros.</w:t>
      </w:r>
    </w:p>
    <w:p w:rsidR="00000000" w:rsidDel="00000000" w:rsidP="00000000" w:rsidRDefault="00000000" w:rsidRPr="00000000" w14:paraId="00000006">
      <w:pPr>
        <w:spacing w:line="240" w:lineRule="auto"/>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Saúde Ocupacional, Ferimentos Perfurantes, Epidemiologia. </w:t>
      </w: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do Trabalho e Emprego. Portaria nº 485, de 11 de novembro de 2005. Aprova a Norma Regulamentadora nº 32 (Segurança e Saúde no Trabalho em Serviços de Saúde). Diário Oficial da União, Brasília, 16 nov. 2005. Disponível em: https://www.gov.br/trabalho-e-emprego/pt-br. Acesso em: 10 nov. 2025.</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 Manual de condutas em exposição ocupacional a material biológico: HIV, hepatites B e C e HTLV. Brasília: Ministério da Saúde, 2021. Disponível em: https://www.gov.br/saude/pt-br. Acesso em: 8 nov. 2025.</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 Sistema de Informação de Agravos de Notificação – SINAN. Brasília: Ministério da Saúde, DATASUS, [s.d.]. Disponível em:https://datasus.saude.gov.br/informacoes-de-saude-tabnet/. Acesso em: 9 nov. 2025.</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ORGANIZAÇÃO MUNDIAL DA SAÚDE (OMS). Global health sector strategies on HIV, viral hepatitis and sexually transmitted infections, 2022–2030. Geneva: World Health Organization, 2022. Disponível em: https://www.who.int/publications. Acesso em: 9 nov. 2025.</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R. S.; SILVA, L. M.; COSTA, M. F. Acidentes ocupacionais com materiais perfurocortantes entre profissionais de saúde: uma revisão integrativa. Revista Brasileira de Enfermagem, v. 76, n. 2, p. e20220432, 2023. Disponível em: https://www.scielo.br/j/reben. Acesso em: 10 nov. 2025.</w:t>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headerReference r:id="rId6" w:type="default"/>
      <w:footerReference r:id="rId7" w:type="default"/>
      <w:pgSz w:h="16838" w:w="11906" w:orient="portrait"/>
      <w:pgMar w:bottom="1133" w:top="1700" w:left="1700" w:right="1133" w:header="28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center"/>
      <w:rPr/>
    </w:pPr>
    <w:r w:rsidDel="00000000" w:rsidR="00000000" w:rsidRPr="00000000">
      <w:rPr/>
      <w:drawing>
        <wp:inline distB="0" distT="0" distL="0" distR="0">
          <wp:extent cx="2174400" cy="1537155"/>
          <wp:effectExtent b="0" l="0" r="0" t="0"/>
          <wp:docPr descr="Logotipo, nome da empresa&#10;&#10;O conteúdo gerado por IA pode estar incorreto." id="1" name="image1.png"/>
          <a:graphic>
            <a:graphicData uri="http://schemas.openxmlformats.org/drawingml/2006/picture">
              <pic:pic>
                <pic:nvPicPr>
                  <pic:cNvPr descr="Logotipo, nome da empresa&#10;&#10;O conteúdo gerado por IA pode estar incorreto." id="0" name="image1.png"/>
                  <pic:cNvPicPr preferRelativeResize="0"/>
                </pic:nvPicPr>
                <pic:blipFill>
                  <a:blip r:embed="rId1"/>
                  <a:srcRect b="0" l="0" r="0" t="0"/>
                  <a:stretch>
                    <a:fillRect/>
                  </a:stretch>
                </pic:blipFill>
                <pic:spPr>
                  <a:xfrm>
                    <a:off x="0" y="0"/>
                    <a:ext cx="2174400" cy="15371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