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Esofagectomia distal com gastrectomia total videolaparoscópica por adenocarcinoma de junção esôfagogástrica: Relato de caso</w:t>
      </w:r>
    </w:p>
    <w:p w:rsidR="00000000" w:rsidDel="00000000" w:rsidP="00000000" w:rsidRDefault="00000000" w:rsidRPr="00000000" w14:paraId="00000002">
      <w:pPr>
        <w:spacing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Kaliani Ângelo Ramos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Ana Luiza G. Pires²; Lucas M. S. Tannús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Cirênio de Almeida Barbosa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4*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Escola de medicina da Universidade Federal de Ouro Preto, Brasil, 2025.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 Hospital das Clínicas, UFMG, Brasil, 2025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Complexo hospitalar Santa Casa de Misericórdia/São Lucas, Minas Gerais, Brasil, 2025.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:rsidR="00000000" w:rsidDel="00000000" w:rsidP="00000000" w:rsidRDefault="00000000" w:rsidRPr="00000000" w14:paraId="00000009">
      <w:pPr>
        <w:spacing w:line="360" w:lineRule="auto"/>
        <w:ind w:left="-566.9291338582675" w:right="4.13385826771730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Adenocarcinoma; </w:t>
      </w:r>
      <w:r w:rsidDel="00000000" w:rsidR="00000000" w:rsidRPr="00000000">
        <w:rPr>
          <w:sz w:val="24"/>
          <w:szCs w:val="24"/>
          <w:rtl w:val="0"/>
        </w:rPr>
        <w:t xml:space="preserve">Junção Esofagogástrica; </w:t>
      </w:r>
      <w:r w:rsidDel="00000000" w:rsidR="00000000" w:rsidRPr="00000000">
        <w:rPr>
          <w:sz w:val="24"/>
          <w:szCs w:val="24"/>
          <w:rtl w:val="0"/>
        </w:rPr>
        <w:t xml:space="preserve">Neoplasias gástricas; </w:t>
      </w:r>
      <w:r w:rsidDel="00000000" w:rsidR="00000000" w:rsidRPr="00000000">
        <w:rPr>
          <w:sz w:val="24"/>
          <w:szCs w:val="24"/>
          <w:rtl w:val="0"/>
        </w:rPr>
        <w:t xml:space="preserve">Procedimentos Cirúrgicos do Sistema Digestório.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Os adenocarcinomas da junção esofagogástrica (JEG) representam cerca de 27% dos tumores gástricos e requerem abordagens terapêuticas específicas, devido à localização anatômica complexa, comportamento agressivo e desafios cirúrgicos.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Descrever um caso de adenocarcinoma de JEG tratado com esofagectomia distal e gastrectomia total por videolaparoscopia.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sz w:val="24"/>
          <w:szCs w:val="24"/>
          <w:rtl w:val="0"/>
        </w:rPr>
        <w:t xml:space="preserve"> Estudo observacional, baseado na análise clínica e cirúrgica de um paciente submetido ao procedimento descrito.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de Caso:</w:t>
      </w:r>
      <w:r w:rsidDel="00000000" w:rsidR="00000000" w:rsidRPr="00000000">
        <w:rPr>
          <w:sz w:val="24"/>
          <w:szCs w:val="24"/>
          <w:rtl w:val="0"/>
        </w:rPr>
        <w:t xml:space="preserve"> Paciente masculino, 64 anos, com doença do refluxo gastroesofágico crônica, em uso de omeprazol sem melhora. A endoscopia digestiva alta evidenciou massa exofítica ulcerada de bordas elevadas, sugestiva de adenocarcinoma tipo Borrmann III. Foram realizadas sete biópsias, cujo exame histopatológico indicou padrão difuso de Lauren. A lesão foi classificada como Siewert tipo III. O paciente foi submetido à gastrectomia total com esofagectomia distal, linfadenectomia D2 e reconstrução em Y de Roux, por videolaparoscopia. No pós-operatório imediato, apresentou broncoespasmo, agitação, taquipneia, sibilos, dessaturação e enfisema subcutâneo, com necessidade de reintubação. Radiografia e tomografia de tórax não evidenciaram alterações relacionadas à técnica cirúrgica. Encaminhado à UTI, encontrava-se em acidose metabólica grave, porém sem uso de aminas vasoativas. Após correção dos distúrbios hidroeletrolíticos, foi extubado com sucesso e evoluiu bem hemodinamicamente e estável clinicamente.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</w:t>
      </w:r>
      <w:r w:rsidDel="00000000" w:rsidR="00000000" w:rsidRPr="00000000">
        <w:rPr>
          <w:sz w:val="24"/>
          <w:szCs w:val="24"/>
          <w:rtl w:val="0"/>
        </w:rPr>
        <w:t xml:space="preserve"> O adenocarcinoma geralmente se manifesta como uma lesão em massa, embora também possa apresentar-se como uma úlcera gástrica de difícil cicatrização ou em padrão infiltrativo difuso. O tratamento do adenocarcinoma de JEG tipo III exige intervenções cirúrgicas complexas, ressecções amplas e reconstrução cuidadosa. A videolaparoscopia é uma alternativa eficaz e viável, com menor trauma cirúrgico e recuperação mais rápida, desde que realizada por equipe experiente. Contudo, complicações respiratórias, como as observadas, são possíveis e demandam monitoramento intensivo. A rápida estabilização clínica após suporte intensivo reforça a importância da abordagem multidisciplinar, garantindo segurança e melhores desfechos.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Mesmo diante de complicações imediatas, a condução adequada e o suporte precoce foram essenciais para a recuperação do paciente, reforçando a importância do monitoramento rigoroso e do cuidado multidisciplinar na abordagem de tumores de JEG.</w:t>
      </w:r>
    </w:p>
    <w:p w:rsidR="00000000" w:rsidDel="00000000" w:rsidP="00000000" w:rsidRDefault="00000000" w:rsidRPr="00000000" w14:paraId="0000000D">
      <w:pPr>
        <w:spacing w:line="360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righ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Pericay C, Marín L, Escudero P, Castaño Á, Targarona EM. Tratamientos oncológicos en el cáncer de unión esofagogástrica: pasado, presente y futuro. </w:t>
      </w:r>
      <w:r w:rsidDel="00000000" w:rsidR="00000000" w:rsidRPr="00000000">
        <w:rPr>
          <w:i w:val="1"/>
          <w:sz w:val="24"/>
          <w:szCs w:val="24"/>
          <w:rtl w:val="0"/>
        </w:rPr>
        <w:t xml:space="preserve">Cir Esp</w:t>
      </w:r>
      <w:r w:rsidDel="00000000" w:rsidR="00000000" w:rsidRPr="00000000">
        <w:rPr>
          <w:sz w:val="24"/>
          <w:szCs w:val="24"/>
          <w:rtl w:val="0"/>
        </w:rPr>
        <w:t xml:space="preserve">. 2019;97(8):459–64. doi:10.1016/j.ciresp.2019.03.016.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Campos JM, Ferraz ÁAB, Lima JG, Siqueira LT, Coelho JCU. </w:t>
      </w:r>
      <w:r w:rsidDel="00000000" w:rsidR="00000000" w:rsidRPr="00000000">
        <w:rPr>
          <w:i w:val="1"/>
          <w:sz w:val="24"/>
          <w:szCs w:val="24"/>
          <w:rtl w:val="0"/>
        </w:rPr>
        <w:t xml:space="preserve">Gastroenterologia e Endoscopia Bariátrica Terapêutica</w:t>
      </w:r>
      <w:r w:rsidDel="00000000" w:rsidR="00000000" w:rsidRPr="00000000">
        <w:rPr>
          <w:sz w:val="24"/>
          <w:szCs w:val="24"/>
          <w:rtl w:val="0"/>
        </w:rPr>
        <w:t xml:space="preserve">. 1ª ed. Rio de Janeiro: Revinter; 2017.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Gyawali CP, Fass R, Savarino E, Pandolfino JE, Zerbib F, Sifrim D, et al. Updates to the modern diagnosis of GERD: Lyon consensus 2.0. </w:t>
      </w:r>
      <w:r w:rsidDel="00000000" w:rsidR="00000000" w:rsidRPr="00000000">
        <w:rPr>
          <w:i w:val="1"/>
          <w:sz w:val="24"/>
          <w:szCs w:val="24"/>
          <w:rtl w:val="0"/>
        </w:rPr>
        <w:t xml:space="preserve">Gut</w:t>
      </w:r>
      <w:r w:rsidDel="00000000" w:rsidR="00000000" w:rsidRPr="00000000">
        <w:rPr>
          <w:sz w:val="24"/>
          <w:szCs w:val="24"/>
          <w:rtl w:val="0"/>
        </w:rPr>
        <w:t xml:space="preserve">. 2023 Sep 21. doi:10.1136/gutjnl-2023-330616.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Hunt R, Armstrong D, Katelaris P, Afihene M, Bane A, Bhatia S, et al. World Gastroenterology Organisation Global Guidelines: GERD Global Perspective on Gastroesophageal Reflux Disease. </w:t>
      </w:r>
      <w:r w:rsidDel="00000000" w:rsidR="00000000" w:rsidRPr="00000000">
        <w:rPr>
          <w:i w:val="1"/>
          <w:sz w:val="24"/>
          <w:szCs w:val="24"/>
          <w:rtl w:val="0"/>
        </w:rPr>
        <w:t xml:space="preserve">J Clin Gastroenterol</w:t>
      </w:r>
      <w:r w:rsidDel="00000000" w:rsidR="00000000" w:rsidRPr="00000000">
        <w:rPr>
          <w:sz w:val="24"/>
          <w:szCs w:val="24"/>
          <w:rtl w:val="0"/>
        </w:rPr>
        <w:t xml:space="preserve">. 2017;51(6):467–78. doi:10.1097/MCG.0000000000000854.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Evans JA, Chandrasekhara V, Chathadi KV, Decker GA, Early DS, Evans JA, et al. The role of endoscopy in the management of premalignant and malignant conditions of the stomach. </w:t>
      </w:r>
      <w:r w:rsidDel="00000000" w:rsidR="00000000" w:rsidRPr="00000000">
        <w:rPr>
          <w:i w:val="1"/>
          <w:sz w:val="24"/>
          <w:szCs w:val="24"/>
          <w:rtl w:val="0"/>
        </w:rPr>
        <w:t xml:space="preserve">Gastrointest Endosc</w:t>
      </w:r>
      <w:r w:rsidDel="00000000" w:rsidR="00000000" w:rsidRPr="00000000">
        <w:rPr>
          <w:sz w:val="24"/>
          <w:szCs w:val="24"/>
          <w:rtl w:val="0"/>
        </w:rPr>
        <w:t xml:space="preserve">. 2015;82(1):1–8. doi:10.1016/j.gie.2015.03.1967.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67ryKQe8YG7u5Rcsuy4nbc2/Ig==">CgMxLjA4AHIhMUZTWVB3dlI4NWdXdklCaE9PNmN6RDZoOUdvaUtLLXRm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