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28BF" w:rsidRDefault="003C28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PAPEL DA EQUIPE MULTIDISCIPLINAR NA PROMOÇÃO DE SAÚDE MENTAL INFANTO JUVENIL: DESAFIOS E PERSPECTIVAS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3C28BF" w:rsidRDefault="00D45D7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Cananosque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Neto, Henrique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Gomes, Severiano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Janeo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:rsidR="003C28BF" w:rsidRDefault="00D45D7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Araújo,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Nathalie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Neves 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3C28BF" w:rsidRDefault="00D45D7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Silva,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Jessyka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Nascimento da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3C28BF" w:rsidRDefault="00D45D7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Oliveira, Francisca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Tayhana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Queiroz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percurso traçado para o desenvolvimento de políticas que englobam a saúde mental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infantojuvenil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foram propostos de maneira tardia no Brasil, ocasionando a falta de uma rede de cuidados que abrangesse assistências clínicas e psicossociais para esse públic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o, sendo necessário atualmente a compreensão dos fatores de superação e desafios encontrados na atenção psicossocial para assim desenvolver novas estratégias de cuidado na infância e adolescência.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Dessa forma, esse estudo objetiva identificar qual o papel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equipe multidisciplinar na promoção da saúde 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infantojuvenil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partir de suas percepções e desafios encontrados na atuação profissional. Trata-se de uma revisão integrativa da literatura, com abordagem qualitativa. O levantamento bibliográfico oco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rreu no período de março de 2023, fundamentada nos artigos científicos selecionados nas seguintes bases de dados: LILACS, ADOLEC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conduzida a partir da seguinte pergunta norteadora: “Qual a contribuição da equipe multiprofissional na promoção de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aúde mental de crianças e adolescentes?”. Para realização da busca de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“Farmacêuticos”, “Psicologia”, “Enfermagem”, “Fonoaudiologia”, “Saúde Mental” e “Criança”, assim como seus correspo</w:t>
      </w:r>
      <w:r>
        <w:rPr>
          <w:rFonts w:ascii="Times New Roman" w:eastAsia="Times New Roman" w:hAnsi="Times New Roman" w:cs="Times New Roman"/>
          <w:sz w:val="24"/>
          <w:szCs w:val="24"/>
        </w:rPr>
        <w:t>ndentes na língua inglesa: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Pharmacists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”,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Psychology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”,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”, “Speech,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Hearing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Sciences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”, “Mental Health”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 pesquisado em seus respectivos idiomas,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”. Como critérios de exclusão consideraram-s</w:t>
      </w:r>
      <w:r>
        <w:rPr>
          <w:rFonts w:ascii="Times New Roman" w:eastAsia="Times New Roman" w:hAnsi="Times New Roman" w:cs="Times New Roman"/>
          <w:sz w:val="24"/>
          <w:szCs w:val="24"/>
        </w:rPr>
        <w:t>e artigos pagos, estudos replicados, fora da temática de pesquisa, fora do recorte temporal e que não atendiam ao público alvo. Sendo incluídos como legíveis, artigos em inglês, português e espanhol, com acesso livre, gratuito e disponíveis na íntegra, del</w:t>
      </w:r>
      <w:r>
        <w:rPr>
          <w:rFonts w:ascii="Times New Roman" w:eastAsia="Times New Roman" w:hAnsi="Times New Roman" w:cs="Times New Roman"/>
          <w:sz w:val="24"/>
          <w:szCs w:val="24"/>
        </w:rPr>
        <w:t>imitando-se o período de 2013 a 2023, sendo o objetivo alcançar o maior número de estudos sobre a temática. Identificou-se que construir a prática da saúde mental é uma tarefa desafiadora para equipe multidisciplinar em saúde, com perspectivas diferentes e</w:t>
      </w:r>
      <w:r>
        <w:rPr>
          <w:rFonts w:ascii="Times New Roman" w:eastAsia="Times New Roman" w:hAnsi="Times New Roman" w:cs="Times New Roman"/>
          <w:sz w:val="24"/>
          <w:szCs w:val="24"/>
        </w:rPr>
        <w:t>m cada área que integra essa equipe, evidenciando ter maior abrangência na farmácia, fonoaudiologia, enfermagem e psicologia. Destaca-se a adaptação necessária em cada área para abordar amplamente a saúde mental para esse público, sendo necessário ainda 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estudos e intervenções que abrangem essa temática, assim como, a inserção de outras áreas da saúde que protagonizem o cuidado integral à criança e do adolescente.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Adolescente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Infância;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Saúde 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28BF" w:rsidRDefault="003C2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403D39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3C28BF" w:rsidRDefault="00D45D72">
      <w:pPr>
        <w:shd w:val="clear" w:color="auto" w:fill="FFFFFF"/>
        <w:spacing w:after="2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percurso traçado para o desenvolvimento de políticas que englobam a saúde 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infantojuvenil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foram propostos de maneira tardia no Brasil, ocasionando a falta de uma rede de cuidados que abrangesse assistências clínicas e psicossociais para esse públic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o, sendo necessário atualmente a compreensão dos fatores de superação e desafios encontrados na atenção psicossocial, para assim desenvolver novas estratégias de cuidado na infância e adolescência (COUTO e DELGADO, 2015). </w:t>
      </w:r>
    </w:p>
    <w:p w:rsidR="003C28BF" w:rsidRDefault="00D45D72">
      <w:pPr>
        <w:shd w:val="clear" w:color="auto" w:fill="FFFFFF"/>
        <w:spacing w:after="2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Dessa forma, crianças e adolescen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tes que requerem atenção em saúde mental devem ter ingresso em diversos níveis de complexidade que compõem a rede de atenção, requerendo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intersetorialidade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rede visando a garantia de cuidado integral e melhores estratégias para atender as problemática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 envolvidas no cuidado e tratamento de saúde, sendo a comunicação entre pessoas e setores diversos importantes para associação de saberes, distribuição de ações e produção de novas formas de construir políticas que integrem essa temática (NUNES </w:t>
      </w:r>
      <w:r w:rsidR="005D3F5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19).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Considerando o exposto, objetiva-se identificar qual o papel da equipe multidisciplinar na promoção da saúde 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infantojuvenil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tendo como base suas percepções e desafios encontrados na atuação profissional.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3C28BF" w:rsidRDefault="00D45D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da literatura, com abordagem qualitativa. O levantamento bibliográfico ocorreu no período de março de 2023, fundamentada nos artigos científicos selecionados nas seguintes bases de dados: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Caribe 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(LILACS), Biblioteca Virtual em Saúde do Adolescente (ADOLEC)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Eletronic Library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A busca dos estudos foi conduzida a partir 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seguinte pergunta norteadora: “Qual a contribuição da equipe multiprofi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ssional na promoção de saúde mental de crianças e adolescentes?”. Para realização da busca de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“Farmacêuticos”, “Psicologia”, “Enfermagem”, “Fonoaudiologia”, “Saúde Mental” e “Criança”, </w:t>
      </w:r>
      <w:r>
        <w:rPr>
          <w:rFonts w:ascii="Times New Roman" w:eastAsia="Times New Roman" w:hAnsi="Times New Roman" w:cs="Times New Roman"/>
          <w:sz w:val="24"/>
          <w:szCs w:val="24"/>
        </w:rPr>
        <w:t>assim como seus correspondentes na língua inglesa: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Pharmacists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”,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Psychology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”,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”, “Speech,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Hearing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Sciences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”, “Mental Health”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 pesquisado em seus respectivos idiomas,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3C28BF" w:rsidRDefault="00D45D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critérios d</w:t>
      </w:r>
      <w:r>
        <w:rPr>
          <w:rFonts w:ascii="Times New Roman" w:eastAsia="Times New Roman" w:hAnsi="Times New Roman" w:cs="Times New Roman"/>
          <w:sz w:val="24"/>
          <w:szCs w:val="24"/>
        </w:rPr>
        <w:t>e exclusão consideraram-se artigos pagos, estudos replicados, fora da temática de pesquisa, fora do recorte temporal e que não atendiam ao público alvo. Sendo incluídos como legíveis, artigos em inglês, português e espanhol, com acesso livre, gratuito e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sponíveis na íntegra, delimitando-se o período de 2013 a 2023, sendo o objetivo alcançar o maior número de estudos sobre a temática. Conforme a estratégia de busca utilizada, na base de dados LILACS obteve-se 568 estudos, na ADOLEC obteve-se 92 e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obteve-se 89 artigos alcançados. Após a aplicação dos critérios de elegibilidade e exclusão, 348 artigos apresentaram-se fora do tema, 365 artigos apresentaram-se desatualizados, 31 artigos duplicados, resultando apenas 5 estudos que atendem o objetivo pr</w:t>
      </w:r>
      <w:r>
        <w:rPr>
          <w:rFonts w:ascii="Times New Roman" w:eastAsia="Times New Roman" w:hAnsi="Times New Roman" w:cs="Times New Roman"/>
          <w:sz w:val="24"/>
          <w:szCs w:val="24"/>
        </w:rPr>
        <w:t>oposto para compor a revisão.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prática do profissional farmacêutico enquanto promotor de saúde mental, destaca-se sua atuação para além de processos medicamentosos, visto que, compreende-se que o medicamento é apenas um instrume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que, utilizado de maneira adequada, melhora aspectos funcionais e promove qualidade de vida, se ponderando de outros instrumentos como o pictograma e cores, dessa forma, evidencia-se que na execução prática de sua atividade é necessária uma integração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serviços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intersetoriais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promovam saúde e a garantia dos direitos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infantojuvenis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(DAMASCENO, MENDES e AGUIAR, 2022).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fonoaudiologia, enquanto agente promotor de saúde, passou por transformações amplas e complexas, saindo da ótica reduzida de diagnó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sticos e consultas pré-estabelecidas, identificando-se profissionalmente vinculada a área da saúde mental, dessa forma, as barreiras clínicas são quebradas com a inserção do fonoaudiólogo nas equipes multidisciplinares que realizam acolhimentos, dinâmicas </w:t>
      </w:r>
      <w:r>
        <w:rPr>
          <w:rFonts w:ascii="Times New Roman" w:eastAsia="Times New Roman" w:hAnsi="Times New Roman" w:cs="Times New Roman"/>
          <w:sz w:val="24"/>
          <w:szCs w:val="24"/>
        </w:rPr>
        <w:t>grupais e intervenções durante intervalos, tendo como segmentos uma compreensão extensa referente a produção social da relação saúde-doença-cuidado que abrangem os transtornos mentais (ARCE, 2014). A partir desse conhecimento, obtém-se um avanço no cuidado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saúde mental infantil, na qual abrange os preceitos advindos da reforma psiquiátrica brasileira, da mesma forma que defende e promove o cuidado integral à criança. </w:t>
      </w:r>
    </w:p>
    <w:p w:rsidR="003C28BF" w:rsidRDefault="00D45D72">
      <w:pPr>
        <w:shd w:val="clear" w:color="auto" w:fill="FFFFFF"/>
        <w:spacing w:after="2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contributos da enfermagem nesse campo, evidenciam-se através de intervenções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psicoed</w:t>
      </w:r>
      <w:r>
        <w:rPr>
          <w:rFonts w:ascii="Times New Roman" w:eastAsia="Times New Roman" w:hAnsi="Times New Roman" w:cs="Times New Roman"/>
          <w:sz w:val="24"/>
          <w:szCs w:val="24"/>
        </w:rPr>
        <w:t>ucativas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propostas para promoção de bem-estar emocional, físico e geral de crianças e adolescentes, dando ênfase ao ensino e incentivo de comportamentos saudáveis dos filhos, pais e da inserção comunidade nessas atividades, dessa forma, constata-se como 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pel do enfermeiro a identificação desses problemas no ambiente em que esteja inserido, assim como na mobilização de ações que interrompam o desenvolvimento negativo da criança e que promovam um estilo de vida funcional (SILVA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2020). Considerando es</w:t>
      </w:r>
      <w:r>
        <w:rPr>
          <w:rFonts w:ascii="Times New Roman" w:eastAsia="Times New Roman" w:hAnsi="Times New Roman" w:cs="Times New Roman"/>
          <w:sz w:val="24"/>
          <w:szCs w:val="24"/>
        </w:rPr>
        <w:t>sa perspectiva, destaca-se a importância do desenvolvimento de intervenções inventivas que dialogam criticamente sobre o modelo de saúde vigente, fundamentadas no diagnóstico e aplicação baseada na realidade vivenciada pelo público alvo, utilizando-se da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ducação para o avanço de tecnologias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cuidativas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qualidade promovido pelos profissionais de saúde (FRANZOI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sz w:val="24"/>
          <w:szCs w:val="24"/>
        </w:rPr>
        <w:t>2016).</w:t>
      </w:r>
    </w:p>
    <w:p w:rsidR="003C28BF" w:rsidRDefault="00D45D72">
      <w:pPr>
        <w:shd w:val="clear" w:color="auto" w:fill="FFFFFF"/>
        <w:spacing w:after="2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protagonismo da psicologia inserida no campo da saúde 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infantojuvenil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demanda uma nova perspectiva das práticas psicológicas </w:t>
      </w:r>
      <w:r>
        <w:rPr>
          <w:rFonts w:ascii="Times New Roman" w:eastAsia="Times New Roman" w:hAnsi="Times New Roman" w:cs="Times New Roman"/>
          <w:sz w:val="24"/>
          <w:szCs w:val="24"/>
        </w:rPr>
        <w:t>tradicionais, necessitando uma reavaliação no modo de atuação em que possa se proporcionar uma assistência humanizada, substituindo ações voltadas para cura e abrangendo uma visão coletiva, articuladas aos outros setores de saúde visando promover  bem-esta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psicossocial das crianças e adolescentes,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incluindo nesse contexto a família e as redes sociais que englobam esse público (SOARES, ARAÚJO e CHAVES, 2018).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:rsidR="003C28BF" w:rsidRDefault="00D45D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 estudo evidenciou o papel da equipe multidisciplinar enquanto promotor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de </w:t>
      </w:r>
      <w:r w:rsidR="00691351">
        <w:rPr>
          <w:rFonts w:ascii="Times New Roman" w:eastAsia="Times New Roman" w:hAnsi="Times New Roman" w:cs="Times New Roman"/>
          <w:sz w:val="24"/>
          <w:szCs w:val="24"/>
        </w:rPr>
        <w:t xml:space="preserve">saúde mental ao público </w:t>
      </w:r>
      <w:proofErr w:type="spellStart"/>
      <w:r w:rsidR="00691351">
        <w:rPr>
          <w:rFonts w:ascii="Times New Roman" w:eastAsia="Times New Roman" w:hAnsi="Times New Roman" w:cs="Times New Roman"/>
          <w:sz w:val="24"/>
          <w:szCs w:val="24"/>
        </w:rPr>
        <w:t>infanto</w:t>
      </w:r>
      <w:r>
        <w:rPr>
          <w:rFonts w:ascii="Times New Roman" w:eastAsia="Times New Roman" w:hAnsi="Times New Roman" w:cs="Times New Roman"/>
          <w:sz w:val="24"/>
          <w:szCs w:val="24"/>
        </w:rPr>
        <w:t>juvenil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identificou-se que construir a prática da saúde mental é uma tarefa desafiadora para equipe multidisciplinar em saúde, com perspectivas diferentes em cada área que integra essa equipe, evidenciando ter maior a</w:t>
      </w:r>
      <w:r>
        <w:rPr>
          <w:rFonts w:ascii="Times New Roman" w:eastAsia="Times New Roman" w:hAnsi="Times New Roman" w:cs="Times New Roman"/>
          <w:sz w:val="24"/>
          <w:szCs w:val="24"/>
        </w:rPr>
        <w:t>brangência na farmácia, fonoaudiologia, enfermagem e psicologia. Destaca-se a adaptação necessária em cada área para abordar amplamente a saúde mental para esse público, sendo necessário ainda mais estudos e intervenções que abrangem essa temática, assim c</w:t>
      </w:r>
      <w:r>
        <w:rPr>
          <w:rFonts w:ascii="Times New Roman" w:eastAsia="Times New Roman" w:hAnsi="Times New Roman" w:cs="Times New Roman"/>
          <w:sz w:val="24"/>
          <w:szCs w:val="24"/>
        </w:rPr>
        <w:t>omo, a inserção de outras áreas da saúde que possam protagonizar o cuidado integral à criança e do adolescente.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ARCE, V.A.R. Fonoaudiologia e saúde mental: reorientando o trabalho na perspectiva da atenção psicossocial.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Cefac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v. 16, n.3,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p. 1004-1012, 2014. 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COUTO, M.C.V.; DELGADO, P.G.G. Crianças e adolescentes na agenda política da saúde mental brasileira: inclusão tardia, desafios atuais.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27, n. 1, p. 17-40, 2015.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DAMASCENO, L.T.; MENDES, S.J; AGUIAR, P.M. Interface entre a saúde mental de crianças e adolescentes e a atuação clínica do farmacêutico: um estudo qualitativo.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Interface (Botucatu)</w:t>
      </w:r>
      <w:r>
        <w:rPr>
          <w:rFonts w:ascii="Times New Roman" w:eastAsia="Times New Roman" w:hAnsi="Times New Roman" w:cs="Times New Roman"/>
          <w:sz w:val="24"/>
          <w:szCs w:val="24"/>
        </w:rPr>
        <w:t>. v.26, e210780, p. 1-17, 2022.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FRANZOI, M.A.H.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sz w:val="24"/>
          <w:szCs w:val="24"/>
        </w:rPr>
        <w:t>Intervenção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musical como estratégia de cuidado de enfermagem a crianças com transtorno do espectro do autismo em um centro de atenção psicossocial.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Texto Contexto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Emferm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v. 25, n.1, p. 1-8, 2016. 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NUNES, C.K.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Saúde mental em crianças e adolescentes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visão dos profissionais sobre desafios e possibilidades na construção de redes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intersetoriais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 Gaúcha de Enfermagem</w:t>
      </w:r>
      <w:r>
        <w:rPr>
          <w:rFonts w:ascii="Times New Roman" w:eastAsia="Times New Roman" w:hAnsi="Times New Roman" w:cs="Times New Roman"/>
          <w:sz w:val="24"/>
          <w:szCs w:val="24"/>
        </w:rPr>
        <w:t>. v. 40, e20180432, p. 1-9, 2019.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E.M.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Promoção de saúde mental das crianças: contributos dos enfermeiros.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Acta Paul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v. 33, eAPE20180254, p. 1-7, 2020. </w:t>
      </w:r>
    </w:p>
    <w:p w:rsidR="003C28BF" w:rsidRDefault="00D45D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SOARES, F.C.; ARAÚJO, R.S.; CHAVES, R.O.S. Políticas públicas de saúde mental para crianças e adolescentes: a atuação do psicólogo.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Sanare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(Sobral)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v. 17, n. 2, p. 74-81, 2018.  </w:t>
      </w:r>
    </w:p>
    <w:sectPr w:rsidR="003C28B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72" w:rsidRDefault="00D45D72">
      <w:pPr>
        <w:spacing w:after="0" w:line="240" w:lineRule="auto"/>
      </w:pPr>
      <w:r>
        <w:separator/>
      </w:r>
    </w:p>
  </w:endnote>
  <w:endnote w:type="continuationSeparator" w:id="0">
    <w:p w:rsidR="00D45D72" w:rsidRDefault="00D4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BF" w:rsidRDefault="00D45D7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3C28BF" w:rsidRDefault="00D45D7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²Psicólogo, Centro Universitário Católico Salesiano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Auxilium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de Lins, Lins-SP,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h.canosque@unesp.br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3C28BF" w:rsidRDefault="00D45D7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 xml:space="preserve">Nutrição, Centro Universitário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Uninovafapi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Teresina-PI,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gomesseveriano68@gmail.com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3C28BF" w:rsidRDefault="00D45D7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 xml:space="preserve">Nutrição, Universidade Federal da Paraíba, João Pessoa-PB,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nathalienaraujo@gmail.com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3C28BF" w:rsidRDefault="00D45D7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 xml:space="preserve">Enfermeira, Centro Universitário Maurício de Nassau, Moreno-PE,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jessykasilva28415@gmail.com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3C28BF" w:rsidRDefault="00D45D7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 xml:space="preserve">Psicologia, Universidade de Fortaleza, Maracanaú-CE,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tayhanaqueiroz@gmail.com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72" w:rsidRDefault="00D45D72">
      <w:pPr>
        <w:spacing w:after="0" w:line="240" w:lineRule="auto"/>
      </w:pPr>
      <w:r>
        <w:separator/>
      </w:r>
    </w:p>
  </w:footnote>
  <w:footnote w:type="continuationSeparator" w:id="0">
    <w:p w:rsidR="00D45D72" w:rsidRDefault="00D4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BF" w:rsidRDefault="00D45D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BF" w:rsidRDefault="00D45D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 distT="0" dist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22065" b="12502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-83184</wp:posOffset>
          </wp:positionV>
          <wp:extent cx="1733550" cy="1487170"/>
          <wp:effectExtent l="0" t="0" r="0" b="0"/>
          <wp:wrapTopAndBottom distT="0" distB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l="5012" r="7246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BF" w:rsidRDefault="00D45D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BF"/>
    <w:rsid w:val="003C28BF"/>
    <w:rsid w:val="005D3F59"/>
    <w:rsid w:val="00691351"/>
    <w:rsid w:val="00D4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9A449DD-92AB-4F75-A9FC-0947AE37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nniferchavesps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omesseveriano68@gmail.com" TargetMode="External"/><Relationship Id="rId2" Type="http://schemas.openxmlformats.org/officeDocument/2006/relationships/hyperlink" Target="mailto:h.canosque@unesp.br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tayhanaqueiroz@gmail.com" TargetMode="External"/><Relationship Id="rId5" Type="http://schemas.openxmlformats.org/officeDocument/2006/relationships/hyperlink" Target="mailto:jessykasilva28415@gmail.com" TargetMode="External"/><Relationship Id="rId4" Type="http://schemas.openxmlformats.org/officeDocument/2006/relationships/hyperlink" Target="mailto:nathalienarauj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dqLmtXjiZKdhHYM5otD3lWbbbw==">AMUW2mXHF+BsSv2D6jSZnLP9qXD4Lj5ZJdTdweR9pTWWyvedTvwqSl0F9et+SpBcIoTaizYxjysUdbTwAnnOSei/9k/IboICuIMq+agRb9FR12mPvWVKUeM=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1719</Words>
  <Characters>9284</Characters>
  <Application>Microsoft Office Word</Application>
  <DocSecurity>0</DocSecurity>
  <Lines>77</Lines>
  <Paragraphs>21</Paragraphs>
  <ScaleCrop>false</ScaleCrop>
  <Company/>
  <LinksUpToDate>false</LinksUpToDate>
  <CharactersWithSpaces>10982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3</cp:revision>
  <dcterms:created xsi:type="dcterms:W3CDTF">2023-03-16T03:49:00Z</dcterms:created>
  <dcterms:modified xsi:type="dcterms:W3CDTF">2023-04-29T19:15:00Z</dcterms:modified>
</cp:coreProperties>
</file>