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C" w:rsidRDefault="00D0394C" w:rsidP="0012462E">
      <w:pPr>
        <w:jc w:val="center"/>
        <w:rPr>
          <w:b/>
          <w:sz w:val="24"/>
          <w:szCs w:val="24"/>
        </w:rPr>
      </w:pPr>
    </w:p>
    <w:p w:rsidR="002523EB" w:rsidRDefault="002523EB" w:rsidP="0012462E">
      <w:pPr>
        <w:jc w:val="center"/>
        <w:rPr>
          <w:b/>
          <w:sz w:val="28"/>
          <w:szCs w:val="24"/>
        </w:rPr>
      </w:pPr>
      <w:r w:rsidRPr="00D5252B">
        <w:rPr>
          <w:b/>
          <w:sz w:val="28"/>
          <w:szCs w:val="24"/>
        </w:rPr>
        <w:t xml:space="preserve">A INFLUÊNCIA DOS EVENTOS CLIMÁTICOS REGIONAIS SOBRE OS RESERVATÓRIOS DO NORDESTE 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2523EB" w:rsidRDefault="002523EB" w:rsidP="002523EB">
      <w:pPr>
        <w:jc w:val="center"/>
        <w:rPr>
          <w:sz w:val="24"/>
          <w:szCs w:val="24"/>
        </w:rPr>
      </w:pPr>
      <w:r w:rsidRPr="00D5252B">
        <w:rPr>
          <w:sz w:val="24"/>
          <w:szCs w:val="24"/>
        </w:rPr>
        <w:t>Luanny Gabriele Cunha Ferreira ¹</w:t>
      </w:r>
      <w:r>
        <w:rPr>
          <w:sz w:val="24"/>
          <w:szCs w:val="24"/>
        </w:rPr>
        <w:t>;</w:t>
      </w:r>
      <w:r w:rsidRPr="00D5252B">
        <w:rPr>
          <w:sz w:val="24"/>
          <w:szCs w:val="24"/>
        </w:rPr>
        <w:t xml:space="preserve"> Alexandre Kemenes ²</w:t>
      </w:r>
    </w:p>
    <w:p w:rsidR="0012462E" w:rsidRPr="00C57770" w:rsidRDefault="0012462E" w:rsidP="00C57770">
      <w:pPr>
        <w:pStyle w:val="Rodap"/>
        <w:jc w:val="center"/>
        <w:rPr>
          <w:sz w:val="24"/>
          <w:szCs w:val="24"/>
        </w:rPr>
      </w:pPr>
      <w:r w:rsidRPr="00C57770">
        <w:rPr>
          <w:sz w:val="24"/>
          <w:szCs w:val="24"/>
          <w:vertAlign w:val="superscript"/>
        </w:rPr>
        <w:t xml:space="preserve">1 </w:t>
      </w:r>
      <w:r w:rsidR="002523EB" w:rsidRPr="00C57770">
        <w:rPr>
          <w:sz w:val="24"/>
          <w:szCs w:val="24"/>
        </w:rPr>
        <w:t>Mestranda em Recursos Hídricos</w:t>
      </w:r>
      <w:r w:rsidRPr="00C57770">
        <w:rPr>
          <w:sz w:val="24"/>
          <w:szCs w:val="24"/>
        </w:rPr>
        <w:t xml:space="preserve">. </w:t>
      </w:r>
      <w:r w:rsidR="002523EB" w:rsidRPr="00C57770">
        <w:rPr>
          <w:sz w:val="24"/>
          <w:szCs w:val="24"/>
        </w:rPr>
        <w:t>Universidade Federal do Pará</w:t>
      </w:r>
      <w:r w:rsidRPr="00C57770">
        <w:rPr>
          <w:sz w:val="24"/>
          <w:szCs w:val="24"/>
        </w:rPr>
        <w:t xml:space="preserve">. </w:t>
      </w:r>
      <w:r w:rsidR="002523EB" w:rsidRPr="00C57770">
        <w:rPr>
          <w:sz w:val="24"/>
          <w:szCs w:val="24"/>
        </w:rPr>
        <w:t>Luanny_cunha@yahoo.com</w:t>
      </w:r>
      <w:r w:rsidRPr="00C57770">
        <w:rPr>
          <w:sz w:val="24"/>
          <w:szCs w:val="24"/>
        </w:rPr>
        <w:t>.</w:t>
      </w:r>
    </w:p>
    <w:p w:rsidR="0012462E" w:rsidRPr="00C57770" w:rsidRDefault="0012462E" w:rsidP="00C57770">
      <w:pPr>
        <w:pStyle w:val="Rodap"/>
        <w:jc w:val="center"/>
        <w:rPr>
          <w:sz w:val="24"/>
          <w:szCs w:val="24"/>
        </w:rPr>
      </w:pPr>
      <w:r w:rsidRPr="00C57770">
        <w:rPr>
          <w:sz w:val="24"/>
          <w:szCs w:val="24"/>
          <w:vertAlign w:val="superscript"/>
        </w:rPr>
        <w:t xml:space="preserve">2 </w:t>
      </w:r>
      <w:r w:rsidR="00C57770" w:rsidRPr="00C57770">
        <w:rPr>
          <w:sz w:val="24"/>
          <w:szCs w:val="24"/>
        </w:rPr>
        <w:t>Doutor em Biologia de Água Doce e Pesca Interior</w:t>
      </w:r>
      <w:r w:rsidRPr="00C57770">
        <w:rPr>
          <w:sz w:val="24"/>
          <w:szCs w:val="24"/>
        </w:rPr>
        <w:t xml:space="preserve">. </w:t>
      </w:r>
      <w:r w:rsidR="00C57770" w:rsidRPr="00C57770">
        <w:rPr>
          <w:sz w:val="24"/>
          <w:szCs w:val="24"/>
        </w:rPr>
        <w:t>Embrapa Meio Norte</w:t>
      </w:r>
      <w:r w:rsidR="00C57770">
        <w:rPr>
          <w:sz w:val="24"/>
          <w:szCs w:val="24"/>
        </w:rPr>
        <w:t>. A</w:t>
      </w:r>
      <w:r w:rsidR="00C57770" w:rsidRPr="00C57770">
        <w:rPr>
          <w:sz w:val="24"/>
          <w:szCs w:val="24"/>
          <w:shd w:val="clear" w:color="auto" w:fill="FFFFFF"/>
        </w:rPr>
        <w:t>lexandre.kemenes@embrapa.br</w:t>
      </w:r>
      <w:r w:rsidR="00511E8F" w:rsidRPr="00C57770">
        <w:rPr>
          <w:sz w:val="24"/>
          <w:szCs w:val="24"/>
        </w:rPr>
        <w:t>.</w:t>
      </w: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4F1E0F">
      <w:pPr>
        <w:jc w:val="center"/>
        <w:rPr>
          <w:bCs/>
          <w:sz w:val="24"/>
          <w:szCs w:val="24"/>
        </w:rPr>
      </w:pPr>
    </w:p>
    <w:p w:rsidR="00C57770" w:rsidRDefault="00C57770" w:rsidP="00C57770">
      <w:pPr>
        <w:jc w:val="both"/>
        <w:rPr>
          <w:sz w:val="24"/>
          <w:szCs w:val="24"/>
        </w:rPr>
      </w:pPr>
      <w:r w:rsidRPr="00AD39AF">
        <w:rPr>
          <w:color w:val="00000A"/>
          <w:sz w:val="24"/>
          <w:szCs w:val="24"/>
        </w:rPr>
        <w:t xml:space="preserve">O Nordeste Brasileiro enfrenta o fenômeno da seca, com a escassez de água, há muitos anos. </w:t>
      </w:r>
      <w:r w:rsidRPr="000F4D9E">
        <w:rPr>
          <w:sz w:val="24"/>
          <w:szCs w:val="24"/>
        </w:rPr>
        <w:t>A construção dos reservatórios vem sendo realizada pelo homem, desde tempos remotos, através do barramento de rios, com a principal função do abastecimento de água. A regulação do volume dos reservatórios é quantificado pelos sistemas de abastecimento e de descarga, através da precipitação e evaporação. O objetivo deste trabalho foi determinar a influência das variáveis regionais sobre os reservatórios do Nordeste. Foram avaliados 26 reservatórios de seis estados da região Nordeste Brasil (Piauí, Ceará, Pernambuco, Paraíba, Rio Grande do Norte e Bahia). A seleção das 21 estações meteorológicas, foram espacialmente distribuídas englobando todas as mesorregiões presentes nos seis estados. Foram obtidos os dados médios mensais no período de 1998 a 2015, para o volume dos reservatórios, no site do Departamento de Obra Contra Secas- DNOCS (</w:t>
      </w:r>
      <w:r w:rsidRPr="0082430D">
        <w:rPr>
          <w:sz w:val="24"/>
          <w:szCs w:val="24"/>
        </w:rPr>
        <w:t>www.dnocs.gov.br</w:t>
      </w:r>
      <w:r w:rsidRPr="000F4D9E">
        <w:rPr>
          <w:sz w:val="24"/>
          <w:szCs w:val="24"/>
        </w:rPr>
        <w:t>), e de evaporação e precipitação através do Instituto Nacional de Meteorologia-</w:t>
      </w:r>
      <w:r>
        <w:rPr>
          <w:sz w:val="24"/>
          <w:szCs w:val="24"/>
        </w:rPr>
        <w:t xml:space="preserve"> </w:t>
      </w:r>
      <w:r w:rsidRPr="000F4D9E">
        <w:rPr>
          <w:sz w:val="24"/>
          <w:szCs w:val="24"/>
        </w:rPr>
        <w:t xml:space="preserve">INMET (www.inmet.gov.br). </w:t>
      </w:r>
      <w:r w:rsidRPr="000F4D9E">
        <w:rPr>
          <w:bCs/>
          <w:sz w:val="24"/>
          <w:szCs w:val="24"/>
        </w:rPr>
        <w:t xml:space="preserve">A correlação estatística de </w:t>
      </w:r>
      <w:r w:rsidRPr="000F4D9E">
        <w:rPr>
          <w:bCs/>
          <w:i/>
          <w:sz w:val="24"/>
          <w:szCs w:val="24"/>
        </w:rPr>
        <w:t>Pearson</w:t>
      </w:r>
      <w:r w:rsidRPr="000F4D9E">
        <w:rPr>
          <w:bCs/>
          <w:sz w:val="24"/>
          <w:szCs w:val="24"/>
        </w:rPr>
        <w:t xml:space="preserve"> mostrou maior </w:t>
      </w:r>
      <w:r w:rsidRPr="000F4D9E">
        <w:rPr>
          <w:sz w:val="24"/>
          <w:szCs w:val="24"/>
        </w:rPr>
        <w:t>número de relações positivas com a precipitaçã</w:t>
      </w:r>
      <w:r>
        <w:rPr>
          <w:sz w:val="24"/>
          <w:szCs w:val="24"/>
        </w:rPr>
        <w:t xml:space="preserve">o e negativas com a evaporação. Tendo </w:t>
      </w:r>
      <w:r w:rsidRPr="00BA45F9">
        <w:rPr>
          <w:sz w:val="24"/>
          <w:szCs w:val="24"/>
        </w:rPr>
        <w:t xml:space="preserve">grande representatividade para o volume de água acumulada nos reservatórios do Nordeste, onde a taxa de calor dissipado influenciou cerca de </w:t>
      </w:r>
      <w:r>
        <w:rPr>
          <w:sz w:val="24"/>
          <w:szCs w:val="24"/>
        </w:rPr>
        <w:t>58</w:t>
      </w:r>
      <w:r w:rsidRPr="00BA45F9">
        <w:rPr>
          <w:sz w:val="24"/>
          <w:szCs w:val="24"/>
        </w:rPr>
        <w:t>% dos reservatórios avaliados.</w:t>
      </w:r>
    </w:p>
    <w:p w:rsidR="00C57770" w:rsidRDefault="00C57770" w:rsidP="0012462E">
      <w:pPr>
        <w:jc w:val="both"/>
        <w:rPr>
          <w:bCs/>
          <w:color w:val="0000FF"/>
          <w:sz w:val="24"/>
          <w:szCs w:val="24"/>
        </w:rPr>
      </w:pPr>
    </w:p>
    <w:p w:rsidR="0012462E" w:rsidRDefault="0012462E" w:rsidP="004F1E0F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4F1E0F">
        <w:rPr>
          <w:b/>
          <w:sz w:val="24"/>
          <w:szCs w:val="24"/>
        </w:rPr>
        <w:t xml:space="preserve">: </w:t>
      </w:r>
      <w:r w:rsidR="004F1E0F">
        <w:rPr>
          <w:sz w:val="24"/>
          <w:szCs w:val="24"/>
        </w:rPr>
        <w:t xml:space="preserve">parâmetros hidrológicos. </w:t>
      </w:r>
      <w:r w:rsidR="004F1E0F" w:rsidRPr="0082430D">
        <w:rPr>
          <w:sz w:val="24"/>
          <w:szCs w:val="24"/>
        </w:rPr>
        <w:t>dissipação de calor</w:t>
      </w:r>
      <w:r w:rsidR="004F1E0F">
        <w:rPr>
          <w:sz w:val="24"/>
          <w:szCs w:val="24"/>
        </w:rPr>
        <w:t xml:space="preserve">. </w:t>
      </w:r>
      <w:r w:rsidR="004F1E0F" w:rsidRPr="0082430D">
        <w:rPr>
          <w:sz w:val="24"/>
          <w:szCs w:val="24"/>
        </w:rPr>
        <w:t>reservatórios do nordeste.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4F1E0F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4F1E0F">
        <w:rPr>
          <w:sz w:val="24"/>
          <w:szCs w:val="24"/>
        </w:rPr>
        <w:t>Avaliação de Impactos Ambientais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F56AAF" w:rsidRPr="00F56AAF" w:rsidRDefault="00F56AAF" w:rsidP="00F56AA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56AAF">
        <w:rPr>
          <w:rFonts w:ascii="Times New Roman" w:hAnsi="Times New Roman" w:cs="Times New Roman"/>
          <w:color w:val="00000A"/>
        </w:rPr>
        <w:t xml:space="preserve">O Nordeste Brasileiro enfrenta o fenômeno da seca, com a escassez de água, há muitos anos. Esse impacto ambiental vem trazendo prejuízos para a </w:t>
      </w:r>
      <w:r>
        <w:rPr>
          <w:rFonts w:ascii="Times New Roman" w:hAnsi="Times New Roman" w:cs="Times New Roman"/>
          <w:color w:val="00000A"/>
        </w:rPr>
        <w:t>sociedade, milhares de muni</w:t>
      </w:r>
      <w:r w:rsidRPr="00F56AAF">
        <w:rPr>
          <w:rFonts w:ascii="Times New Roman" w:hAnsi="Times New Roman" w:cs="Times New Roman"/>
          <w:color w:val="00000A"/>
        </w:rPr>
        <w:t>c</w:t>
      </w:r>
      <w:r>
        <w:rPr>
          <w:rFonts w:ascii="Times New Roman" w:hAnsi="Times New Roman" w:cs="Times New Roman"/>
          <w:color w:val="00000A"/>
        </w:rPr>
        <w:t>í</w:t>
      </w:r>
      <w:r w:rsidRPr="00F56AAF">
        <w:rPr>
          <w:rFonts w:ascii="Times New Roman" w:hAnsi="Times New Roman" w:cs="Times New Roman"/>
          <w:color w:val="00000A"/>
        </w:rPr>
        <w:t>pios do interior nordestino já foram afetados pelo êxodo rural e pelo atraso no desenvolvimento agrário (MARENGO et al., 2016). Existem alguns mecanismos hidráulicos utilizados, dentre esses a construção de reservatórios que ameniza o problema da seca, aumentando a segurança hídrica e alimentar regional (</w:t>
      </w:r>
      <w:r w:rsidRPr="00F56AAF">
        <w:rPr>
          <w:rFonts w:ascii="Times New Roman" w:hAnsi="Times New Roman" w:cs="Times New Roman"/>
        </w:rPr>
        <w:t>ANDRADE; MARQUES, 2017</w:t>
      </w:r>
      <w:r w:rsidRPr="00F56AAF">
        <w:rPr>
          <w:rFonts w:ascii="Times New Roman" w:hAnsi="Times New Roman" w:cs="Times New Roman"/>
          <w:color w:val="00000A"/>
        </w:rPr>
        <w:t xml:space="preserve">). </w:t>
      </w:r>
      <w:r w:rsidRPr="00F56AAF">
        <w:rPr>
          <w:rFonts w:ascii="Times New Roman" w:hAnsi="Times New Roman" w:cs="Times New Roman"/>
        </w:rPr>
        <w:tab/>
        <w:t>A regulação do volume de água dos reservatórios no Nordeste,</w:t>
      </w:r>
      <w:r w:rsidR="00F50F77">
        <w:rPr>
          <w:rFonts w:ascii="Times New Roman" w:hAnsi="Times New Roman" w:cs="Times New Roman"/>
        </w:rPr>
        <w:t xml:space="preserve"> </w:t>
      </w:r>
      <w:r w:rsidRPr="00F56AAF">
        <w:rPr>
          <w:rFonts w:ascii="Times New Roman" w:hAnsi="Times New Roman" w:cs="Times New Roman"/>
        </w:rPr>
        <w:t>apresenta como principal sistema de abastecimento, a</w:t>
      </w:r>
      <w:r w:rsidRPr="00F56AAF">
        <w:rPr>
          <w:rFonts w:ascii="Times New Roman" w:hAnsi="Times New Roman" w:cs="Times New Roman"/>
          <w:color w:val="auto"/>
        </w:rPr>
        <w:t xml:space="preserve">s </w:t>
      </w:r>
      <w:r w:rsidRPr="00F56AAF">
        <w:rPr>
          <w:rFonts w:ascii="Times New Roman" w:hAnsi="Times New Roman" w:cs="Times New Roman"/>
          <w:color w:val="auto"/>
        </w:rPr>
        <w:lastRenderedPageBreak/>
        <w:t>chuvas</w:t>
      </w:r>
      <w:r w:rsidRPr="00F56AAF">
        <w:rPr>
          <w:rFonts w:ascii="Times New Roman" w:hAnsi="Times New Roman" w:cs="Times New Roman"/>
        </w:rPr>
        <w:t>, que</w:t>
      </w:r>
      <w:r w:rsidRPr="00F56AAF">
        <w:rPr>
          <w:rFonts w:ascii="Times New Roman" w:hAnsi="Times New Roman" w:cs="Times New Roman"/>
          <w:color w:val="auto"/>
        </w:rPr>
        <w:t xml:space="preserve"> são fenômenos de alta frequência, porém apresentam uma grande irregularidade temporal e espacial na região Nordestina</w:t>
      </w:r>
      <w:r w:rsidRPr="00F56AAF">
        <w:rPr>
          <w:rFonts w:ascii="Times New Roman" w:hAnsi="Times New Roman" w:cs="Times New Roman"/>
        </w:rPr>
        <w:t>, as perdas em volume de água nos reservatórios, são resultantes principalmente das elevadas taxas de evaporação durante todo ano que modificam a quantidade e a qualidade da água disponível em reservatórios que é de fundamental importância para a manutenção da demanda hídrica na sociedade</w:t>
      </w:r>
      <w:r w:rsidRPr="00F56AAF">
        <w:rPr>
          <w:rFonts w:ascii="Times New Roman" w:hAnsi="Times New Roman" w:cs="Times New Roman"/>
          <w:color w:val="auto"/>
        </w:rPr>
        <w:t xml:space="preserve"> (KEMENES et al., 2015; SILVA et al., 2017)</w:t>
      </w:r>
      <w:r w:rsidRPr="00F56AAF">
        <w:rPr>
          <w:rFonts w:ascii="Times New Roman" w:hAnsi="Times New Roman" w:cs="Times New Roman"/>
        </w:rPr>
        <w:t>. O objetivo deste trabalho foi determinar a influência das variáveis regionais sobre os reservatórios do Nordeste.</w:t>
      </w:r>
    </w:p>
    <w:p w:rsidR="00F56AAF" w:rsidRDefault="0012462E" w:rsidP="0012462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:rsidR="0012462E" w:rsidRPr="00A4613E" w:rsidRDefault="0012462E" w:rsidP="00F50F77">
      <w:pPr>
        <w:jc w:val="both"/>
        <w:rPr>
          <w:b/>
          <w:sz w:val="24"/>
          <w:szCs w:val="28"/>
        </w:rPr>
      </w:pPr>
      <w:r w:rsidRPr="00A4613E">
        <w:rPr>
          <w:sz w:val="24"/>
          <w:szCs w:val="28"/>
        </w:rPr>
        <w:t xml:space="preserve">1.1 </w:t>
      </w:r>
      <w:r w:rsidR="00A4613E" w:rsidRPr="00A4613E">
        <w:rPr>
          <w:b/>
          <w:sz w:val="24"/>
          <w:szCs w:val="28"/>
        </w:rPr>
        <w:t>SUBTÍTULO</w:t>
      </w:r>
      <w:r w:rsidR="00F50F77">
        <w:rPr>
          <w:b/>
          <w:sz w:val="24"/>
          <w:szCs w:val="28"/>
        </w:rPr>
        <w:t>: INTERFERÊ</w:t>
      </w:r>
      <w:r w:rsidR="00B00038">
        <w:rPr>
          <w:b/>
          <w:sz w:val="24"/>
          <w:szCs w:val="28"/>
        </w:rPr>
        <w:t>NCIA</w:t>
      </w:r>
      <w:r w:rsidR="00A4613E" w:rsidRPr="00A4613E">
        <w:rPr>
          <w:b/>
          <w:sz w:val="24"/>
          <w:szCs w:val="28"/>
        </w:rPr>
        <w:t xml:space="preserve"> DA PRECIPITAÇÃO E DA EVAPORAÇÃO SOBRE OS RESERVATÓRIOS DO NORDESTE</w:t>
      </w:r>
    </w:p>
    <w:p w:rsidR="0012462E" w:rsidRPr="00F56AAF" w:rsidRDefault="0012462E" w:rsidP="0012462E">
      <w:pPr>
        <w:pStyle w:val="PargrafodaLista"/>
        <w:tabs>
          <w:tab w:val="left" w:pos="1290"/>
        </w:tabs>
        <w:ind w:left="360"/>
        <w:rPr>
          <w:rFonts w:ascii="Times New Roman" w:hAnsi="Times New Roman"/>
          <w:color w:val="00B0F0"/>
          <w:sz w:val="24"/>
          <w:szCs w:val="28"/>
        </w:rPr>
      </w:pPr>
    </w:p>
    <w:p w:rsidR="0012462E" w:rsidRPr="00A4613E" w:rsidRDefault="0012462E" w:rsidP="0012462E">
      <w:pPr>
        <w:tabs>
          <w:tab w:val="left" w:pos="1290"/>
        </w:tabs>
        <w:rPr>
          <w:sz w:val="24"/>
          <w:szCs w:val="28"/>
        </w:rPr>
      </w:pPr>
      <w:r w:rsidRPr="00A4613E">
        <w:rPr>
          <w:b/>
          <w:sz w:val="24"/>
          <w:szCs w:val="28"/>
        </w:rPr>
        <w:t>1.1.1 Intertítulo</w:t>
      </w:r>
      <w:r w:rsidR="00F50F77">
        <w:rPr>
          <w:b/>
          <w:sz w:val="24"/>
          <w:szCs w:val="28"/>
        </w:rPr>
        <w:t>:</w:t>
      </w:r>
      <w:r w:rsidR="00EF2714">
        <w:rPr>
          <w:b/>
          <w:sz w:val="24"/>
          <w:szCs w:val="28"/>
        </w:rPr>
        <w:t xml:space="preserve"> </w:t>
      </w:r>
      <w:r w:rsidR="00B00038">
        <w:rPr>
          <w:b/>
          <w:sz w:val="24"/>
          <w:szCs w:val="28"/>
        </w:rPr>
        <w:t xml:space="preserve">Diminuição do volume dos reservatórios no Nordeste </w:t>
      </w:r>
      <w:r w:rsidR="00EF2714">
        <w:rPr>
          <w:b/>
          <w:sz w:val="24"/>
          <w:szCs w:val="28"/>
        </w:rPr>
        <w:t xml:space="preserve"> </w:t>
      </w:r>
    </w:p>
    <w:p w:rsidR="0012462E" w:rsidRPr="00857B31" w:rsidRDefault="0012462E" w:rsidP="0012462E">
      <w:pPr>
        <w:pStyle w:val="PargrafodaLista"/>
        <w:tabs>
          <w:tab w:val="left" w:pos="1290"/>
        </w:tabs>
        <w:rPr>
          <w:rFonts w:ascii="Times New Roman" w:hAnsi="Times New Roman"/>
          <w:sz w:val="24"/>
          <w:szCs w:val="28"/>
        </w:rPr>
      </w:pPr>
    </w:p>
    <w:p w:rsidR="0012462E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:rsidR="00F56AAF" w:rsidRPr="00F56AAF" w:rsidRDefault="00A4613E" w:rsidP="00F56AAF">
      <w:pPr>
        <w:pStyle w:val="PargrafodaLista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</w:t>
      </w:r>
      <w:r w:rsidR="00F56AAF" w:rsidRPr="00F56AAF">
        <w:rPr>
          <w:rFonts w:ascii="Times New Roman" w:hAnsi="Times New Roman"/>
          <w:sz w:val="24"/>
          <w:szCs w:val="24"/>
        </w:rPr>
        <w:t>rea de estudo; Foram avaliados 26 reservatórios de seis estados da região Nordeste Brasil (Piauí, Ceará, Pernambuco, Paraíba, Rio Grande do Norte e Bahia) (Figura 1a). A seleção das 21 estações meteorológicas, foram espacialmente distribuídas englobando todas as mesorregiões presentes nos seis estados estudados, associado a homogeneidade das condições climáticas e da proximidade local presentes entre os reservatórios e as estações apresentadas na Tabela 1 e Figura 1b. Foram obtidos os dados médios mensais no período de 1998 a 2015, para o volume dos reservatórios, no site do Departamento de Obra Contra Secas- DNOCS (w</w:t>
      </w:r>
      <w:bookmarkStart w:id="0" w:name="_GoBack"/>
      <w:bookmarkEnd w:id="0"/>
      <w:r w:rsidR="00F56AAF" w:rsidRPr="00F56AAF">
        <w:rPr>
          <w:rFonts w:ascii="Times New Roman" w:hAnsi="Times New Roman"/>
          <w:sz w:val="24"/>
          <w:szCs w:val="24"/>
        </w:rPr>
        <w:t>ww.dnocs.gov.br), e de evaporação e precipitação através do Instituto Nacional de Meteorologia-</w:t>
      </w:r>
      <w:r w:rsidR="00F50F77">
        <w:rPr>
          <w:rFonts w:ascii="Times New Roman" w:hAnsi="Times New Roman"/>
          <w:sz w:val="24"/>
          <w:szCs w:val="24"/>
        </w:rPr>
        <w:t xml:space="preserve"> </w:t>
      </w:r>
      <w:r w:rsidR="00F56AAF" w:rsidRPr="00F56AAF">
        <w:rPr>
          <w:rFonts w:ascii="Times New Roman" w:hAnsi="Times New Roman"/>
          <w:sz w:val="24"/>
          <w:szCs w:val="24"/>
        </w:rPr>
        <w:t xml:space="preserve">INMET (www.inmet.gov.br). </w:t>
      </w:r>
    </w:p>
    <w:p w:rsidR="00F56AAF" w:rsidRPr="00F56AAF" w:rsidRDefault="00F56AAF" w:rsidP="00F56AAF">
      <w:pPr>
        <w:spacing w:line="360" w:lineRule="auto"/>
        <w:ind w:firstLine="708"/>
        <w:jc w:val="both"/>
        <w:rPr>
          <w:sz w:val="24"/>
          <w:szCs w:val="24"/>
        </w:rPr>
      </w:pPr>
      <w:r w:rsidRPr="00F56AAF">
        <w:rPr>
          <w:sz w:val="24"/>
          <w:szCs w:val="24"/>
        </w:rPr>
        <w:t>O volume dos reservatórios foi correlacionado com a precipitação e evaporação por meio da Correlação de Pearson (ρ), buscando avaliar o grau de significância estatística entre esses parâmetros. Foi considerado ρ &gt; 0,5 ou ρ &lt; - 0,5 uma forte correlação; para - 0,5 &lt; ρ &lt; - 0,3 ou 0,5 &gt; ρ &gt; 0,3  correlação  moderada; e ρ &lt; 0,3 e ρ &gt; - 0,3 correlação fraca ou nula. Buscando avaliar se as correlações são estatisticamente significativas ao nível de 5% (p &lt; 0,05) foi realizado o teste-t (SNEATH; SOKAL, 1973).</w:t>
      </w:r>
    </w:p>
    <w:p w:rsidR="00F56AAF" w:rsidRPr="00F56AAF" w:rsidRDefault="00F56AAF" w:rsidP="00F56AAF">
      <w:pPr>
        <w:jc w:val="both"/>
        <w:rPr>
          <w:sz w:val="24"/>
          <w:szCs w:val="24"/>
        </w:rPr>
      </w:pPr>
      <w:r w:rsidRPr="00F56AAF">
        <w:rPr>
          <w:b/>
          <w:sz w:val="22"/>
          <w:szCs w:val="22"/>
        </w:rPr>
        <w:lastRenderedPageBreak/>
        <w:t xml:space="preserve">Figura 1. a. </w:t>
      </w:r>
      <w:r w:rsidRPr="00F56AAF">
        <w:rPr>
          <w:sz w:val="22"/>
          <w:szCs w:val="22"/>
        </w:rPr>
        <w:t xml:space="preserve">Distribuição espacial dos 26 reservatórios em estudo na região Nordeste do Brasil; </w:t>
      </w:r>
      <w:r w:rsidRPr="00F56AAF">
        <w:rPr>
          <w:b/>
          <w:sz w:val="22"/>
          <w:szCs w:val="22"/>
        </w:rPr>
        <w:t>b.</w:t>
      </w:r>
      <w:r w:rsidRPr="00F56AAF">
        <w:rPr>
          <w:sz w:val="22"/>
          <w:szCs w:val="22"/>
        </w:rPr>
        <w:t>Distribuição espacialdas 21 estações meteorológicas em estudo na região Nordeste do Brasil.</w:t>
      </w:r>
    </w:p>
    <w:p w:rsidR="00F56AAF" w:rsidRDefault="00F56AAF" w:rsidP="00EF4532">
      <w:pPr>
        <w:pStyle w:val="Legenda1"/>
        <w:ind w:right="-1" w:hanging="141"/>
        <w:jc w:val="both"/>
        <w:rPr>
          <w:rFonts w:ascii="Times New Roman" w:hAnsi="Times New Roman"/>
          <w:color w:val="auto"/>
          <w:sz w:val="22"/>
          <w:szCs w:val="22"/>
        </w:rPr>
      </w:pPr>
      <w:r w:rsidRPr="00F56AAF">
        <w:rPr>
          <w:rFonts w:ascii="Times New Roman" w:hAnsi="Times New Roman"/>
          <w:b w:val="0"/>
          <w:noProof/>
          <w:sz w:val="24"/>
          <w:szCs w:val="24"/>
          <w:lang w:eastAsia="pt-BR"/>
        </w:rPr>
        <w:drawing>
          <wp:inline distT="0" distB="0" distL="0" distR="0">
            <wp:extent cx="6124575" cy="3819525"/>
            <wp:effectExtent l="19050" t="0" r="9525" b="0"/>
            <wp:docPr id="1" name="Imagem 3" descr="D:\Luanny\Documents\reservaot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uanny\Documents\reservaoti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55" cy="381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AF" w:rsidRPr="00EF4532" w:rsidRDefault="00F56AAF" w:rsidP="00F56AAF">
      <w:pPr>
        <w:pStyle w:val="Legenda1"/>
        <w:ind w:right="-1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EF4532">
        <w:rPr>
          <w:rFonts w:ascii="Times New Roman" w:hAnsi="Times New Roman"/>
          <w:b w:val="0"/>
          <w:color w:val="auto"/>
          <w:sz w:val="22"/>
          <w:szCs w:val="22"/>
        </w:rPr>
        <w:t>Fonte:</w:t>
      </w:r>
      <w:r w:rsidR="00EF4532" w:rsidRPr="00EF4532">
        <w:rPr>
          <w:rFonts w:ascii="Times New Roman" w:hAnsi="Times New Roman"/>
          <w:b w:val="0"/>
          <w:color w:val="auto"/>
          <w:sz w:val="22"/>
          <w:szCs w:val="22"/>
        </w:rPr>
        <w:t>Elaborado pelo autor</w:t>
      </w:r>
      <w:r w:rsidR="002C5003" w:rsidRPr="00EF4532">
        <w:rPr>
          <w:rFonts w:ascii="Times New Roman" w:hAnsi="Times New Roman"/>
          <w:b w:val="0"/>
          <w:color w:val="auto"/>
          <w:sz w:val="22"/>
          <w:szCs w:val="22"/>
        </w:rPr>
        <w:t>.</w:t>
      </w:r>
    </w:p>
    <w:p w:rsidR="00F56AAF" w:rsidRPr="00F56AAF" w:rsidRDefault="00F56AAF" w:rsidP="002C5003">
      <w:pPr>
        <w:pStyle w:val="Legenda1"/>
        <w:ind w:right="-1"/>
        <w:jc w:val="center"/>
        <w:rPr>
          <w:rFonts w:ascii="Times New Roman" w:hAnsi="Times New Roman"/>
          <w:b w:val="0"/>
          <w:sz w:val="22"/>
          <w:szCs w:val="22"/>
        </w:rPr>
      </w:pPr>
      <w:r w:rsidRPr="00F56AAF">
        <w:rPr>
          <w:rFonts w:ascii="Times New Roman" w:hAnsi="Times New Roman"/>
          <w:color w:val="auto"/>
          <w:sz w:val="22"/>
          <w:szCs w:val="22"/>
        </w:rPr>
        <w:t>Tabela 1</w:t>
      </w:r>
      <w:r w:rsidR="00820B72">
        <w:rPr>
          <w:rFonts w:ascii="Times New Roman" w:hAnsi="Times New Roman"/>
          <w:color w:val="auto"/>
          <w:sz w:val="22"/>
          <w:szCs w:val="22"/>
        </w:rPr>
        <w:t>-</w:t>
      </w:r>
      <w:r w:rsidRPr="00F56AAF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56AAF">
        <w:rPr>
          <w:rFonts w:ascii="Times New Roman" w:hAnsi="Times New Roman"/>
          <w:b w:val="0"/>
          <w:color w:val="auto"/>
          <w:sz w:val="22"/>
          <w:szCs w:val="22"/>
        </w:rPr>
        <w:t>Associação dos reservatórios com as estações meteorológicas, de acordo com suas proximidades geográficas.</w:t>
      </w:r>
    </w:p>
    <w:tbl>
      <w:tblPr>
        <w:tblW w:w="0" w:type="auto"/>
        <w:tblInd w:w="851" w:type="dxa"/>
        <w:tblLayout w:type="fixed"/>
        <w:tblLook w:val="0000"/>
      </w:tblPr>
      <w:tblGrid>
        <w:gridCol w:w="570"/>
        <w:gridCol w:w="2770"/>
        <w:gridCol w:w="236"/>
        <w:gridCol w:w="2724"/>
      </w:tblGrid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b/>
                <w:bCs/>
                <w:sz w:val="24"/>
                <w:szCs w:val="24"/>
              </w:rPr>
              <w:t>Reservatório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b/>
                <w:bCs/>
                <w:sz w:val="24"/>
                <w:szCs w:val="24"/>
              </w:rPr>
              <w:t>Estação Meteorológica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Caldeirão (PI)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Caldeirão (PI)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Barreiras (PI)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Picos (PI)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Bonfim (PI)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Picos (PI)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Salinas (PI)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Floriano (PI)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Bocaina (PI)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Bom Jesus do Piauí (PI)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Pentecoste (CE)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Guaramiranga (CE)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Araras (CE)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Guaramiranga (CE)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Várzea Boi (CE)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Campos Sales (CE)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142"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Orós (CE)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tabs>
                <w:tab w:val="left" w:pos="465"/>
              </w:tabs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Barbalha (CE)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Castanhão (CE)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tabs>
                <w:tab w:val="left" w:pos="465"/>
              </w:tabs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Jaguaruana (CE)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Mendobim (RN)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tabs>
                <w:tab w:val="left" w:pos="465"/>
              </w:tabs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Apodi (RN)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Trairi (RN)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Natal (RN)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Marechal Dutra (RN)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Serido (RN)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Itans (RN)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Natal (RN)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Sabuji (RN)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Cruzeta (RN)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São Gonçalo (PR)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tabs>
                <w:tab w:val="left" w:pos="465"/>
              </w:tabs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São Gonçalo (PR)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Eng. Ávidos (PR)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Patos (PR)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Mãe Água (PR)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Patos (PR)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Sumé (PR)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Campina Grande (PR)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Boqueirão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João Pessoa (PR)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Entremontes (PE)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1341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Petrolina (PE)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Cachoeira (PE)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Petrolina (PE)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Serrinha (PE)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Cabrobó (PE)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Rosário (PE)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Arcoverde (PE)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Poço da Cruz (PE)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Recife (PE)</w:t>
            </w:r>
          </w:p>
        </w:tc>
      </w:tr>
      <w:tr w:rsidR="00F56AAF" w:rsidRPr="00F56AAF" w:rsidTr="00F5029E">
        <w:trPr>
          <w:trHeight w:hRule="exact" w:val="284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snapToGrid w:val="0"/>
              <w:ind w:left="-250"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6AAF" w:rsidRPr="00F56AAF" w:rsidRDefault="00F56AAF" w:rsidP="00CC4E46">
            <w:pPr>
              <w:ind w:left="601" w:right="174" w:hanging="709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Riacho do Paulo (BA)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snapToGrid w:val="0"/>
              <w:ind w:right="140"/>
              <w:rPr>
                <w:color w:val="FF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6AAF" w:rsidRPr="00F56AAF" w:rsidRDefault="00F56AAF" w:rsidP="00CC4E46">
            <w:pPr>
              <w:ind w:left="950" w:hanging="2693"/>
              <w:jc w:val="right"/>
              <w:rPr>
                <w:sz w:val="24"/>
                <w:szCs w:val="24"/>
              </w:rPr>
            </w:pPr>
            <w:r w:rsidRPr="00F56AAF">
              <w:rPr>
                <w:sz w:val="24"/>
                <w:szCs w:val="24"/>
              </w:rPr>
              <w:t>Monte Santos (PE)</w:t>
            </w:r>
          </w:p>
        </w:tc>
      </w:tr>
    </w:tbl>
    <w:p w:rsidR="00F56AAF" w:rsidRPr="00477998" w:rsidRDefault="002C5003" w:rsidP="002C5003">
      <w:pPr>
        <w:jc w:val="center"/>
        <w:rPr>
          <w:sz w:val="22"/>
          <w:szCs w:val="22"/>
        </w:rPr>
      </w:pPr>
      <w:r w:rsidRPr="00477998">
        <w:rPr>
          <w:sz w:val="22"/>
          <w:szCs w:val="22"/>
        </w:rPr>
        <w:t>Fonte:</w:t>
      </w:r>
      <w:r w:rsidR="00F50F77">
        <w:rPr>
          <w:sz w:val="22"/>
          <w:szCs w:val="22"/>
        </w:rPr>
        <w:t xml:space="preserve"> </w:t>
      </w:r>
      <w:r w:rsidR="00477998" w:rsidRPr="00477998">
        <w:rPr>
          <w:sz w:val="22"/>
          <w:szCs w:val="22"/>
        </w:rPr>
        <w:t>Elaborado pelo autor</w:t>
      </w:r>
      <w:r w:rsidRPr="00477998">
        <w:rPr>
          <w:sz w:val="22"/>
          <w:szCs w:val="22"/>
        </w:rPr>
        <w:t>.</w:t>
      </w:r>
    </w:p>
    <w:p w:rsidR="00F56AAF" w:rsidRDefault="00F56AAF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</w:p>
    <w:p w:rsidR="0012462E" w:rsidRDefault="0012462E" w:rsidP="002C5003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2C5003" w:rsidRDefault="002C5003" w:rsidP="002C5003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2C5003" w:rsidRDefault="002C5003" w:rsidP="002C5003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42FA9">
        <w:rPr>
          <w:sz w:val="24"/>
          <w:szCs w:val="24"/>
        </w:rPr>
        <w:t>Foram obtidos resultados significativos das análises estatísticas correlacionando a precipitação e evaporação com o volume mensal dos reservatórios do Nordeste (</w:t>
      </w:r>
      <w:r w:rsidRPr="00F42FA9">
        <w:rPr>
          <w:b/>
          <w:sz w:val="24"/>
          <w:szCs w:val="24"/>
        </w:rPr>
        <w:t xml:space="preserve">Tabela </w:t>
      </w:r>
      <w:r>
        <w:rPr>
          <w:b/>
          <w:sz w:val="24"/>
          <w:szCs w:val="24"/>
        </w:rPr>
        <w:t>2</w:t>
      </w:r>
      <w:r w:rsidRPr="00F42FA9">
        <w:rPr>
          <w:sz w:val="24"/>
          <w:szCs w:val="24"/>
        </w:rPr>
        <w:t>). Para os resultados obtidos o</w:t>
      </w:r>
      <w:r w:rsidRPr="00F42FA9">
        <w:rPr>
          <w:color w:val="000000"/>
          <w:sz w:val="24"/>
          <w:szCs w:val="24"/>
        </w:rPr>
        <w:t xml:space="preserve"> valor que apresentou a melhor correlação estatística foi dos reservatórios de Engenheiro Ávidos e Serrinha com as estações de Patos e Cabrobó, respectivamente. </w:t>
      </w:r>
    </w:p>
    <w:p w:rsidR="002C5003" w:rsidRPr="006B2B8A" w:rsidRDefault="002C5003" w:rsidP="002C5003">
      <w:pPr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</w:t>
      </w:r>
      <w:r w:rsidRPr="00F42FA9">
        <w:rPr>
          <w:color w:val="000000"/>
          <w:sz w:val="24"/>
          <w:szCs w:val="24"/>
        </w:rPr>
        <w:t xml:space="preserve"> reservatórios</w:t>
      </w:r>
      <w:r>
        <w:rPr>
          <w:color w:val="000000"/>
          <w:sz w:val="24"/>
          <w:szCs w:val="24"/>
        </w:rPr>
        <w:t xml:space="preserve"> de Caldeirão, Bonfim, Pentecoste, Araras, Trairi, Itans, Sabuji, São Gonçalo e Sumé</w:t>
      </w:r>
      <w:r w:rsidRPr="00F42FA9">
        <w:rPr>
          <w:color w:val="000000"/>
          <w:sz w:val="24"/>
          <w:szCs w:val="24"/>
        </w:rPr>
        <w:t xml:space="preserve"> avaliados nesse estudo apresentaram correlações positivas com a precipitação, evidenciando que o regime pluviométrico local influencia diretamente o nível volumétrico destes locais.</w:t>
      </w:r>
      <w:r>
        <w:rPr>
          <w:color w:val="000000"/>
          <w:sz w:val="24"/>
          <w:szCs w:val="24"/>
        </w:rPr>
        <w:t xml:space="preserve"> Colaborando com os estudos realizados por Medeiros et al. (2016), Costa e Silva (2017),Shimidt (2014) e Menezes et al. (2008), respectivamente nas regiões do Piauí, Ceará, Rio Grande do Norte e Paraíba. Os</w:t>
      </w:r>
      <w:r w:rsidRPr="006B2B8A">
        <w:rPr>
          <w:color w:val="000000"/>
          <w:sz w:val="24"/>
          <w:szCs w:val="24"/>
        </w:rPr>
        <w:t xml:space="preserve"> estados de Pernambuco e Bahia, a precipitação não apresentou correlações estatisticamente significativas, pela provável influência do Oceano Atlântico na distribuição pluviométrica da água desses estados, corroborando aos resultados encontrados em Ferreira e Kemenes (2017).</w:t>
      </w:r>
    </w:p>
    <w:p w:rsidR="002C5003" w:rsidRPr="00B37BB6" w:rsidRDefault="002C5003" w:rsidP="002C5003">
      <w:pPr>
        <w:spacing w:line="360" w:lineRule="auto"/>
        <w:ind w:right="-1" w:firstLine="709"/>
        <w:jc w:val="both"/>
        <w:rPr>
          <w:color w:val="FF0000"/>
        </w:rPr>
      </w:pPr>
      <w:r w:rsidRPr="006B2B8A">
        <w:rPr>
          <w:sz w:val="24"/>
          <w:szCs w:val="24"/>
        </w:rPr>
        <w:t xml:space="preserve">A evaporação apresentou correlações negativas para </w:t>
      </w:r>
      <w:r>
        <w:rPr>
          <w:sz w:val="24"/>
          <w:szCs w:val="24"/>
        </w:rPr>
        <w:t>58</w:t>
      </w:r>
      <w:r w:rsidRPr="006B2B8A">
        <w:rPr>
          <w:sz w:val="24"/>
          <w:szCs w:val="24"/>
        </w:rPr>
        <w:t>% das estações meteorológicas estudadas. O aumento da dissipação do calor para a atmosfera, através da evaporação, fez com que ocorresse a diminuição no volume dos reservatórios</w:t>
      </w:r>
      <w:r>
        <w:rPr>
          <w:sz w:val="24"/>
          <w:szCs w:val="24"/>
        </w:rPr>
        <w:t xml:space="preserve"> de Caldeirão, Bocaina, Pentecoste, Araras, Orós, Trairi, Sabuji, São Gonçalo, Engenheiro Ávidos, Mãe Água, Sumé, Boqueirão, Cachoeira, Serrinha e Poço da Cruz, colaborando com os estudos de Medeiros et al. (2016), Silva et al. (2016), Moura et al. (2007</w:t>
      </w:r>
      <w:r w:rsidR="00CD5A9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e </w:t>
      </w:r>
      <w:r w:rsidRPr="001F2448">
        <w:rPr>
          <w:sz w:val="24"/>
          <w:szCs w:val="24"/>
        </w:rPr>
        <w:t xml:space="preserve">Azevedo et al. (2016), </w:t>
      </w:r>
      <w:r>
        <w:rPr>
          <w:sz w:val="24"/>
          <w:szCs w:val="24"/>
        </w:rPr>
        <w:t xml:space="preserve">respectivamente nos estados do Piauí, </w:t>
      </w:r>
      <w:r>
        <w:rPr>
          <w:sz w:val="24"/>
          <w:szCs w:val="24"/>
        </w:rPr>
        <w:lastRenderedPageBreak/>
        <w:t xml:space="preserve">Ceará, Pernambuco, Rio Grande do Norte e Paraíba. </w:t>
      </w:r>
      <w:r w:rsidRPr="00BA45F9">
        <w:rPr>
          <w:sz w:val="24"/>
          <w:szCs w:val="24"/>
        </w:rPr>
        <w:t>Na Bahia, a estação de Monte Santo não apresentou correlações significativas com o reservatório Riacho do Paulo.</w:t>
      </w:r>
    </w:p>
    <w:p w:rsidR="002C5003" w:rsidRDefault="002C5003" w:rsidP="002C5003">
      <w:pPr>
        <w:spacing w:line="360" w:lineRule="auto"/>
        <w:ind w:right="-1" w:firstLine="709"/>
        <w:jc w:val="both"/>
        <w:rPr>
          <w:sz w:val="24"/>
          <w:szCs w:val="24"/>
        </w:rPr>
      </w:pPr>
      <w:r w:rsidRPr="00BA45F9">
        <w:rPr>
          <w:sz w:val="24"/>
          <w:szCs w:val="24"/>
        </w:rPr>
        <w:t>O período de 2012 a 2015 foi marcado pela redução de volume da maioria dos reservatórios investigados, sendo justificado pela diminuição do regime pluviométrico</w:t>
      </w:r>
      <w:r w:rsidR="00477998">
        <w:rPr>
          <w:sz w:val="24"/>
          <w:szCs w:val="24"/>
        </w:rPr>
        <w:t>,</w:t>
      </w:r>
      <w:r w:rsidRPr="00BA45F9">
        <w:rPr>
          <w:sz w:val="24"/>
          <w:szCs w:val="24"/>
        </w:rPr>
        <w:t xml:space="preserve"> além das elevadas taxas de calor dissipado. Corroborando com os estudos, de Bezerra e Bezerra (2016), que evidenciaram que cerca de 463 reservatórios do Nordeste Setentrional tiveram seu volume reduzido, dentre estes, pode-se destacar os de Araras, São Gonçalo e Engenheiro Ávidos. Dentre os parâmetros regionais avaliados, a precipitação segundo Dantas e Sales (2015) e Pereira et al. (2009), é uma grandeza diretamente proporcional ao volume do reservatório. Contradizendo, com os resultados encontrados nessa pesquisa, Pentecoste e Trairi apresentaram redução de seu volume em pleno período chuvoso (Janeiro/2005 a Maio/2005 e Julho/2013 a Junho/2005, respectivamente). Mas que deve ser levado em consideração a continuação deste estudo, para investigar o efeito da tomada da bacia hidrográfica à montante, que apresenta grande influência sobre a regulação no nível dos reservatórios, como já confirmado por Costa e Campos (2012).</w:t>
      </w:r>
    </w:p>
    <w:p w:rsidR="002C5003" w:rsidRPr="002C5003" w:rsidRDefault="002C5003" w:rsidP="002C5003">
      <w:pPr>
        <w:ind w:right="-1" w:firstLine="568"/>
        <w:jc w:val="center"/>
        <w:rPr>
          <w:sz w:val="24"/>
          <w:szCs w:val="24"/>
        </w:rPr>
      </w:pPr>
    </w:p>
    <w:p w:rsidR="002C5003" w:rsidRPr="002C5003" w:rsidRDefault="002C5003" w:rsidP="002C5003">
      <w:pPr>
        <w:pStyle w:val="Legenda"/>
        <w:keepNext/>
        <w:ind w:right="-1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2C5003">
        <w:rPr>
          <w:rFonts w:ascii="Times New Roman" w:hAnsi="Times New Roman"/>
          <w:b/>
          <w:i w:val="0"/>
          <w:color w:val="auto"/>
          <w:sz w:val="22"/>
          <w:szCs w:val="22"/>
        </w:rPr>
        <w:t>Tabela 2</w:t>
      </w:r>
      <w:r w:rsidR="00820B72">
        <w:rPr>
          <w:rFonts w:ascii="Times New Roman" w:hAnsi="Times New Roman"/>
          <w:b/>
          <w:i w:val="0"/>
          <w:color w:val="auto"/>
          <w:sz w:val="22"/>
          <w:szCs w:val="22"/>
        </w:rPr>
        <w:t>-</w:t>
      </w:r>
      <w:r w:rsidRPr="002C5003">
        <w:rPr>
          <w:rFonts w:ascii="Times New Roman" w:hAnsi="Times New Roman"/>
          <w:i w:val="0"/>
          <w:color w:val="auto"/>
          <w:sz w:val="22"/>
          <w:szCs w:val="22"/>
        </w:rPr>
        <w:t xml:space="preserve"> Coeficiente de correlação de Pearson entre os valores médios mensais do volume dos reservatórios e as médias mensais de precipitação e evaporação, entre os anos de 1998 e 2015. Os reservatórios foram numerados conforme a Figura 1.</w:t>
      </w:r>
    </w:p>
    <w:tbl>
      <w:tblPr>
        <w:tblW w:w="0" w:type="auto"/>
        <w:tblInd w:w="493" w:type="dxa"/>
        <w:tblLayout w:type="fixed"/>
        <w:tblLook w:val="0000"/>
      </w:tblPr>
      <w:tblGrid>
        <w:gridCol w:w="2268"/>
        <w:gridCol w:w="2433"/>
        <w:gridCol w:w="2836"/>
      </w:tblGrid>
      <w:tr w:rsidR="002C5003" w:rsidRPr="00E11227" w:rsidTr="00F5029E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snapToGrid w:val="0"/>
              <w:ind w:left="459" w:right="140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Reservatório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b/>
                <w:sz w:val="24"/>
                <w:szCs w:val="24"/>
              </w:rPr>
            </w:pPr>
            <w:r w:rsidRPr="0082430D">
              <w:rPr>
                <w:b/>
                <w:sz w:val="24"/>
                <w:szCs w:val="24"/>
              </w:rPr>
              <w:t>Parâmetros Regionais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snapToGrid w:val="0"/>
              <w:ind w:right="1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Evaporação do Piche (mm)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Precipitação Total (mm)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037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-0,24*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0,17*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0,06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Cs/>
                <w:sz w:val="24"/>
                <w:szCs w:val="24"/>
              </w:rPr>
            </w:pPr>
            <w:r w:rsidRPr="0082430D">
              <w:rPr>
                <w:bCs/>
                <w:sz w:val="24"/>
                <w:szCs w:val="24"/>
              </w:rPr>
              <w:t>-0,15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0,18*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0,08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-0,16*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-0,06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-0,18*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0,15*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-0,16*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0,20*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0,02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1321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0,06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-0,22*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0,00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0,01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0,07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0,13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-0,22*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0,19*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-0,11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0,09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Cs/>
                <w:sz w:val="24"/>
                <w:szCs w:val="24"/>
              </w:rPr>
            </w:pPr>
            <w:r w:rsidRPr="0082430D">
              <w:rPr>
                <w:bCs/>
                <w:sz w:val="24"/>
                <w:szCs w:val="24"/>
              </w:rPr>
              <w:t>-0,34*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0,17*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-0,16*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0,20*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autoSpaceDE w:val="0"/>
              <w:autoSpaceDN w:val="0"/>
              <w:adjustRightInd w:val="0"/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-0,50*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autoSpaceDE w:val="0"/>
              <w:autoSpaceDN w:val="0"/>
              <w:adjustRightInd w:val="0"/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0,29*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-0,56*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0,10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-0,50*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0,12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-0,33*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0,14*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-0,40*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0,12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-0,18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0,17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-0,33*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0,00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-0,56*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0,18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-0,15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0,20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b/>
                <w:bCs/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-0,31*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0,08</w:t>
            </w:r>
          </w:p>
        </w:tc>
      </w:tr>
      <w:tr w:rsidR="002C5003" w:rsidRPr="00E11227" w:rsidTr="00F5029E">
        <w:trPr>
          <w:trHeight w:hRule="exact" w:val="28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C5003" w:rsidRPr="0082430D" w:rsidRDefault="002C5003" w:rsidP="00CC4E4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82430D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0,03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C5003" w:rsidRPr="0082430D" w:rsidRDefault="002C5003" w:rsidP="00CC4E46">
            <w:pPr>
              <w:ind w:right="1193" w:hanging="895"/>
              <w:jc w:val="right"/>
              <w:rPr>
                <w:sz w:val="24"/>
                <w:szCs w:val="24"/>
              </w:rPr>
            </w:pPr>
            <w:r w:rsidRPr="0082430D">
              <w:rPr>
                <w:sz w:val="24"/>
                <w:szCs w:val="24"/>
              </w:rPr>
              <w:t>0,06</w:t>
            </w:r>
          </w:p>
        </w:tc>
      </w:tr>
    </w:tbl>
    <w:p w:rsidR="002C5003" w:rsidRPr="000E31AD" w:rsidRDefault="002C5003" w:rsidP="002C5003">
      <w:pPr>
        <w:ind w:left="-142" w:right="140"/>
        <w:jc w:val="both"/>
        <w:rPr>
          <w:rFonts w:ascii="Verdana" w:hAnsi="Verdana"/>
        </w:rPr>
      </w:pPr>
      <w:r w:rsidRPr="000E31AD">
        <w:rPr>
          <w:rFonts w:ascii="Verdana" w:hAnsi="Verdana"/>
          <w:b/>
          <w:bCs/>
        </w:rPr>
        <w:t>* Valores em negrito são significativos (p &lt; 0.05) com teste t de Student.</w:t>
      </w:r>
    </w:p>
    <w:p w:rsidR="002C5003" w:rsidRPr="00477998" w:rsidRDefault="002C5003" w:rsidP="00477998">
      <w:pPr>
        <w:tabs>
          <w:tab w:val="left" w:pos="1290"/>
        </w:tabs>
        <w:jc w:val="center"/>
        <w:rPr>
          <w:sz w:val="22"/>
          <w:szCs w:val="22"/>
        </w:rPr>
      </w:pPr>
      <w:r w:rsidRPr="00477998">
        <w:rPr>
          <w:sz w:val="22"/>
          <w:szCs w:val="22"/>
        </w:rPr>
        <w:t>Fonte:</w:t>
      </w:r>
      <w:r w:rsidR="00477998" w:rsidRPr="00477998">
        <w:rPr>
          <w:sz w:val="22"/>
          <w:szCs w:val="22"/>
        </w:rPr>
        <w:t xml:space="preserve"> Elaborado pelo autor</w:t>
      </w:r>
      <w:r w:rsidRPr="00477998">
        <w:rPr>
          <w:sz w:val="22"/>
          <w:szCs w:val="22"/>
        </w:rPr>
        <w:t>.</w:t>
      </w:r>
    </w:p>
    <w:p w:rsidR="00555769" w:rsidRDefault="00555769" w:rsidP="0012462E">
      <w:pPr>
        <w:rPr>
          <w:color w:val="FF0000"/>
          <w:sz w:val="22"/>
          <w:szCs w:val="22"/>
          <w:lang w:val="en-US"/>
        </w:rPr>
      </w:pPr>
    </w:p>
    <w:p w:rsidR="0012462E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12462E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:rsidR="002C5003" w:rsidRDefault="002C5003" w:rsidP="0012462E">
      <w:pPr>
        <w:tabs>
          <w:tab w:val="left" w:pos="1290"/>
        </w:tabs>
        <w:jc w:val="both"/>
        <w:rPr>
          <w:color w:val="FF0000"/>
          <w:sz w:val="24"/>
          <w:szCs w:val="28"/>
        </w:rPr>
      </w:pPr>
    </w:p>
    <w:p w:rsidR="002C5003" w:rsidRPr="00BA45F9" w:rsidRDefault="002C5003" w:rsidP="00477998">
      <w:pPr>
        <w:spacing w:line="360" w:lineRule="auto"/>
        <w:ind w:firstLine="709"/>
        <w:rPr>
          <w:b/>
          <w:sz w:val="24"/>
          <w:szCs w:val="24"/>
        </w:rPr>
      </w:pPr>
      <w:r w:rsidRPr="00BA45F9">
        <w:rPr>
          <w:sz w:val="24"/>
          <w:szCs w:val="24"/>
        </w:rPr>
        <w:t xml:space="preserve">A precipitação e a evaporação apresentaram grande representatividade para o volume de água acumulada nos reservatórios do Nordeste, onde a taxa de calor dissipado influenciou cerca de </w:t>
      </w:r>
      <w:r>
        <w:rPr>
          <w:sz w:val="24"/>
          <w:szCs w:val="24"/>
        </w:rPr>
        <w:t>58</w:t>
      </w:r>
      <w:r w:rsidRPr="00BA45F9">
        <w:rPr>
          <w:sz w:val="24"/>
          <w:szCs w:val="24"/>
        </w:rPr>
        <w:t>% dos reservatórios avaliados.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ANDRADE, C. M.; MARQUES, L. S. Semiárido brasileiro: alguns desafios. </w:t>
      </w:r>
      <w:r>
        <w:rPr>
          <w:b/>
          <w:bCs/>
          <w:sz w:val="23"/>
          <w:szCs w:val="23"/>
        </w:rPr>
        <w:t>DiversitasJournal</w:t>
      </w:r>
      <w:r>
        <w:rPr>
          <w:sz w:val="23"/>
          <w:szCs w:val="23"/>
        </w:rPr>
        <w:t>, v. 2, n.2, p. 279-288, 2017.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AZEVEDO, D. J. D.; AZEVEDO, E, L.; GOMES, W. I. A qualidade de água em reservatórios no semiárido durante seca prolongada: uma discussão para avaliação dos efeitos de mudanças climáticas. In: Congresso Baiano de Engenharia Sanitária Ambiental, 4., 2016, Bahia. </w:t>
      </w:r>
      <w:r>
        <w:rPr>
          <w:b/>
          <w:bCs/>
          <w:sz w:val="23"/>
          <w:szCs w:val="23"/>
        </w:rPr>
        <w:t>Anais</w:t>
      </w:r>
      <w:r>
        <w:rPr>
          <w:sz w:val="23"/>
          <w:szCs w:val="23"/>
        </w:rPr>
        <w:t>... Bahia, 2016. p. 1-7.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BEZERRA, M. B.; BEZERRA, A. P. P. S. A crise hídrica como reflexo da seca: o Nordeste Setentrional em alerta. </w:t>
      </w:r>
      <w:r>
        <w:rPr>
          <w:b/>
          <w:bCs/>
          <w:sz w:val="23"/>
          <w:szCs w:val="23"/>
        </w:rPr>
        <w:t>Revista do Regne</w:t>
      </w:r>
      <w:r>
        <w:rPr>
          <w:sz w:val="23"/>
          <w:szCs w:val="23"/>
        </w:rPr>
        <w:t>, v. 2, p. 623- 632, 2016.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COSTA, J. A.; SILVA, D. F. Distribuição espaço-temporal do Índice de anomalia de chuva para o Estado do Ceará. </w:t>
      </w:r>
      <w:r>
        <w:rPr>
          <w:b/>
          <w:bCs/>
          <w:sz w:val="23"/>
          <w:szCs w:val="23"/>
        </w:rPr>
        <w:t>Revista Brasileira de Geografia Física</w:t>
      </w:r>
      <w:r>
        <w:rPr>
          <w:sz w:val="23"/>
          <w:szCs w:val="23"/>
        </w:rPr>
        <w:t>, v.10, n. 04, p. 1002-1013, 2017.</w:t>
      </w:r>
    </w:p>
    <w:p w:rsidR="008D0137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COSTA, A. C. C.; CAMPOS, J. N. B. Participação dos usuários na alocação da água dos reservatórios no Ceará: os casos do Jaguaribe e Banabuiú em 2002. In: Simpósio Brasileiro de Recursos Hídricos, 12., 2012, Curitiba-PR. </w:t>
      </w:r>
      <w:r>
        <w:rPr>
          <w:b/>
          <w:bCs/>
          <w:sz w:val="23"/>
          <w:szCs w:val="23"/>
        </w:rPr>
        <w:t>Anais</w:t>
      </w:r>
      <w:r>
        <w:rPr>
          <w:sz w:val="23"/>
          <w:szCs w:val="23"/>
        </w:rPr>
        <w:t>... Curitiba, 2012, p. 1-17.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DANTAS, S. P.; SALES, M. C. L. A influência do açude Castanhão no clima local de Jaguaretama – Ceará - Brasil: Uma análise no campo térmico e higrométrico. </w:t>
      </w:r>
      <w:r>
        <w:rPr>
          <w:b/>
          <w:bCs/>
          <w:sz w:val="23"/>
          <w:szCs w:val="23"/>
        </w:rPr>
        <w:t>Revista Equador</w:t>
      </w:r>
      <w:r>
        <w:rPr>
          <w:sz w:val="23"/>
          <w:szCs w:val="23"/>
        </w:rPr>
        <w:t>, v. 4, n. 2, p. 2-17, 2015.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FERREIRA, L.G.C.; KEMENES, A. Influência das Anomalias da Temperatura da Superficie do Mar sobre Reservatórios do Nordeste. In: Congresso Brasileiro de Agrometereologia, 20., 2017, Juazeiro- BA. </w:t>
      </w:r>
      <w:r>
        <w:rPr>
          <w:b/>
          <w:bCs/>
          <w:sz w:val="23"/>
          <w:szCs w:val="23"/>
        </w:rPr>
        <w:t>Anais</w:t>
      </w:r>
      <w:r>
        <w:rPr>
          <w:sz w:val="23"/>
          <w:szCs w:val="23"/>
        </w:rPr>
        <w:t>... Juazeiro, 2017a, p. 412-416.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KEMENES, A.; PEREIRA, L. A.; SANTOS, C. A. C. A Influência de Eventos Climáticos Extremos na Atividade de Hidrelétricas Amazônicas. In: Simpósio de Mudanças Globais e Desertificação no Semiárido Brasileiro, 4., 2015, Petrolina- PE 2015. </w:t>
      </w:r>
      <w:r>
        <w:rPr>
          <w:b/>
          <w:bCs/>
          <w:sz w:val="23"/>
          <w:szCs w:val="23"/>
        </w:rPr>
        <w:t>Anais</w:t>
      </w:r>
      <w:r>
        <w:rPr>
          <w:sz w:val="23"/>
          <w:szCs w:val="23"/>
        </w:rPr>
        <w:t>... Petrolina, 2015, p. 1-9.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MARENGO, J. A.; CUNHA, A.P.; ALVES, L.M. A seca de 2012-15 no semiárido do Nordeste do Brasil no contexto histórico. </w:t>
      </w:r>
      <w:r>
        <w:rPr>
          <w:b/>
          <w:bCs/>
          <w:sz w:val="23"/>
          <w:szCs w:val="23"/>
        </w:rPr>
        <w:t>Revista Inpa</w:t>
      </w:r>
      <w:r>
        <w:rPr>
          <w:sz w:val="23"/>
          <w:szCs w:val="23"/>
        </w:rPr>
        <w:t>, p. 49-54, 2016.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MEDEIROS, R.M. et al. El Niño/La Niña e sua influência no número de dias com chuva em Bom Jesus – Piauí, Brasil. </w:t>
      </w:r>
      <w:r>
        <w:rPr>
          <w:b/>
          <w:bCs/>
          <w:sz w:val="23"/>
          <w:szCs w:val="23"/>
        </w:rPr>
        <w:t>Revista Verde de Agroecologia e Desenvolvimento Sustentável</w:t>
      </w:r>
      <w:r>
        <w:rPr>
          <w:sz w:val="23"/>
          <w:szCs w:val="23"/>
        </w:rPr>
        <w:t>, Pombal-PB, v. 11, n. 2, p. 16-23, 2016.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MENEZES, H. E. A. et al. A relação entre a Temperatura da Superfície dos Oceanos tropicais e a duração dos veranicos no estado da Paraíba. </w:t>
      </w:r>
      <w:r>
        <w:rPr>
          <w:b/>
          <w:bCs/>
          <w:sz w:val="23"/>
          <w:szCs w:val="23"/>
        </w:rPr>
        <w:t>Revista Brasileira de Meteorologia</w:t>
      </w:r>
      <w:r>
        <w:rPr>
          <w:sz w:val="23"/>
          <w:szCs w:val="23"/>
        </w:rPr>
        <w:t>, v. 23, n. 2, p. 152-161, 2008.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MOURA, M. S. B. et al. </w:t>
      </w:r>
      <w:r>
        <w:rPr>
          <w:b/>
          <w:bCs/>
          <w:sz w:val="23"/>
          <w:szCs w:val="23"/>
        </w:rPr>
        <w:t>Clima e Água no Semiárido</w:t>
      </w:r>
      <w:r>
        <w:rPr>
          <w:sz w:val="23"/>
          <w:szCs w:val="23"/>
        </w:rPr>
        <w:t>. 2.ed. Petrolina: Embrapa Semi-Árido, 2007. 59 p.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PEREIRA, S. B. et al. Evaporação líquida no lago de Sobradinho e impactos no escoamento devido à construção do reservatório. </w:t>
      </w:r>
      <w:r>
        <w:rPr>
          <w:b/>
          <w:bCs/>
          <w:sz w:val="23"/>
          <w:szCs w:val="23"/>
        </w:rPr>
        <w:t xml:space="preserve">Revista Brasileira de Engenharia Agrícola e Ambiental, </w:t>
      </w:r>
      <w:r>
        <w:rPr>
          <w:sz w:val="23"/>
          <w:szCs w:val="23"/>
        </w:rPr>
        <w:t>v.13, n.3, p. 346–352, 2009.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SILVA, A. R. S. et al. Variações no índice de anomalia de chuva no semiárido. </w:t>
      </w:r>
      <w:r>
        <w:rPr>
          <w:b/>
          <w:bCs/>
          <w:sz w:val="23"/>
          <w:szCs w:val="23"/>
        </w:rPr>
        <w:t>Journalof Environmental AnalysisandProgress</w:t>
      </w:r>
      <w:r>
        <w:rPr>
          <w:sz w:val="23"/>
          <w:szCs w:val="23"/>
        </w:rPr>
        <w:t>, v. 02, n. 04, p. 377-384, 2017.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SILVA, E. B. S. et al. Variação espacial da precipitação das cidades do centro do Sul do estado do Ceará, Brasil. </w:t>
      </w:r>
      <w:r>
        <w:rPr>
          <w:b/>
          <w:bCs/>
          <w:sz w:val="23"/>
          <w:szCs w:val="23"/>
        </w:rPr>
        <w:t>Perspectivas online</w:t>
      </w:r>
      <w:r>
        <w:rPr>
          <w:sz w:val="23"/>
          <w:szCs w:val="23"/>
        </w:rPr>
        <w:t>, Campos dos Goytacazes-RJ, v. 16, n. 6, p. 27-33, 2016.</w:t>
      </w:r>
    </w:p>
    <w:p w:rsidR="008D0137" w:rsidRDefault="008D0137" w:rsidP="008D013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SCHMIDT, D. M. </w:t>
      </w:r>
      <w:r>
        <w:rPr>
          <w:b/>
          <w:bCs/>
          <w:sz w:val="23"/>
          <w:szCs w:val="23"/>
        </w:rPr>
        <w:t>Dinâmica das configurações de formação e inibição das chuvas no Rio Grande do Norte</w:t>
      </w:r>
      <w:r>
        <w:rPr>
          <w:sz w:val="23"/>
          <w:szCs w:val="23"/>
        </w:rPr>
        <w:t>: caracterização hidroclimática do estado. 2014. 136 f. Dissertacão (Doutorado em Ciências Climáticas)- Universidade Federal do Rio Grande do Norte, Rio Grande do Norte, 2014.</w:t>
      </w:r>
    </w:p>
    <w:p w:rsidR="008D0137" w:rsidRPr="00BC0FF8" w:rsidRDefault="008D0137" w:rsidP="008D0137">
      <w:pPr>
        <w:jc w:val="both"/>
        <w:rPr>
          <w:b/>
          <w:sz w:val="36"/>
        </w:rPr>
      </w:pPr>
      <w:r>
        <w:rPr>
          <w:sz w:val="23"/>
          <w:szCs w:val="23"/>
        </w:rPr>
        <w:t xml:space="preserve">SNEATH, P. H. A.; SOKAL, R. R. </w:t>
      </w:r>
      <w:r>
        <w:rPr>
          <w:b/>
          <w:bCs/>
          <w:sz w:val="23"/>
          <w:szCs w:val="23"/>
        </w:rPr>
        <w:t>Numericaltaxonomy</w:t>
      </w:r>
      <w:r>
        <w:rPr>
          <w:sz w:val="23"/>
          <w:szCs w:val="23"/>
        </w:rPr>
        <w:t>, San Francisco, p. 573-1973, 1973.</w:t>
      </w:r>
    </w:p>
    <w:p w:rsidR="008D0137" w:rsidRPr="005362D6" w:rsidRDefault="008D0137" w:rsidP="008D0137">
      <w:pPr>
        <w:jc w:val="both"/>
        <w:rPr>
          <w:b/>
          <w:sz w:val="24"/>
          <w:szCs w:val="24"/>
        </w:rPr>
      </w:pPr>
    </w:p>
    <w:p w:rsidR="0012462E" w:rsidRPr="004306A6" w:rsidRDefault="0012462E" w:rsidP="0012462E"/>
    <w:p w:rsidR="009B0125" w:rsidRPr="0012462E" w:rsidRDefault="009B0125" w:rsidP="0012462E"/>
    <w:sectPr w:rsidR="009B0125" w:rsidRPr="0012462E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A4" w:rsidRDefault="008B44A4" w:rsidP="00392012">
      <w:r>
        <w:separator/>
      </w:r>
    </w:p>
  </w:endnote>
  <w:endnote w:type="continuationSeparator" w:id="1">
    <w:p w:rsidR="008B44A4" w:rsidRDefault="008B44A4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A4" w:rsidRDefault="008B44A4" w:rsidP="00392012">
      <w:r>
        <w:separator/>
      </w:r>
    </w:p>
  </w:footnote>
  <w:footnote w:type="continuationSeparator" w:id="1">
    <w:p w:rsidR="008B44A4" w:rsidRDefault="008B44A4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BE38E5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234.1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<v:textbox>
            <w:txbxContent>
              <w:p w:rsidR="00C100B9" w:rsidRPr="001001BB" w:rsidRDefault="00C100B9" w:rsidP="00C100B9">
                <w:pPr>
                  <w:pStyle w:val="Rodap"/>
                  <w:spacing w:line="276" w:lineRule="auto"/>
                  <w:jc w:val="right"/>
                </w:pPr>
                <w:r>
                  <w:t>Belém (PA), 2</w:t>
                </w:r>
                <w:r w:rsidR="00D0394C">
                  <w:t xml:space="preserve">8 a 30 </w:t>
                </w:r>
                <w:r w:rsidRPr="001001BB">
                  <w:t xml:space="preserve">de novembro </w:t>
                </w:r>
                <w:r w:rsidR="00D0394C">
                  <w:t xml:space="preserve">de </w:t>
                </w:r>
                <w:r w:rsidRPr="001001BB">
                  <w:t>201</w:t>
                </w:r>
                <w:r w:rsidR="00D0394C">
                  <w:t>8</w:t>
                </w:r>
              </w:p>
              <w:p w:rsidR="00C100B9" w:rsidRPr="001001BB" w:rsidRDefault="00C100B9" w:rsidP="00C100B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95437F" w:rsidRPr="00206969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4097" type="#_x0000_t202" style="position:absolute;margin-left:-25.95pt;margin-top:-20.35pt;width:187.75pt;height:51.7pt;z-index:-25165619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<v:textbox style="mso-fit-shape-to-text:t">
            <w:txbxContent>
              <w:p w:rsidR="00094A6D" w:rsidRDefault="00E0707A">
                <w:r w:rsidRPr="004C583D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11A6F"/>
    <w:multiLevelType w:val="hybridMultilevel"/>
    <w:tmpl w:val="8E4C8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>
      <o:colormru v:ext="edit" colors="#f1ff9f,white,#ffc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04FA"/>
    <w:rsid w:val="0001355C"/>
    <w:rsid w:val="00027D99"/>
    <w:rsid w:val="00046262"/>
    <w:rsid w:val="00076CED"/>
    <w:rsid w:val="00094A6D"/>
    <w:rsid w:val="000A7A20"/>
    <w:rsid w:val="000B0814"/>
    <w:rsid w:val="000B3C0B"/>
    <w:rsid w:val="000F7B8F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23EB"/>
    <w:rsid w:val="00253593"/>
    <w:rsid w:val="00253D7B"/>
    <w:rsid w:val="00261E93"/>
    <w:rsid w:val="00270F09"/>
    <w:rsid w:val="00273A6E"/>
    <w:rsid w:val="002A456B"/>
    <w:rsid w:val="002B4C8E"/>
    <w:rsid w:val="002C04FA"/>
    <w:rsid w:val="002C3F9C"/>
    <w:rsid w:val="002C5003"/>
    <w:rsid w:val="002F114A"/>
    <w:rsid w:val="002F2604"/>
    <w:rsid w:val="002F37D6"/>
    <w:rsid w:val="00314A42"/>
    <w:rsid w:val="00330AA8"/>
    <w:rsid w:val="00334ABB"/>
    <w:rsid w:val="00353EEF"/>
    <w:rsid w:val="00372163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77998"/>
    <w:rsid w:val="00497F38"/>
    <w:rsid w:val="004B03F7"/>
    <w:rsid w:val="004C52D5"/>
    <w:rsid w:val="004C746A"/>
    <w:rsid w:val="004F1E0F"/>
    <w:rsid w:val="004F3394"/>
    <w:rsid w:val="004F6258"/>
    <w:rsid w:val="00511E8F"/>
    <w:rsid w:val="005159DA"/>
    <w:rsid w:val="005225D5"/>
    <w:rsid w:val="005355D5"/>
    <w:rsid w:val="00555769"/>
    <w:rsid w:val="00573FE7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D43B5"/>
    <w:rsid w:val="00707D9F"/>
    <w:rsid w:val="00715A5D"/>
    <w:rsid w:val="007218EB"/>
    <w:rsid w:val="007422FB"/>
    <w:rsid w:val="007452FD"/>
    <w:rsid w:val="00760822"/>
    <w:rsid w:val="0076407B"/>
    <w:rsid w:val="007B1EDB"/>
    <w:rsid w:val="007D15C8"/>
    <w:rsid w:val="007D58F5"/>
    <w:rsid w:val="007E40D8"/>
    <w:rsid w:val="00802659"/>
    <w:rsid w:val="008030DD"/>
    <w:rsid w:val="00811FDD"/>
    <w:rsid w:val="00814223"/>
    <w:rsid w:val="00820B72"/>
    <w:rsid w:val="0083077E"/>
    <w:rsid w:val="00834BE9"/>
    <w:rsid w:val="00852788"/>
    <w:rsid w:val="00856747"/>
    <w:rsid w:val="00863A0D"/>
    <w:rsid w:val="008644EF"/>
    <w:rsid w:val="008922FD"/>
    <w:rsid w:val="008B44A4"/>
    <w:rsid w:val="008D0137"/>
    <w:rsid w:val="008F146A"/>
    <w:rsid w:val="008F240F"/>
    <w:rsid w:val="009331C3"/>
    <w:rsid w:val="0095437F"/>
    <w:rsid w:val="00954508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4613E"/>
    <w:rsid w:val="00A522B1"/>
    <w:rsid w:val="00A57710"/>
    <w:rsid w:val="00A77CA4"/>
    <w:rsid w:val="00A92240"/>
    <w:rsid w:val="00A9494E"/>
    <w:rsid w:val="00B00038"/>
    <w:rsid w:val="00B03F68"/>
    <w:rsid w:val="00B259FE"/>
    <w:rsid w:val="00B40020"/>
    <w:rsid w:val="00B55AB2"/>
    <w:rsid w:val="00B57829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E38E5"/>
    <w:rsid w:val="00BF08DF"/>
    <w:rsid w:val="00BF5246"/>
    <w:rsid w:val="00BF7AD6"/>
    <w:rsid w:val="00C100B9"/>
    <w:rsid w:val="00C15CD1"/>
    <w:rsid w:val="00C41918"/>
    <w:rsid w:val="00C46A3C"/>
    <w:rsid w:val="00C57770"/>
    <w:rsid w:val="00C70228"/>
    <w:rsid w:val="00C71504"/>
    <w:rsid w:val="00C71785"/>
    <w:rsid w:val="00CA71A9"/>
    <w:rsid w:val="00CB7D10"/>
    <w:rsid w:val="00CC5C92"/>
    <w:rsid w:val="00CC79D3"/>
    <w:rsid w:val="00CD3E3D"/>
    <w:rsid w:val="00CD5A95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A38D5"/>
    <w:rsid w:val="00DB67E5"/>
    <w:rsid w:val="00DC31F5"/>
    <w:rsid w:val="00DF1608"/>
    <w:rsid w:val="00E05E73"/>
    <w:rsid w:val="00E0707A"/>
    <w:rsid w:val="00E34F91"/>
    <w:rsid w:val="00E753BE"/>
    <w:rsid w:val="00E76DCA"/>
    <w:rsid w:val="00E85C97"/>
    <w:rsid w:val="00EA6802"/>
    <w:rsid w:val="00EE4602"/>
    <w:rsid w:val="00EF1C09"/>
    <w:rsid w:val="00EF2714"/>
    <w:rsid w:val="00EF273F"/>
    <w:rsid w:val="00EF4532"/>
    <w:rsid w:val="00F06F8F"/>
    <w:rsid w:val="00F253D0"/>
    <w:rsid w:val="00F43D66"/>
    <w:rsid w:val="00F47276"/>
    <w:rsid w:val="00F5029E"/>
    <w:rsid w:val="00F50F77"/>
    <w:rsid w:val="00F5269B"/>
    <w:rsid w:val="00F528A5"/>
    <w:rsid w:val="00F56AAF"/>
    <w:rsid w:val="00F67AA9"/>
    <w:rsid w:val="00F72608"/>
    <w:rsid w:val="00F76C81"/>
    <w:rsid w:val="00FB6399"/>
    <w:rsid w:val="00FE12AD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paragraph" w:customStyle="1" w:styleId="Legenda1">
    <w:name w:val="Legenda1"/>
    <w:basedOn w:val="Normal"/>
    <w:next w:val="Normal"/>
    <w:rsid w:val="00F56AAF"/>
    <w:pPr>
      <w:suppressAutoHyphens/>
      <w:spacing w:after="200"/>
    </w:pPr>
    <w:rPr>
      <w:rFonts w:ascii="Calibri" w:eastAsia="Calibri" w:hAnsi="Calibri"/>
      <w:b/>
      <w:bCs/>
      <w:color w:val="5B9BD5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1E3D-E779-4FC7-BE9D-C7D465F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2045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atendimento01</cp:lastModifiedBy>
  <cp:revision>6</cp:revision>
  <cp:lastPrinted>2015-06-04T18:07:00Z</cp:lastPrinted>
  <dcterms:created xsi:type="dcterms:W3CDTF">2018-10-17T20:14:00Z</dcterms:created>
  <dcterms:modified xsi:type="dcterms:W3CDTF">2018-10-22T18:22:00Z</dcterms:modified>
</cp:coreProperties>
</file>