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117" w:rsidRPr="000C09EA" w:rsidRDefault="00252117" w:rsidP="000C09EA">
      <w:pPr>
        <w:pStyle w:val="ABNTTtulos"/>
        <w:jc w:val="center"/>
        <w:rPr>
          <w:rFonts w:cs="Times New Roman"/>
        </w:rPr>
      </w:pPr>
      <w:r w:rsidRPr="000C09EA">
        <w:rPr>
          <w:rFonts w:cs="Times New Roman"/>
        </w:rPr>
        <w:t xml:space="preserve">APLICAÇÃO DO </w:t>
      </w:r>
      <w:r w:rsidRPr="000C09EA">
        <w:rPr>
          <w:rFonts w:cs="Times New Roman"/>
          <w:i/>
        </w:rPr>
        <w:t>KANBAN</w:t>
      </w:r>
      <w:r w:rsidRPr="000C09EA">
        <w:rPr>
          <w:rFonts w:cs="Times New Roman"/>
        </w:rPr>
        <w:t xml:space="preserve"> NA UNITARIZAÇÃO DE MEDICAMENTOS DA CENTRAL DE ABASTECIMENTO FARMACÊUTICO DE UM HOSPITAL DE GRANDE PORTE</w:t>
      </w:r>
    </w:p>
    <w:p w:rsidR="00252117" w:rsidRDefault="00E16FCB" w:rsidP="00E16FCB">
      <w:pPr>
        <w:jc w:val="right"/>
      </w:pPr>
      <w:r>
        <w:t>Pedro Douglas Matos Vasconcelos, (UFC</w:t>
      </w:r>
      <w:proofErr w:type="gramStart"/>
      <w:r>
        <w:t>)</w:t>
      </w:r>
      <w:proofErr w:type="gramEnd"/>
    </w:p>
    <w:p w:rsidR="00E16FCB" w:rsidRDefault="00E16FCB" w:rsidP="00E16FCB">
      <w:pPr>
        <w:jc w:val="right"/>
      </w:pPr>
      <w:r>
        <w:t>pedromatosv@outlook.com</w:t>
      </w:r>
    </w:p>
    <w:p w:rsidR="00E16FCB" w:rsidRDefault="00E16FCB" w:rsidP="00E16FCB">
      <w:pPr>
        <w:jc w:val="right"/>
      </w:pPr>
      <w:r>
        <w:t>Sérgio José Barbosa Elias, (UFC</w:t>
      </w:r>
      <w:proofErr w:type="gramStart"/>
      <w:r>
        <w:t>)</w:t>
      </w:r>
      <w:proofErr w:type="gramEnd"/>
    </w:p>
    <w:p w:rsidR="00E16FCB" w:rsidRDefault="00E16FCB" w:rsidP="00E16FCB">
      <w:pPr>
        <w:jc w:val="right"/>
      </w:pPr>
      <w:r>
        <w:t>serglias@secrel.com.br</w:t>
      </w:r>
    </w:p>
    <w:p w:rsidR="00E16FCB" w:rsidRPr="000C09EA" w:rsidRDefault="00E16FCB" w:rsidP="00E16FCB">
      <w:pPr>
        <w:jc w:val="right"/>
      </w:pP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b/>
          <w:sz w:val="24"/>
          <w:szCs w:val="24"/>
        </w:rPr>
        <w:t>Resumo:</w:t>
      </w:r>
      <w:r w:rsidRPr="000C09EA">
        <w:rPr>
          <w:rFonts w:cs="Times New Roman"/>
          <w:sz w:val="24"/>
          <w:szCs w:val="24"/>
        </w:rPr>
        <w:t xml:space="preserve"> No setor da saúde, o abastecimento interno de medicamentos e materiais médico-hospitalares representa um processo primordial para a boa execução do atendimento assistencial dos pacientes que passam pelos hospitais e clínicas. Dentre os processos inerentes ao abastecimento, encontra-se a unitarização de medicamentos, um processo produtivo que garante a separação desses itens em doses unitárias, devidamente identificadas, para que cheguem de forma segura ao paciente. Diante deste cenário, questiona-se: como melhorar o serviço de unitarização e abastecimento interno de medicamentos em ambiente hospitalar? Este trabalho utilizou a ferramenta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como forma de transformar o processo de unitarização de medicamentos através da eliminação de desperdícios e agregação de valor ao cliente, aplicando de forma prática em um hospital de grande porte do estado do Ceará. Ao final do trabalho, verificou-se o atingimento dos objetivos estabelecidos e os ganhos significativos para a organização, como o aumento do giro do estoque de medicamentos unitarizados, mitigação do risco de vencimentos e avarias, ganho de espaço físico e garantia da disponibilidade de medicamentos unitarizados para distribuição.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b/>
          <w:sz w:val="24"/>
          <w:szCs w:val="24"/>
        </w:rPr>
        <w:t xml:space="preserve">Palavras-chave: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, </w:t>
      </w:r>
      <w:r w:rsidRPr="000C09EA">
        <w:rPr>
          <w:rFonts w:cs="Times New Roman"/>
          <w:i/>
          <w:sz w:val="24"/>
          <w:szCs w:val="24"/>
        </w:rPr>
        <w:t>lean healthcare,</w:t>
      </w:r>
      <w:r w:rsidRPr="000C09EA">
        <w:rPr>
          <w:rFonts w:cs="Times New Roman"/>
          <w:sz w:val="24"/>
          <w:szCs w:val="24"/>
        </w:rPr>
        <w:t xml:space="preserve"> logística hospitalar.</w:t>
      </w:r>
    </w:p>
    <w:p w:rsidR="00252117" w:rsidRPr="000C09EA" w:rsidRDefault="00252117" w:rsidP="000C09EA">
      <w:pPr>
        <w:rPr>
          <w:rFonts w:cs="Times New Roman"/>
          <w:szCs w:val="24"/>
        </w:rPr>
      </w:pPr>
    </w:p>
    <w:p w:rsidR="00252117" w:rsidRPr="000C09EA" w:rsidRDefault="00252117" w:rsidP="000C09EA">
      <w:pPr>
        <w:pStyle w:val="ABNTTtulos"/>
        <w:numPr>
          <w:ilvl w:val="0"/>
          <w:numId w:val="5"/>
        </w:numPr>
        <w:ind w:left="0" w:firstLine="0"/>
        <w:rPr>
          <w:rFonts w:cs="Times New Roman"/>
          <w:szCs w:val="24"/>
        </w:rPr>
      </w:pPr>
      <w:r w:rsidRPr="000C09EA">
        <w:rPr>
          <w:rFonts w:cs="Times New Roman"/>
          <w:szCs w:val="24"/>
        </w:rPr>
        <w:t>Introdução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A atual dinâmica competitiva do mercado de saúde suplementar exige das operadoras de saúde e de instituições hospitalares a melhoria constante dos seus processos assistenciais, ou seja, àqueles que estão diretamente ligados ao serviço prestado ao paciente. 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lastRenderedPageBreak/>
        <w:t>Estes processos demandam melhorias frequentes devido à criticidade destes para o bem estar do paciente: falhas podem acarretar no surgimento de males secundários, bem como possíveis sequelas e óbitos.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Dentre estes processos encontram-se todos aqueles ligados à cadeia de suprimentos de medicamentos e materiais médico-hospitalares, desde a compra até o consumo do item pelos clientes das instituições hospitalares. Nesse ínterim, estão localizados processos de estocagem e unitarização de medicamentos, que são essenciais para a eficiente administração de medicamentos ou dispensação de materiais aos pacientes.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Segundo dados da Associação Nacional de Hospitais Privados (</w:t>
      </w:r>
      <w:proofErr w:type="spellStart"/>
      <w:r w:rsidRPr="000C09EA">
        <w:rPr>
          <w:rFonts w:cs="Times New Roman"/>
          <w:sz w:val="24"/>
          <w:szCs w:val="24"/>
        </w:rPr>
        <w:t>Anahp</w:t>
      </w:r>
      <w:proofErr w:type="spellEnd"/>
      <w:r w:rsidRPr="000C09EA">
        <w:rPr>
          <w:rFonts w:cs="Times New Roman"/>
          <w:sz w:val="24"/>
          <w:szCs w:val="24"/>
        </w:rPr>
        <w:t>), em 2014 os insumos hospitalares representaram 27,4% das despesas totais dos hospitais em estudo, dos quais 10,3% correspondem a despesas com medicamentos. Este percentual figura em segundo lugar em participação nas despesas das instituições, apenas abaixo dos custos diretos com pessoal, 41,5%. (ANAHP, 2016). O estudo mostra, ainda, que estas despesas diminuíram de 2014 para 2015, devido a atuação forte dos setores de suprimentos dos hospitais na redução de gastos médios com insumos hospitalares.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Em meio a este contexto, nasce o questionamento: como melhorar o serviço de unitarização e abastecimento interno de medicamentos em ambiente hospitalar? Essa questão é a motivação para o desenvolvimento deste trabalho: a necessidade de transformar esses processos visando à eliminação de desperdícios e criação de valor para o cliente.</w:t>
      </w:r>
    </w:p>
    <w:p w:rsidR="00252117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A partir deste contexto, </w:t>
      </w:r>
      <w:r w:rsidR="0071721F">
        <w:rPr>
          <w:rFonts w:cs="Times New Roman"/>
          <w:sz w:val="24"/>
          <w:szCs w:val="24"/>
        </w:rPr>
        <w:t xml:space="preserve">o </w:t>
      </w:r>
      <w:r w:rsidRPr="000C09EA">
        <w:rPr>
          <w:rFonts w:cs="Times New Roman"/>
          <w:sz w:val="24"/>
          <w:szCs w:val="24"/>
        </w:rPr>
        <w:t xml:space="preserve">objetivo geral deste trabalho consiste em desenvolver, por meio de ferramentas que visem </w:t>
      </w:r>
      <w:r w:rsidR="0071721F">
        <w:rPr>
          <w:rFonts w:cs="Times New Roman"/>
          <w:sz w:val="24"/>
          <w:szCs w:val="24"/>
        </w:rPr>
        <w:t>à</w:t>
      </w:r>
      <w:r w:rsidRPr="000C09EA">
        <w:rPr>
          <w:rFonts w:cs="Times New Roman"/>
          <w:sz w:val="24"/>
          <w:szCs w:val="24"/>
        </w:rPr>
        <w:t xml:space="preserve"> eliminação de desperdícios e </w:t>
      </w:r>
      <w:proofErr w:type="gramStart"/>
      <w:r w:rsidRPr="000C09EA">
        <w:rPr>
          <w:rFonts w:cs="Times New Roman"/>
          <w:sz w:val="24"/>
          <w:szCs w:val="24"/>
        </w:rPr>
        <w:t>promovam</w:t>
      </w:r>
      <w:proofErr w:type="gramEnd"/>
      <w:r w:rsidRPr="000C09EA">
        <w:rPr>
          <w:rFonts w:cs="Times New Roman"/>
          <w:sz w:val="24"/>
          <w:szCs w:val="24"/>
        </w:rPr>
        <w:t xml:space="preserve"> agregação de valor ao cliente, a transformação do processo de unitarização de medicamentos de um hospital de grande porte do estado do Ceará.</w:t>
      </w:r>
    </w:p>
    <w:p w:rsidR="0024081C" w:rsidRPr="000C09EA" w:rsidRDefault="0024081C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</w:p>
    <w:p w:rsidR="00252117" w:rsidRPr="000C09EA" w:rsidRDefault="00252117" w:rsidP="000C09EA">
      <w:pPr>
        <w:pStyle w:val="ABNTTtulos"/>
        <w:numPr>
          <w:ilvl w:val="0"/>
          <w:numId w:val="5"/>
        </w:numPr>
        <w:ind w:left="0" w:firstLine="0"/>
        <w:rPr>
          <w:rFonts w:cs="Times New Roman"/>
          <w:szCs w:val="24"/>
        </w:rPr>
      </w:pPr>
      <w:r w:rsidRPr="000C09EA">
        <w:rPr>
          <w:rFonts w:cs="Times New Roman"/>
          <w:szCs w:val="24"/>
        </w:rPr>
        <w:t>Revisão teórica</w:t>
      </w:r>
    </w:p>
    <w:p w:rsidR="00252117" w:rsidRPr="0024081C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i w:val="0"/>
          <w:sz w:val="24"/>
          <w:szCs w:val="24"/>
        </w:rPr>
      </w:pPr>
      <w:bookmarkStart w:id="0" w:name="_Toc462773333"/>
      <w:bookmarkStart w:id="1" w:name="_Toc466226992"/>
      <w:bookmarkStart w:id="2" w:name="_Toc466564420"/>
      <w:r w:rsidRPr="0024081C">
        <w:rPr>
          <w:rFonts w:ascii="Times New Roman" w:hAnsi="Times New Roman"/>
          <w:i w:val="0"/>
          <w:sz w:val="24"/>
          <w:szCs w:val="24"/>
        </w:rPr>
        <w:t>Logística</w:t>
      </w:r>
      <w:bookmarkEnd w:id="0"/>
      <w:r w:rsidRPr="0024081C">
        <w:rPr>
          <w:rFonts w:ascii="Times New Roman" w:hAnsi="Times New Roman"/>
          <w:i w:val="0"/>
          <w:sz w:val="24"/>
          <w:szCs w:val="24"/>
        </w:rPr>
        <w:t xml:space="preserve"> hospitalar</w:t>
      </w:r>
      <w:bookmarkEnd w:id="1"/>
      <w:bookmarkEnd w:id="2"/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Para </w:t>
      </w:r>
      <w:proofErr w:type="spellStart"/>
      <w:r w:rsidRPr="000C09EA">
        <w:rPr>
          <w:rFonts w:cs="Times New Roman"/>
          <w:sz w:val="24"/>
          <w:szCs w:val="24"/>
        </w:rPr>
        <w:t>Bowersox</w:t>
      </w:r>
      <w:proofErr w:type="spellEnd"/>
      <w:r w:rsidRPr="000C09EA">
        <w:rPr>
          <w:rFonts w:cs="Times New Roman"/>
          <w:sz w:val="24"/>
          <w:szCs w:val="24"/>
        </w:rPr>
        <w:t xml:space="preserve"> e </w:t>
      </w:r>
      <w:proofErr w:type="spellStart"/>
      <w:r w:rsidRPr="000C09EA">
        <w:rPr>
          <w:rFonts w:cs="Times New Roman"/>
          <w:sz w:val="24"/>
          <w:szCs w:val="24"/>
        </w:rPr>
        <w:t>Closs</w:t>
      </w:r>
      <w:proofErr w:type="spellEnd"/>
      <w:r w:rsidRPr="000C09EA">
        <w:rPr>
          <w:rFonts w:cs="Times New Roman"/>
          <w:sz w:val="24"/>
          <w:szCs w:val="24"/>
        </w:rPr>
        <w:t xml:space="preserve"> (2001), o objetivo da logística é fazer com que produtos e serviços estejam disponíveis no local onde são necessários, no momento em que são desejados, </w:t>
      </w:r>
      <w:r w:rsidRPr="000C09EA">
        <w:rPr>
          <w:rFonts w:cs="Times New Roman"/>
          <w:sz w:val="24"/>
          <w:szCs w:val="24"/>
        </w:rPr>
        <w:lastRenderedPageBreak/>
        <w:t>provendo informações, transporte, estoque, armazenamento, manuseio de materiais e embalagem.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Trazendo a aplicação do conceito de logística para o ambiente hospitalar, Medeiros (2009) ressalta que a logística hospitalar, utilizada como ferramenta de gestão, pode assegurar que todos os recursos necessários para o tratamento dos pacientes estejam disponíveis no lugar certo e na hora certa.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Em face desta realidade, a gestão de logística hospitalar ganha evidência, se mostrando ferramenta essencial para que o produto ou serviço seja entregue corretamente, no momento certo, preservando a segurança e bem-estar dos pacientes e profissionais de saúde.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A logística se desdobra em diversos serviços dentro de um ambiente hospitalar. “A central de abastecimento farmacêutico – CAF é a unidade de assistência farmacêutica que serve para a guarda de medicamentos e correlatos, onde são realizadas atividades quanto à sua correta recepção, estocagem e distribuição” (GOMES; REIS, 2003, p. 365).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</w:p>
    <w:p w:rsidR="00252117" w:rsidRPr="000C09EA" w:rsidRDefault="00252117" w:rsidP="000C09EA">
      <w:pPr>
        <w:pStyle w:val="Ttulo2"/>
        <w:spacing w:before="0" w:after="120"/>
        <w:rPr>
          <w:rFonts w:ascii="Times New Roman" w:hAnsi="Times New Roman"/>
          <w:i w:val="0"/>
          <w:sz w:val="24"/>
          <w:szCs w:val="24"/>
          <w:shd w:val="clear" w:color="auto" w:fill="FFFFFF"/>
        </w:rPr>
      </w:pPr>
      <w:r w:rsidRPr="000C09EA">
        <w:rPr>
          <w:rFonts w:ascii="Times New Roman" w:hAnsi="Times New Roman"/>
          <w:i w:val="0"/>
          <w:sz w:val="24"/>
          <w:szCs w:val="24"/>
          <w:shd w:val="clear" w:color="auto" w:fill="FFFFFF"/>
        </w:rPr>
        <w:t>2.1.</w:t>
      </w:r>
      <w:r w:rsidR="00BE6703">
        <w:rPr>
          <w:rFonts w:ascii="Times New Roman" w:hAnsi="Times New Roman"/>
          <w:i w:val="0"/>
          <w:sz w:val="24"/>
          <w:szCs w:val="24"/>
          <w:shd w:val="clear" w:color="auto" w:fill="FFFFFF"/>
        </w:rPr>
        <w:t>1</w:t>
      </w:r>
      <w:r w:rsidRPr="000C09EA">
        <w:rPr>
          <w:rFonts w:ascii="Times New Roman" w:hAnsi="Times New Roman"/>
          <w:i w:val="0"/>
          <w:sz w:val="24"/>
          <w:szCs w:val="24"/>
          <w:shd w:val="clear" w:color="auto" w:fill="FFFFFF"/>
        </w:rPr>
        <w:t xml:space="preserve">    Gestão de estoques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“Estoques são acumulações de matérias-primas, suprimentos, componentes, materiais em processo e produtos acabados que surgem em numerosos pontos do canal de produção e logística das empresas” (BALLOU, 2006, p. 271).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Segundo </w:t>
      </w:r>
      <w:proofErr w:type="spellStart"/>
      <w:r w:rsidRPr="000C09EA">
        <w:rPr>
          <w:rFonts w:cs="Times New Roman"/>
          <w:sz w:val="24"/>
          <w:szCs w:val="24"/>
        </w:rPr>
        <w:t>Bowersox</w:t>
      </w:r>
      <w:proofErr w:type="spellEnd"/>
      <w:r w:rsidRPr="000C09EA">
        <w:rPr>
          <w:rFonts w:cs="Times New Roman"/>
          <w:sz w:val="24"/>
          <w:szCs w:val="24"/>
        </w:rPr>
        <w:t xml:space="preserve"> e </w:t>
      </w:r>
      <w:proofErr w:type="spellStart"/>
      <w:r w:rsidRPr="000C09EA">
        <w:rPr>
          <w:rFonts w:cs="Times New Roman"/>
          <w:sz w:val="24"/>
          <w:szCs w:val="24"/>
        </w:rPr>
        <w:t>Closs</w:t>
      </w:r>
      <w:proofErr w:type="spellEnd"/>
      <w:r w:rsidRPr="000C09EA">
        <w:rPr>
          <w:rFonts w:cs="Times New Roman"/>
          <w:sz w:val="24"/>
          <w:szCs w:val="24"/>
        </w:rPr>
        <w:t xml:space="preserve"> (2001), </w:t>
      </w:r>
      <w:r w:rsidR="0071721F">
        <w:rPr>
          <w:rFonts w:cs="Times New Roman"/>
          <w:sz w:val="24"/>
          <w:szCs w:val="24"/>
        </w:rPr>
        <w:t>em um modelo usual de gestão de estoques</w:t>
      </w:r>
      <w:r w:rsidRPr="000C09EA">
        <w:rPr>
          <w:rFonts w:cs="Times New Roman"/>
          <w:sz w:val="24"/>
          <w:szCs w:val="24"/>
        </w:rPr>
        <w:t xml:space="preserve">, os pedidos de </w:t>
      </w:r>
      <w:proofErr w:type="spellStart"/>
      <w:r w:rsidRPr="000C09EA">
        <w:rPr>
          <w:rFonts w:cs="Times New Roman"/>
          <w:sz w:val="24"/>
          <w:szCs w:val="24"/>
        </w:rPr>
        <w:t>ressuprimento</w:t>
      </w:r>
      <w:proofErr w:type="spellEnd"/>
      <w:r w:rsidRPr="000C09EA">
        <w:rPr>
          <w:rFonts w:cs="Times New Roman"/>
          <w:sz w:val="24"/>
          <w:szCs w:val="24"/>
        </w:rPr>
        <w:t xml:space="preserve"> são emitidos quando o estoque disponível cai abaixo de um nível mínimo pré-determinado. A reposição é então realizada, baseada em um cálculo de lote.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A figura 1 mostra o funcionamento do método </w:t>
      </w:r>
      <w:r w:rsidR="00177416">
        <w:rPr>
          <w:rFonts w:cs="Times New Roman"/>
          <w:sz w:val="24"/>
          <w:szCs w:val="24"/>
        </w:rPr>
        <w:t>de gestão de estoques</w:t>
      </w:r>
      <w:r w:rsidRPr="000C09EA">
        <w:rPr>
          <w:rFonts w:cs="Times New Roman"/>
          <w:sz w:val="24"/>
          <w:szCs w:val="24"/>
        </w:rPr>
        <w:t xml:space="preserve"> em que Q representa a quantidade do pedido ou lote de </w:t>
      </w:r>
      <w:proofErr w:type="spellStart"/>
      <w:r w:rsidRPr="000C09EA">
        <w:rPr>
          <w:rFonts w:cs="Times New Roman"/>
          <w:sz w:val="24"/>
          <w:szCs w:val="24"/>
        </w:rPr>
        <w:t>ressuprimento</w:t>
      </w:r>
      <w:proofErr w:type="spellEnd"/>
      <w:r w:rsidRPr="000C09EA">
        <w:rPr>
          <w:rFonts w:cs="Times New Roman"/>
          <w:sz w:val="24"/>
          <w:szCs w:val="24"/>
        </w:rPr>
        <w:t xml:space="preserve">; ROP representa o ponto de </w:t>
      </w:r>
      <w:proofErr w:type="spellStart"/>
      <w:r w:rsidRPr="000C09EA">
        <w:rPr>
          <w:rFonts w:cs="Times New Roman"/>
          <w:sz w:val="24"/>
          <w:szCs w:val="24"/>
        </w:rPr>
        <w:t>ressuprimento</w:t>
      </w:r>
      <w:proofErr w:type="spellEnd"/>
      <w:r w:rsidRPr="000C09EA">
        <w:rPr>
          <w:rFonts w:cs="Times New Roman"/>
          <w:sz w:val="24"/>
          <w:szCs w:val="24"/>
        </w:rPr>
        <w:t xml:space="preserve"> ou reposição; LT compreende o tempo de entrega do fornecedor ou tempo de </w:t>
      </w:r>
      <w:proofErr w:type="spellStart"/>
      <w:r w:rsidRPr="000C09EA">
        <w:rPr>
          <w:rFonts w:cs="Times New Roman"/>
          <w:sz w:val="24"/>
          <w:szCs w:val="24"/>
        </w:rPr>
        <w:t>ressuprimento</w:t>
      </w:r>
      <w:proofErr w:type="spellEnd"/>
      <w:r w:rsidRPr="000C09EA">
        <w:rPr>
          <w:rFonts w:cs="Times New Roman"/>
          <w:sz w:val="24"/>
          <w:szCs w:val="24"/>
        </w:rPr>
        <w:t xml:space="preserve"> e T é o intervalo entre os pedidos.</w:t>
      </w:r>
    </w:p>
    <w:p w:rsidR="00E16FCB" w:rsidRDefault="00E16FCB">
      <w:pPr>
        <w:spacing w:after="0" w:line="240" w:lineRule="auto"/>
        <w:jc w:val="left"/>
        <w:rPr>
          <w:rFonts w:eastAsiaTheme="minorHAnsi" w:cs="Times New Roman"/>
          <w:sz w:val="20"/>
          <w:szCs w:val="24"/>
        </w:rPr>
      </w:pPr>
      <w:bookmarkStart w:id="3" w:name="_Toc467356347"/>
      <w:bookmarkStart w:id="4" w:name="_Toc462773336"/>
      <w:r>
        <w:rPr>
          <w:rFonts w:cs="Times New Roman"/>
        </w:rPr>
        <w:br w:type="page"/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lastRenderedPageBreak/>
        <w:t>Gráfico 1 - Modelo de controle estoque puxado</w:t>
      </w:r>
      <w:bookmarkEnd w:id="3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5A4C8AD0" wp14:editId="4576357D">
            <wp:extent cx="2074604" cy="3696569"/>
            <wp:effectExtent l="8255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45" t="16930" r="41092" b="8942"/>
                    <a:stretch/>
                  </pic:blipFill>
                  <pic:spPr bwMode="auto">
                    <a:xfrm rot="5400000">
                      <a:off x="0" y="0"/>
                      <a:ext cx="2158784" cy="384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17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 xml:space="preserve">Fonte: </w:t>
      </w:r>
      <w:proofErr w:type="spellStart"/>
      <w:r w:rsidRPr="000C09EA">
        <w:rPr>
          <w:rFonts w:ascii="Times New Roman" w:hAnsi="Times New Roman" w:cs="Times New Roman"/>
        </w:rPr>
        <w:t>Ballou</w:t>
      </w:r>
      <w:proofErr w:type="spellEnd"/>
      <w:r w:rsidRPr="000C09EA">
        <w:rPr>
          <w:rFonts w:ascii="Times New Roman" w:hAnsi="Times New Roman" w:cs="Times New Roman"/>
        </w:rPr>
        <w:t xml:space="preserve"> (2006)</w:t>
      </w:r>
    </w:p>
    <w:p w:rsidR="00E16FCB" w:rsidRPr="00E16FCB" w:rsidRDefault="00E16FCB" w:rsidP="00E16FCB"/>
    <w:p w:rsidR="00252117" w:rsidRPr="00520B57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i w:val="0"/>
          <w:sz w:val="24"/>
          <w:szCs w:val="24"/>
        </w:rPr>
      </w:pPr>
      <w:bookmarkStart w:id="5" w:name="_Toc466226996"/>
      <w:bookmarkStart w:id="6" w:name="_Toc466564436"/>
      <w:r w:rsidRPr="00520B57">
        <w:rPr>
          <w:rFonts w:ascii="Times New Roman" w:hAnsi="Times New Roman"/>
          <w:i w:val="0"/>
          <w:sz w:val="24"/>
          <w:szCs w:val="24"/>
        </w:rPr>
        <w:t>Produção enxuta</w:t>
      </w:r>
      <w:bookmarkEnd w:id="5"/>
      <w:bookmarkEnd w:id="6"/>
    </w:p>
    <w:p w:rsidR="00252117" w:rsidRPr="000C09EA" w:rsidRDefault="00252117" w:rsidP="000C09EA">
      <w:pPr>
        <w:pStyle w:val="SemEspaamento"/>
        <w:spacing w:line="360" w:lineRule="auto"/>
        <w:jc w:val="both"/>
        <w:rPr>
          <w:rStyle w:val="apple-converted-space"/>
          <w:rFonts w:cs="Times New Roman"/>
          <w:sz w:val="24"/>
          <w:szCs w:val="24"/>
          <w:shd w:val="clear" w:color="auto" w:fill="FFFFFF"/>
        </w:rPr>
      </w:pPr>
      <w:r w:rsidRPr="000C09EA">
        <w:rPr>
          <w:rFonts w:cs="Times New Roman"/>
          <w:sz w:val="24"/>
          <w:szCs w:val="24"/>
        </w:rPr>
        <w:t xml:space="preserve">Produção enxuta, termo originado do inglês </w:t>
      </w:r>
      <w:r w:rsidRPr="000C09EA">
        <w:rPr>
          <w:rFonts w:cs="Times New Roman"/>
          <w:i/>
          <w:sz w:val="24"/>
          <w:szCs w:val="24"/>
        </w:rPr>
        <w:t xml:space="preserve">“lean </w:t>
      </w:r>
      <w:proofErr w:type="spellStart"/>
      <w:r w:rsidRPr="000C09EA">
        <w:rPr>
          <w:rFonts w:cs="Times New Roman"/>
          <w:i/>
          <w:sz w:val="24"/>
          <w:szCs w:val="24"/>
        </w:rPr>
        <w:t>manufacturing</w:t>
      </w:r>
      <w:proofErr w:type="spellEnd"/>
      <w:r w:rsidRPr="000C09EA">
        <w:rPr>
          <w:rFonts w:cs="Times New Roman"/>
          <w:i/>
          <w:sz w:val="24"/>
          <w:szCs w:val="24"/>
        </w:rPr>
        <w:t>”</w:t>
      </w:r>
      <w:r w:rsidRPr="000C09EA">
        <w:rPr>
          <w:rFonts w:cs="Times New Roman"/>
          <w:sz w:val="24"/>
          <w:szCs w:val="24"/>
        </w:rPr>
        <w:t xml:space="preserve"> ou simplesmente </w:t>
      </w:r>
      <w:r w:rsidRPr="000C09EA">
        <w:rPr>
          <w:rFonts w:cs="Times New Roman"/>
          <w:i/>
          <w:sz w:val="24"/>
          <w:szCs w:val="24"/>
        </w:rPr>
        <w:t xml:space="preserve">“lean”, </w:t>
      </w:r>
      <w:r w:rsidRPr="000C09EA">
        <w:rPr>
          <w:rFonts w:cs="Times New Roman"/>
          <w:sz w:val="24"/>
          <w:szCs w:val="24"/>
        </w:rPr>
        <w:t xml:space="preserve">é, segundo o Lean </w:t>
      </w:r>
      <w:proofErr w:type="spellStart"/>
      <w:r w:rsidRPr="000C09EA">
        <w:rPr>
          <w:rFonts w:cs="Times New Roman"/>
          <w:sz w:val="24"/>
          <w:szCs w:val="24"/>
        </w:rPr>
        <w:t>Institute</w:t>
      </w:r>
      <w:proofErr w:type="spellEnd"/>
      <w:r w:rsidRPr="000C09EA">
        <w:rPr>
          <w:rFonts w:cs="Times New Roman"/>
          <w:sz w:val="24"/>
          <w:szCs w:val="24"/>
        </w:rPr>
        <w:t xml:space="preserve"> Brasil (2016), um corpo de conhecimento cuja essência é a capacidade de eliminar desperdícios continuamente e resolver problemas de maneira sistemática.</w:t>
      </w:r>
      <w:r w:rsidRPr="000C09EA">
        <w:rPr>
          <w:rStyle w:val="apple-converted-space"/>
          <w:rFonts w:cs="Times New Roman"/>
          <w:sz w:val="24"/>
          <w:szCs w:val="24"/>
          <w:shd w:val="clear" w:color="auto" w:fill="FFFFFF"/>
        </w:rPr>
        <w:t> 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Style w:val="apple-converted-space"/>
          <w:rFonts w:cs="Times New Roman"/>
          <w:sz w:val="24"/>
          <w:szCs w:val="24"/>
        </w:rPr>
      </w:pPr>
      <w:r w:rsidRPr="000C09EA">
        <w:rPr>
          <w:rStyle w:val="apple-converted-space"/>
          <w:rFonts w:cs="Times New Roman"/>
          <w:sz w:val="24"/>
          <w:szCs w:val="24"/>
        </w:rPr>
        <w:t xml:space="preserve">A produção enxuta traduz os seus conceitos em cinco princípios dispostos de forma sequenciada, segundo </w:t>
      </w:r>
      <w:proofErr w:type="spellStart"/>
      <w:r w:rsidRPr="000C09EA">
        <w:rPr>
          <w:rStyle w:val="apple-converted-space"/>
          <w:rFonts w:cs="Times New Roman"/>
          <w:sz w:val="24"/>
          <w:szCs w:val="24"/>
        </w:rPr>
        <w:t>Womack</w:t>
      </w:r>
      <w:proofErr w:type="spellEnd"/>
      <w:r w:rsidRPr="000C09EA">
        <w:rPr>
          <w:rStyle w:val="apple-converted-space"/>
          <w:rFonts w:cs="Times New Roman"/>
          <w:sz w:val="24"/>
          <w:szCs w:val="24"/>
        </w:rPr>
        <w:t xml:space="preserve"> e Jones (1998): valor, cadeia de valor, fluxo, produção puxada, perfeição.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Style w:val="apple-converted-space"/>
          <w:rFonts w:cs="Times New Roman"/>
          <w:sz w:val="24"/>
          <w:szCs w:val="24"/>
        </w:rPr>
      </w:pPr>
      <w:r w:rsidRPr="000C09EA">
        <w:rPr>
          <w:rStyle w:val="apple-converted-space"/>
          <w:rFonts w:cs="Times New Roman"/>
          <w:sz w:val="24"/>
          <w:szCs w:val="24"/>
        </w:rPr>
        <w:t xml:space="preserve">Segundo </w:t>
      </w:r>
      <w:proofErr w:type="spellStart"/>
      <w:r w:rsidRPr="000C09EA">
        <w:rPr>
          <w:rStyle w:val="apple-converted-space"/>
          <w:rFonts w:cs="Times New Roman"/>
          <w:sz w:val="24"/>
          <w:szCs w:val="24"/>
        </w:rPr>
        <w:t>Womack</w:t>
      </w:r>
      <w:proofErr w:type="spellEnd"/>
      <w:r w:rsidRPr="000C09EA">
        <w:rPr>
          <w:rStyle w:val="apple-converted-space"/>
          <w:rFonts w:cs="Times New Roman"/>
          <w:sz w:val="24"/>
          <w:szCs w:val="24"/>
        </w:rPr>
        <w:t xml:space="preserve"> e Jones (1998), com a redução do tempo obtida com o fluxo contínuo, é possível que o cliente consiga o produto mais rapidamente e que, consequentemente, a demanda se estabilize. Então, esse princípio propõe que o cliente deve “puxar” o produto do produtor, ao invés que o produto seja empurrado para o cliente. A produção puxada é aquela que produz o que o cliente quer, no momento em que o cliente pedir.</w:t>
      </w:r>
    </w:p>
    <w:p w:rsidR="00252117" w:rsidRDefault="00252117" w:rsidP="000C09EA">
      <w:pPr>
        <w:pStyle w:val="SemEspaamento"/>
        <w:spacing w:line="360" w:lineRule="auto"/>
        <w:jc w:val="both"/>
        <w:rPr>
          <w:rStyle w:val="apple-converted-space"/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A base do pensamento </w:t>
      </w:r>
      <w:r w:rsidRPr="000C09EA">
        <w:rPr>
          <w:rFonts w:cs="Times New Roman"/>
          <w:i/>
          <w:sz w:val="24"/>
          <w:szCs w:val="24"/>
        </w:rPr>
        <w:t>lean</w:t>
      </w:r>
      <w:r w:rsidRPr="000C09EA">
        <w:rPr>
          <w:rFonts w:cs="Times New Roman"/>
          <w:sz w:val="24"/>
          <w:szCs w:val="24"/>
        </w:rPr>
        <w:t xml:space="preserve"> consiste na eliminação dos desperdícios inerentes às atividades executadas pelas organizações. </w:t>
      </w:r>
      <w:r w:rsidRPr="000C09EA">
        <w:rPr>
          <w:rStyle w:val="apple-converted-space"/>
          <w:rFonts w:cs="Times New Roman"/>
          <w:sz w:val="24"/>
          <w:szCs w:val="24"/>
        </w:rPr>
        <w:t xml:space="preserve">“[...] </w:t>
      </w:r>
      <w:r w:rsidRPr="000C09EA">
        <w:rPr>
          <w:rStyle w:val="apple-converted-space"/>
          <w:rFonts w:cs="Times New Roman"/>
          <w:i/>
          <w:sz w:val="24"/>
          <w:szCs w:val="24"/>
        </w:rPr>
        <w:t>muda</w:t>
      </w:r>
      <w:r w:rsidRPr="000C09EA">
        <w:rPr>
          <w:rStyle w:val="apple-converted-space"/>
          <w:rFonts w:cs="Times New Roman"/>
          <w:sz w:val="24"/>
          <w:szCs w:val="24"/>
        </w:rPr>
        <w:t xml:space="preserve"> significa ‘desperdício’, especificamente qualquer atividade humana que absorve recursos, mas não cria valor” (WOMACK e JONES, 1998, p. 3).</w:t>
      </w:r>
    </w:p>
    <w:p w:rsidR="00254621" w:rsidRDefault="00254621" w:rsidP="00254621">
      <w:pPr>
        <w:rPr>
          <w:shd w:val="clear" w:color="auto" w:fill="FFFFFF"/>
        </w:rPr>
      </w:pPr>
      <w:bookmarkStart w:id="7" w:name="_Toc466227002"/>
      <w:bookmarkStart w:id="8" w:name="_Toc466564446"/>
    </w:p>
    <w:p w:rsidR="00252117" w:rsidRPr="000C09EA" w:rsidRDefault="00252117" w:rsidP="000C09EA">
      <w:pPr>
        <w:pStyle w:val="ABNTTtulos3"/>
        <w:numPr>
          <w:ilvl w:val="0"/>
          <w:numId w:val="0"/>
        </w:numPr>
        <w:spacing w:before="0" w:after="120" w:line="360" w:lineRule="auto"/>
        <w:jc w:val="both"/>
        <w:rPr>
          <w:rFonts w:ascii="Times New Roman" w:hAnsi="Times New Roman" w:cs="Times New Roman"/>
          <w:i w:val="0"/>
          <w:color w:val="auto"/>
          <w:shd w:val="clear" w:color="auto" w:fill="FFFFFF"/>
        </w:rPr>
      </w:pPr>
      <w:r w:rsidRPr="000C09EA">
        <w:rPr>
          <w:rFonts w:ascii="Times New Roman" w:hAnsi="Times New Roman" w:cs="Times New Roman"/>
          <w:i w:val="0"/>
          <w:color w:val="auto"/>
          <w:shd w:val="clear" w:color="auto" w:fill="FFFFFF"/>
        </w:rPr>
        <w:lastRenderedPageBreak/>
        <w:t xml:space="preserve">2.2.1    </w:t>
      </w:r>
      <w:r w:rsidRPr="000C09EA">
        <w:rPr>
          <w:rFonts w:ascii="Times New Roman" w:hAnsi="Times New Roman" w:cs="Times New Roman"/>
          <w:color w:val="auto"/>
          <w:shd w:val="clear" w:color="auto" w:fill="FFFFFF"/>
        </w:rPr>
        <w:t>Lean healthcare</w:t>
      </w:r>
      <w:bookmarkEnd w:id="7"/>
      <w:bookmarkEnd w:id="8"/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Segundo Ferro (2006, </w:t>
      </w:r>
      <w:r w:rsidRPr="000C09EA">
        <w:rPr>
          <w:rFonts w:cs="Times New Roman"/>
          <w:i/>
          <w:sz w:val="24"/>
          <w:szCs w:val="24"/>
        </w:rPr>
        <w:t>apud</w:t>
      </w:r>
      <w:r w:rsidRPr="000C09EA">
        <w:rPr>
          <w:rFonts w:cs="Times New Roman"/>
          <w:sz w:val="24"/>
          <w:szCs w:val="24"/>
        </w:rPr>
        <w:t xml:space="preserve"> Palma, 2012), a mentalidade enxuta, a priori aplicada apenas aos setores industriais, pode ser perfeitamente estendida a todos os setores e a todas as organizações, inclusive àquelas estritamente prestadoras de serviços, como a área da saúde, pois a aplicação de seus conceitos resulta em agilidade, sensibilidade e satisfação dos clientes.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  <w:shd w:val="clear" w:color="auto" w:fill="FFFFFF"/>
        </w:rPr>
      </w:pPr>
      <w:r w:rsidRPr="000C09EA">
        <w:rPr>
          <w:rFonts w:cs="Times New Roman"/>
          <w:sz w:val="24"/>
          <w:szCs w:val="24"/>
          <w:shd w:val="clear" w:color="auto" w:fill="FFFFFF"/>
        </w:rPr>
        <w:t xml:space="preserve">Dessa forma, surge a vertente de </w:t>
      </w:r>
      <w:r w:rsidRPr="000C09EA">
        <w:rPr>
          <w:rFonts w:cs="Times New Roman"/>
          <w:i/>
          <w:sz w:val="24"/>
          <w:szCs w:val="24"/>
          <w:shd w:val="clear" w:color="auto" w:fill="FFFFFF"/>
        </w:rPr>
        <w:t>lean</w:t>
      </w:r>
      <w:r w:rsidRPr="000C09EA">
        <w:rPr>
          <w:rFonts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0C09EA">
        <w:rPr>
          <w:rFonts w:cs="Times New Roman"/>
          <w:sz w:val="24"/>
          <w:szCs w:val="24"/>
          <w:shd w:val="clear" w:color="auto" w:fill="FFFFFF"/>
        </w:rPr>
        <w:t xml:space="preserve">aplicada ao setor da saúde, o </w:t>
      </w:r>
      <w:r w:rsidRPr="000C09EA">
        <w:rPr>
          <w:rFonts w:cs="Times New Roman"/>
          <w:i/>
          <w:sz w:val="24"/>
          <w:szCs w:val="24"/>
          <w:shd w:val="clear" w:color="auto" w:fill="FFFFFF"/>
        </w:rPr>
        <w:t xml:space="preserve">lean healthcare, </w:t>
      </w:r>
      <w:r w:rsidRPr="000C09EA">
        <w:rPr>
          <w:rFonts w:cs="Times New Roman"/>
          <w:sz w:val="24"/>
          <w:szCs w:val="24"/>
          <w:shd w:val="clear" w:color="auto" w:fill="FFFFFF"/>
        </w:rPr>
        <w:t>definido como:</w:t>
      </w:r>
      <w:r w:rsidRPr="000C09EA">
        <w:rPr>
          <w:rFonts w:cs="Times New Roman"/>
          <w:i/>
          <w:sz w:val="24"/>
          <w:szCs w:val="24"/>
          <w:shd w:val="clear" w:color="auto" w:fill="FFFFFF"/>
        </w:rPr>
        <w:t xml:space="preserve"> </w:t>
      </w:r>
      <w:r w:rsidRPr="000C09EA">
        <w:rPr>
          <w:rFonts w:cs="Times New Roman"/>
          <w:sz w:val="24"/>
          <w:szCs w:val="24"/>
          <w:shd w:val="clear" w:color="auto" w:fill="FFFFFF"/>
        </w:rPr>
        <w:t>“</w:t>
      </w:r>
      <w:r w:rsidRPr="000C09EA">
        <w:rPr>
          <w:rFonts w:cs="Times New Roman"/>
          <w:i/>
          <w:sz w:val="24"/>
          <w:szCs w:val="24"/>
          <w:shd w:val="clear" w:color="auto" w:fill="FFFFFF"/>
        </w:rPr>
        <w:t xml:space="preserve">Lean healthcare </w:t>
      </w:r>
      <w:r w:rsidRPr="000C09EA">
        <w:rPr>
          <w:rFonts w:cs="Times New Roman"/>
          <w:sz w:val="24"/>
          <w:szCs w:val="24"/>
          <w:shd w:val="clear" w:color="auto" w:fill="FFFFFF"/>
        </w:rPr>
        <w:t xml:space="preserve">é uma filosofia apoiada em um conjunto de conceitos, técnicas e ferramentas que melhoram a maneira como os hospitais são organizados e gerenciados” (GRABAN, 2009 </w:t>
      </w:r>
      <w:r w:rsidRPr="000C09EA">
        <w:rPr>
          <w:rFonts w:cs="Times New Roman"/>
          <w:i/>
          <w:sz w:val="24"/>
          <w:szCs w:val="24"/>
          <w:shd w:val="clear" w:color="auto" w:fill="FFFFFF"/>
        </w:rPr>
        <w:t>apud</w:t>
      </w:r>
      <w:r w:rsidRPr="000C09EA">
        <w:rPr>
          <w:rFonts w:cs="Times New Roman"/>
          <w:sz w:val="24"/>
          <w:szCs w:val="24"/>
          <w:shd w:val="clear" w:color="auto" w:fill="FFFFFF"/>
        </w:rPr>
        <w:t xml:space="preserve"> BERTANI, 2012, p. 36).</w:t>
      </w:r>
    </w:p>
    <w:p w:rsidR="00252117" w:rsidRPr="000C09EA" w:rsidRDefault="00252117" w:rsidP="000C09EA">
      <w:pPr>
        <w:rPr>
          <w:rFonts w:cs="Times New Roman"/>
          <w:szCs w:val="24"/>
        </w:rPr>
      </w:pPr>
    </w:p>
    <w:p w:rsidR="00252117" w:rsidRPr="000C09EA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i w:val="0"/>
          <w:sz w:val="24"/>
          <w:szCs w:val="24"/>
          <w:shd w:val="clear" w:color="auto" w:fill="FFFFFF"/>
        </w:rPr>
      </w:pPr>
      <w:bookmarkStart w:id="9" w:name="_Toc466227003"/>
      <w:bookmarkStart w:id="10" w:name="_Toc466564447"/>
      <w:r w:rsidRPr="000C09EA">
        <w:rPr>
          <w:rFonts w:ascii="Times New Roman" w:hAnsi="Times New Roman"/>
          <w:sz w:val="24"/>
          <w:szCs w:val="24"/>
          <w:shd w:val="clear" w:color="auto" w:fill="FFFFFF"/>
        </w:rPr>
        <w:t>Kanban</w:t>
      </w:r>
      <w:bookmarkEnd w:id="9"/>
      <w:bookmarkEnd w:id="10"/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Segundo </w:t>
      </w:r>
      <w:proofErr w:type="spellStart"/>
      <w:r w:rsidRPr="000C09EA">
        <w:rPr>
          <w:rFonts w:cs="Times New Roman"/>
          <w:sz w:val="24"/>
          <w:szCs w:val="24"/>
        </w:rPr>
        <w:t>Taiichi</w:t>
      </w:r>
      <w:proofErr w:type="spellEnd"/>
      <w:r w:rsidRPr="000C09EA">
        <w:rPr>
          <w:rFonts w:cs="Times New Roman"/>
          <w:sz w:val="24"/>
          <w:szCs w:val="24"/>
        </w:rPr>
        <w:t xml:space="preserve"> </w:t>
      </w:r>
      <w:proofErr w:type="spellStart"/>
      <w:r w:rsidRPr="000C09EA">
        <w:rPr>
          <w:rFonts w:cs="Times New Roman"/>
          <w:sz w:val="24"/>
          <w:szCs w:val="24"/>
        </w:rPr>
        <w:t>Ohno</w:t>
      </w:r>
      <w:proofErr w:type="spellEnd"/>
      <w:r w:rsidRPr="000C09EA">
        <w:rPr>
          <w:rFonts w:cs="Times New Roman"/>
          <w:sz w:val="24"/>
          <w:szCs w:val="24"/>
        </w:rPr>
        <w:t xml:space="preserve"> (1997), a ferramenta mais utilizada para operar o Sistema Toyota de Produção é 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Segundo </w:t>
      </w:r>
      <w:proofErr w:type="spellStart"/>
      <w:r w:rsidRPr="000C09EA">
        <w:rPr>
          <w:rFonts w:cs="Times New Roman"/>
          <w:sz w:val="24"/>
          <w:szCs w:val="24"/>
        </w:rPr>
        <w:t>Múris</w:t>
      </w:r>
      <w:proofErr w:type="spellEnd"/>
      <w:r w:rsidRPr="000C09EA">
        <w:rPr>
          <w:rFonts w:cs="Times New Roman"/>
          <w:sz w:val="24"/>
          <w:szCs w:val="24"/>
        </w:rPr>
        <w:t xml:space="preserve"> (2014), a tradução literal da palavra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é “anotação visível”, ou “sinal”. Isso porque o principal item do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consiste em um cartão que sinaliza e orienta a produção. 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Dessa forma, entende-se que 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consiste em um subsistema do Sistema Toyota de Produção que, através de um conjunto de cartões sinalizadores que autorizam a produção, proporciona a execução da produção puxada.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proofErr w:type="spellStart"/>
      <w:r w:rsidRPr="000C09EA">
        <w:rPr>
          <w:rFonts w:cs="Times New Roman"/>
          <w:sz w:val="24"/>
          <w:szCs w:val="24"/>
        </w:rPr>
        <w:t>Murís</w:t>
      </w:r>
      <w:proofErr w:type="spellEnd"/>
      <w:r w:rsidRPr="000C09EA">
        <w:rPr>
          <w:rFonts w:cs="Times New Roman"/>
          <w:sz w:val="24"/>
          <w:szCs w:val="24"/>
        </w:rPr>
        <w:t xml:space="preserve"> (2014) lista as vantagens decorrentes da utilização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: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Controle eficiente dos estágios produtivos;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Diminuição dos níveis de estoque (e, consequentemente, do espaço físico e custos associados);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Redução </w:t>
      </w:r>
      <w:proofErr w:type="gramStart"/>
      <w:r w:rsidRPr="000C09EA">
        <w:rPr>
          <w:rFonts w:ascii="Times New Roman" w:hAnsi="Times New Roman" w:cs="Times New Roman"/>
          <w:sz w:val="24"/>
          <w:szCs w:val="24"/>
        </w:rPr>
        <w:t xml:space="preserve">dos </w:t>
      </w:r>
      <w:r w:rsidRPr="00520B57">
        <w:rPr>
          <w:rFonts w:ascii="Times New Roman" w:hAnsi="Times New Roman" w:cs="Times New Roman"/>
          <w:sz w:val="24"/>
          <w:szCs w:val="24"/>
        </w:rPr>
        <w:t>lead</w:t>
      </w:r>
      <w:proofErr w:type="gramEnd"/>
      <w:r w:rsidRPr="00520B57">
        <w:rPr>
          <w:rFonts w:ascii="Times New Roman" w:hAnsi="Times New Roman" w:cs="Times New Roman"/>
          <w:sz w:val="24"/>
          <w:szCs w:val="24"/>
        </w:rPr>
        <w:t xml:space="preserve"> times</w:t>
      </w:r>
      <w:r w:rsidRPr="000C09EA">
        <w:rPr>
          <w:rFonts w:ascii="Times New Roman" w:hAnsi="Times New Roman" w:cs="Times New Roman"/>
          <w:sz w:val="24"/>
          <w:szCs w:val="24"/>
        </w:rPr>
        <w:t xml:space="preserve"> (tempos de ciclo);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Identificação ágil da raiz de problemas produtivos;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Redução de refugos e retrabalhos;</w:t>
      </w:r>
    </w:p>
    <w:p w:rsidR="00252117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Atribuição de autonomia aos operadores.</w:t>
      </w:r>
    </w:p>
    <w:p w:rsidR="00252117" w:rsidRPr="00FA0338" w:rsidRDefault="00FA0338" w:rsidP="00804D72">
      <w:pPr>
        <w:pStyle w:val="ABNTTtulos3"/>
        <w:numPr>
          <w:ilvl w:val="0"/>
          <w:numId w:val="0"/>
        </w:numPr>
        <w:tabs>
          <w:tab w:val="left" w:pos="709"/>
        </w:tabs>
        <w:spacing w:before="0" w:after="120" w:line="360" w:lineRule="auto"/>
        <w:jc w:val="both"/>
        <w:rPr>
          <w:rFonts w:ascii="Times New Roman" w:hAnsi="Times New Roman" w:cs="Times New Roman"/>
          <w:i w:val="0"/>
          <w:color w:val="auto"/>
          <w:shd w:val="clear" w:color="auto" w:fill="FFFFFF"/>
        </w:rPr>
      </w:pPr>
      <w:bookmarkStart w:id="11" w:name="_Toc466227005"/>
      <w:bookmarkStart w:id="12" w:name="_Toc466564449"/>
      <w:r w:rsidRPr="00FA0338">
        <w:rPr>
          <w:rFonts w:ascii="Times New Roman" w:hAnsi="Times New Roman" w:cs="Times New Roman"/>
          <w:i w:val="0"/>
          <w:color w:val="auto"/>
          <w:shd w:val="clear" w:color="auto" w:fill="FFFFFF"/>
        </w:rPr>
        <w:lastRenderedPageBreak/>
        <w:t>2.3.1</w:t>
      </w:r>
      <w:proofErr w:type="gramStart"/>
      <w:r w:rsidRPr="000C09EA">
        <w:rPr>
          <w:rFonts w:ascii="Times New Roman" w:hAnsi="Times New Roman" w:cs="Times New Roman"/>
          <w:i w:val="0"/>
          <w:color w:val="auto"/>
          <w:shd w:val="clear" w:color="auto" w:fill="FFFFFF"/>
        </w:rPr>
        <w:t xml:space="preserve">    </w:t>
      </w:r>
      <w:proofErr w:type="gramEnd"/>
      <w:r w:rsidR="00252117" w:rsidRPr="00FA0338">
        <w:rPr>
          <w:rFonts w:ascii="Times New Roman" w:hAnsi="Times New Roman" w:cs="Times New Roman"/>
          <w:i w:val="0"/>
          <w:color w:val="auto"/>
          <w:shd w:val="clear" w:color="auto" w:fill="FFFFFF"/>
        </w:rPr>
        <w:t>Princípios de funcionamento</w:t>
      </w:r>
      <w:bookmarkEnd w:id="11"/>
      <w:bookmarkEnd w:id="12"/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Segundo </w:t>
      </w:r>
      <w:proofErr w:type="spellStart"/>
      <w:r w:rsidRPr="000C09EA">
        <w:rPr>
          <w:rFonts w:cs="Times New Roman"/>
          <w:sz w:val="24"/>
          <w:szCs w:val="24"/>
        </w:rPr>
        <w:t>Tubino</w:t>
      </w:r>
      <w:proofErr w:type="spellEnd"/>
      <w:r w:rsidRPr="000C09EA">
        <w:rPr>
          <w:rFonts w:cs="Times New Roman"/>
          <w:sz w:val="24"/>
          <w:szCs w:val="24"/>
        </w:rPr>
        <w:t xml:space="preserve"> (2009), os cartões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tem a função de substituírem as ordens de produção, de montagem, de compra ou de movimentação. Para cada uma destas situações, há a necessidade de colocar no cartão as informações indispensáveis para a execução da tarefa, como processos fornecedores e clientes, descrição dos itens e tamanho do lote.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Outro componente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é o painel ou quadro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, que funciona como um porta-cartões para proporcionar a gestão visual da produção. Segundo </w:t>
      </w:r>
      <w:proofErr w:type="spellStart"/>
      <w:r w:rsidRPr="000C09EA">
        <w:rPr>
          <w:rFonts w:cs="Times New Roman"/>
          <w:sz w:val="24"/>
          <w:szCs w:val="24"/>
        </w:rPr>
        <w:t>Murís</w:t>
      </w:r>
      <w:proofErr w:type="spellEnd"/>
      <w:r w:rsidRPr="000C09EA">
        <w:rPr>
          <w:rFonts w:cs="Times New Roman"/>
          <w:sz w:val="24"/>
          <w:szCs w:val="24"/>
        </w:rPr>
        <w:t xml:space="preserve"> (2014), o quadro serve para priorizar a produção dos itens consumidos de uma estação de trabalho ou de uma célula de produção.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proofErr w:type="spellStart"/>
      <w:r w:rsidRPr="000C09EA">
        <w:rPr>
          <w:rFonts w:cs="Times New Roman"/>
          <w:sz w:val="24"/>
          <w:szCs w:val="24"/>
        </w:rPr>
        <w:t>Tubino</w:t>
      </w:r>
      <w:proofErr w:type="spellEnd"/>
      <w:r w:rsidRPr="000C09EA">
        <w:rPr>
          <w:rFonts w:cs="Times New Roman"/>
          <w:sz w:val="24"/>
          <w:szCs w:val="24"/>
        </w:rPr>
        <w:t xml:space="preserve"> (2009) explica que o quadro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(figura 1) é, geralmente, formado por três faixas das seguintes cores: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Vermelho: espaço para os cartões que compõe o estoque de segurança do sistema;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Amarelo: espaço para os cartões referentes à quantidade de itens suficientes para abastecer a demanda do cliente durante o tempo necessário para uma produção em ritmo normal;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Verde: espaço para os demais cartões.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13" w:name="_Toc466620321"/>
      <w:r w:rsidRPr="000C09EA">
        <w:rPr>
          <w:rFonts w:ascii="Times New Roman" w:hAnsi="Times New Roman" w:cs="Times New Roman"/>
        </w:rPr>
        <w:t xml:space="preserve">Figura 1 - Quadro </w:t>
      </w:r>
      <w:r w:rsidRPr="000C09EA">
        <w:rPr>
          <w:rFonts w:ascii="Times New Roman" w:hAnsi="Times New Roman" w:cs="Times New Roman"/>
          <w:i/>
        </w:rPr>
        <w:t>kanban</w:t>
      </w:r>
      <w:bookmarkEnd w:id="13"/>
    </w:p>
    <w:p w:rsidR="00252117" w:rsidRPr="000C09EA" w:rsidRDefault="00FA0338" w:rsidP="000C09EA">
      <w:pPr>
        <w:pStyle w:val="SemEspaamento"/>
        <w:spacing w:line="360" w:lineRule="auto"/>
        <w:jc w:val="center"/>
        <w:rPr>
          <w:rFonts w:cs="Times New Roman"/>
        </w:rPr>
      </w:pPr>
      <w:r>
        <w:rPr>
          <w:noProof/>
          <w:lang w:eastAsia="pt-BR"/>
        </w:rPr>
        <w:drawing>
          <wp:inline distT="0" distB="0" distL="0" distR="0" wp14:anchorId="62EED3C6" wp14:editId="7F3F4B30">
            <wp:extent cx="3651429" cy="2700000"/>
            <wp:effectExtent l="0" t="0" r="635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142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 xml:space="preserve">Fonte: Adaptado de </w:t>
      </w:r>
      <w:proofErr w:type="spellStart"/>
      <w:r w:rsidRPr="000C09EA">
        <w:rPr>
          <w:rFonts w:ascii="Times New Roman" w:hAnsi="Times New Roman" w:cs="Times New Roman"/>
        </w:rPr>
        <w:t>Tubino</w:t>
      </w:r>
      <w:proofErr w:type="spellEnd"/>
      <w:r w:rsidRPr="000C09EA">
        <w:rPr>
          <w:rFonts w:ascii="Times New Roman" w:hAnsi="Times New Roman" w:cs="Times New Roman"/>
        </w:rPr>
        <w:t xml:space="preserve"> (2009)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lastRenderedPageBreak/>
        <w:t xml:space="preserve">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funciona conforme a seguinte dinâmica, com base nas informações de </w:t>
      </w:r>
      <w:proofErr w:type="spellStart"/>
      <w:r w:rsidRPr="000C09EA">
        <w:rPr>
          <w:rFonts w:cs="Times New Roman"/>
          <w:sz w:val="24"/>
          <w:szCs w:val="24"/>
        </w:rPr>
        <w:t>Tubino</w:t>
      </w:r>
      <w:proofErr w:type="spellEnd"/>
      <w:r w:rsidRPr="000C09EA">
        <w:rPr>
          <w:rFonts w:cs="Times New Roman"/>
          <w:sz w:val="24"/>
          <w:szCs w:val="24"/>
        </w:rPr>
        <w:t xml:space="preserve"> (2009):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Quando o processo cliente consome um lote de material, o cartão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 xml:space="preserve"> de movimentação desse item deve ser colocado no quadro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>. A presença do cartão no quadro indica a necessidade de reposição;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Um profissional de transporte, ao notar o cartão posto no quadro, o recolhe e segue para o supermercado fornecedor de materiais, onde realiza a coleta da quantidade do material especificada pelo cartão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 xml:space="preserve"> de movimentação e também dos cartões kanban de produção;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O material separado é transportado para o posto de trabalho, juntamente do cartão kanban de produção, que são colocados no quadro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>. A presença do cartão no quadro dispara a produção. Ao consumir o material, o ciclo é reiniciado.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Assim como no setor industrial, 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também tem ganhado aplicabilidade nos setores de serviço. Felisberto (2009) apresenta uma forma adaptada para o controle de estoques e materiais médico-hospitalares de um hospital. Cada item apresenta um cartão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único, colocado no local de armazenamento do produto. O cartão é posicionado especificamente no ponto de pedido daquele item, de forma que, quando o cartão é atingido, é sinal de que aquele item deve ser encomendado e o estoque remanescente é suficiente apenas para o tempo entre o pedido e a entrega por parte do fornecedor. Esse esquema é ilustrado na figura 2.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14" w:name="_Toc466620323"/>
      <w:r w:rsidRPr="000C09EA">
        <w:rPr>
          <w:rFonts w:ascii="Times New Roman" w:hAnsi="Times New Roman" w:cs="Times New Roman"/>
        </w:rPr>
        <w:t xml:space="preserve">Figura 2 - </w:t>
      </w:r>
      <w:r w:rsidRPr="000C09EA">
        <w:rPr>
          <w:rFonts w:ascii="Times New Roman" w:hAnsi="Times New Roman" w:cs="Times New Roman"/>
          <w:i/>
        </w:rPr>
        <w:t>Kanban</w:t>
      </w:r>
      <w:r w:rsidRPr="000C09EA">
        <w:rPr>
          <w:rFonts w:ascii="Times New Roman" w:hAnsi="Times New Roman" w:cs="Times New Roman"/>
        </w:rPr>
        <w:t xml:space="preserve"> em um armazém de medicamentos</w:t>
      </w:r>
      <w:bookmarkEnd w:id="14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3A345EBC" wp14:editId="0623142A">
            <wp:extent cx="4562475" cy="1529851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81" t="40588" r="20792" b="26176"/>
                    <a:stretch/>
                  </pic:blipFill>
                  <pic:spPr bwMode="auto">
                    <a:xfrm>
                      <a:off x="0" y="0"/>
                      <a:ext cx="4586577" cy="15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Felisberto (2009)</w:t>
      </w:r>
    </w:p>
    <w:p w:rsidR="00252117" w:rsidRPr="00EA5B07" w:rsidRDefault="00252117" w:rsidP="000C09EA">
      <w:pPr>
        <w:pStyle w:val="SemEspaamento"/>
        <w:spacing w:line="360" w:lineRule="auto"/>
        <w:rPr>
          <w:rFonts w:cs="Times New Roman"/>
          <w:sz w:val="24"/>
          <w:szCs w:val="24"/>
        </w:rPr>
      </w:pPr>
    </w:p>
    <w:p w:rsidR="00252117" w:rsidRPr="000C09EA" w:rsidRDefault="00252117" w:rsidP="000C09EA">
      <w:pPr>
        <w:pStyle w:val="ABNTTtulos"/>
        <w:numPr>
          <w:ilvl w:val="0"/>
          <w:numId w:val="5"/>
        </w:numPr>
        <w:ind w:left="0" w:firstLine="0"/>
        <w:rPr>
          <w:rFonts w:cs="Times New Roman"/>
        </w:rPr>
      </w:pPr>
      <w:r w:rsidRPr="000C09EA">
        <w:rPr>
          <w:rFonts w:cs="Times New Roman"/>
        </w:rPr>
        <w:lastRenderedPageBreak/>
        <w:t>Metodologia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Segundo Gil (1991 </w:t>
      </w:r>
      <w:r w:rsidRPr="000C09EA">
        <w:rPr>
          <w:rFonts w:cs="Times New Roman"/>
          <w:i/>
          <w:sz w:val="24"/>
          <w:szCs w:val="24"/>
        </w:rPr>
        <w:t>apud</w:t>
      </w:r>
      <w:r w:rsidRPr="000C09EA">
        <w:rPr>
          <w:rFonts w:cs="Times New Roman"/>
          <w:sz w:val="24"/>
          <w:szCs w:val="24"/>
        </w:rPr>
        <w:t xml:space="preserve"> SILVA E MENEZES, 2001, p. 22), este trabalho, enquanto pesquisa, pode ser classificado das seguintes formas: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Pesquisa aplicada, quanto à sua natureza, pois visa à aplicação prática de conhecimentos, direcionados à solução de problemas específicos;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Pesquisa qualitativa, quanto à abordagem do problema, por utilizar interpretações subjetivas da situação-problema, não necessariamente traduzidas em números;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Pesquisa explicativa, quanto a seus objetivos, pois define um objetivo de estudo, analisa as variáveis correlacionadas e parte para a aplicação prática;</w:t>
      </w:r>
    </w:p>
    <w:p w:rsidR="00252117" w:rsidRPr="000C09EA" w:rsidRDefault="00252117" w:rsidP="00520B57">
      <w:pPr>
        <w:pStyle w:val="Lista"/>
        <w:numPr>
          <w:ilvl w:val="0"/>
          <w:numId w:val="10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Pesquisa-ação, quanto aos seus procedimentos técnicos, pois é realizada em associação com a resolução de um problema coletivo, em que o autor do trabalho intervém na execução do processo.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Este trabalho se encaixa nesta classificação por explorar uma situação-problema, conceber soluções e implantá-las juntamente com os atores do problema, conforme método descrito a seguir no quadro 1.</w:t>
      </w:r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</w:rPr>
        <w:t>Quadro 1 - Método de realização do trabalho</w:t>
      </w:r>
    </w:p>
    <w:p w:rsidR="00252117" w:rsidRPr="000C09EA" w:rsidRDefault="00252117" w:rsidP="000C09EA">
      <w:pPr>
        <w:pStyle w:val="SemEspaamento"/>
        <w:spacing w:line="360" w:lineRule="auto"/>
        <w:rPr>
          <w:rFonts w:cs="Times New Roman"/>
          <w:noProof/>
          <w:lang w:eastAsia="pt-BR"/>
        </w:rPr>
      </w:pPr>
      <w:r w:rsidRPr="000C09EA">
        <w:rPr>
          <w:rFonts w:cs="Times New Roman"/>
          <w:noProof/>
          <w:lang w:eastAsia="pt-BR"/>
        </w:rPr>
        <w:t xml:space="preserve"> </w:t>
      </w:r>
      <w:r w:rsidRPr="000C09EA">
        <w:rPr>
          <w:rFonts w:cs="Times New Roman"/>
          <w:noProof/>
          <w:lang w:eastAsia="pt-BR"/>
        </w:rPr>
        <w:drawing>
          <wp:inline distT="0" distB="0" distL="0" distR="0" wp14:anchorId="0AC935C6" wp14:editId="6420AE57">
            <wp:extent cx="5467350" cy="26193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523" t="1091" r="523" b="-1091"/>
                    <a:stretch/>
                  </pic:blipFill>
                  <pic:spPr bwMode="auto">
                    <a:xfrm>
                      <a:off x="0" y="0"/>
                      <a:ext cx="54673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</w:rPr>
        <w:t>Fonte: Autor</w:t>
      </w:r>
      <w:r w:rsidR="00D908FB">
        <w:rPr>
          <w:rFonts w:cs="Times New Roman"/>
        </w:rPr>
        <w:t>es</w:t>
      </w:r>
    </w:p>
    <w:p w:rsidR="00252117" w:rsidRPr="00530183" w:rsidRDefault="00252117" w:rsidP="000C09EA">
      <w:pPr>
        <w:pStyle w:val="SemEspaamento"/>
        <w:spacing w:line="360" w:lineRule="auto"/>
        <w:rPr>
          <w:rFonts w:cs="Times New Roman"/>
          <w:sz w:val="24"/>
        </w:rPr>
      </w:pPr>
    </w:p>
    <w:p w:rsidR="00252117" w:rsidRPr="000C09EA" w:rsidRDefault="00252117" w:rsidP="000C09EA">
      <w:pPr>
        <w:pStyle w:val="ABNTTtulos"/>
        <w:numPr>
          <w:ilvl w:val="0"/>
          <w:numId w:val="5"/>
        </w:numPr>
        <w:ind w:left="0" w:firstLine="0"/>
        <w:rPr>
          <w:rFonts w:cs="Times New Roman"/>
        </w:rPr>
      </w:pPr>
      <w:bookmarkStart w:id="15" w:name="_Toc466227008"/>
      <w:r w:rsidRPr="000C09EA">
        <w:rPr>
          <w:rFonts w:cs="Times New Roman"/>
        </w:rPr>
        <w:lastRenderedPageBreak/>
        <w:t>Caracterização e análise do processo</w:t>
      </w:r>
    </w:p>
    <w:p w:rsidR="00252117" w:rsidRPr="000C09EA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i w:val="0"/>
          <w:sz w:val="24"/>
          <w:szCs w:val="24"/>
        </w:rPr>
      </w:pPr>
      <w:r w:rsidRPr="000C09EA">
        <w:rPr>
          <w:rFonts w:ascii="Times New Roman" w:hAnsi="Times New Roman"/>
          <w:i w:val="0"/>
          <w:sz w:val="24"/>
          <w:szCs w:val="24"/>
        </w:rPr>
        <w:t>Caracterização da empresa e do processo</w:t>
      </w:r>
    </w:p>
    <w:bookmarkEnd w:id="15"/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O presente trabalho foi desenvolvido em um hospital de grande porte do estado do Ceará. Com capacidade de internação superior a 300 leitos, apresenta-se como uma das maiores instituições hospitalares privadas da região Nordeste.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Dentro do hospital está localizada a Central de Abastecimento Farmacêutico (CAF). A CAF é responsável pela programação de compras, recebimento, armazenamento, unitarização e distribuição de medicamentos e materiais médico-hospitalares. A CAF tem, como clientes, todas as farmácias-satélites do hospital, que são farmácias situadas em diferentes setores do hospital e que atendem aos postos de enfermagem, </w:t>
      </w:r>
      <w:proofErr w:type="spellStart"/>
      <w:r w:rsidRPr="000C09EA">
        <w:rPr>
          <w:rFonts w:cs="Times New Roman"/>
          <w:sz w:val="24"/>
          <w:szCs w:val="24"/>
        </w:rPr>
        <w:t>UTI’s</w:t>
      </w:r>
      <w:proofErr w:type="spellEnd"/>
      <w:r w:rsidRPr="000C09EA">
        <w:rPr>
          <w:rFonts w:cs="Times New Roman"/>
          <w:sz w:val="24"/>
          <w:szCs w:val="24"/>
        </w:rPr>
        <w:t xml:space="preserve"> e ao pronto-socorro. 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O foco deste trabalho é o processo de unitarização de medicamentos, que será explorado em detalhes a seguir e é ilustrado na figura 3.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16" w:name="_Toc466620325"/>
      <w:r w:rsidRPr="000C09EA">
        <w:rPr>
          <w:rFonts w:ascii="Times New Roman" w:hAnsi="Times New Roman" w:cs="Times New Roman"/>
        </w:rPr>
        <w:t>Figura 3 - Fluxo de unitarização de medicamentos</w:t>
      </w:r>
      <w:bookmarkEnd w:id="16"/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54CD2F66" wp14:editId="5EA03631">
            <wp:extent cx="4181475" cy="2085975"/>
            <wp:effectExtent l="0" t="0" r="9525" b="9525"/>
            <wp:docPr id="10" name="Imagem 10" descr="flu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ux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 r="21358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Os medicamentos são comprados dos fornecedores e chegam à CAF em suas embalagens secundárias (caixas com várias unidades). Em geral, os medicamentos possuem uma embalagem primária, que varia de acordo com o formato do medicamento. Os tipos mais comuns de embalagem primária são: blister (cartela de comprimidos), ampolas e frascos.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Os medicamentos, ainda em sua embalagem secundária, são armazenados em um estoque que serve de fonte para a unitarização, que, neste trabalho será chamado de estoque de matéria-prima ou estoque de itens não processados. Esses medicamentos, então, são retirados de suas </w:t>
      </w:r>
      <w:r w:rsidRPr="000C09EA">
        <w:rPr>
          <w:rFonts w:cs="Times New Roman"/>
          <w:sz w:val="24"/>
          <w:szCs w:val="24"/>
        </w:rPr>
        <w:lastRenderedPageBreak/>
        <w:t>embalagens secundárias ou primárias e introduzidos em embalagens unitárias: cada unidade do medicamento recebe uma identificação própria, contendo dados de nome do medicamento, código em sistema, prazo de validade, lote, código para leitura e identificação de risco.</w:t>
      </w:r>
    </w:p>
    <w:p w:rsidR="00252117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Uma farmacêutica é responsável pela unitarização e prioriza qual medicamento e em que quantidade deve ser processado. O processamento é realizado por duas células de trabalho, que funcionam em horário comercial. Após a unitarização, o lote de medicamentos unitarizados é armazenado em um segundo estoque, onde permanece até que seja encaminhado para uma das unidades clientes.</w:t>
      </w:r>
    </w:p>
    <w:p w:rsidR="00530183" w:rsidRPr="000C09EA" w:rsidRDefault="00530183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</w:p>
    <w:p w:rsidR="00252117" w:rsidRPr="00254621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i w:val="0"/>
          <w:sz w:val="24"/>
          <w:szCs w:val="24"/>
        </w:rPr>
      </w:pPr>
      <w:r w:rsidRPr="00254621">
        <w:rPr>
          <w:rFonts w:ascii="Times New Roman" w:hAnsi="Times New Roman"/>
          <w:i w:val="0"/>
          <w:sz w:val="24"/>
          <w:szCs w:val="24"/>
        </w:rPr>
        <w:t>Análise crítica do processo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Diante do exposto, faz-se necessária uma análise com base no processo na forma em que era executado.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Percebeu-se a ausência de práticas de programação e controle da produção. Existe uma priorização, no entanto não baseada no real consumo das unidades e sim baseado no volume de compras: tudo o que é comprado para o mês deve ser </w:t>
      </w:r>
      <w:proofErr w:type="spellStart"/>
      <w:r w:rsidRPr="000C09EA">
        <w:rPr>
          <w:rFonts w:cs="Times New Roman"/>
          <w:sz w:val="24"/>
          <w:szCs w:val="24"/>
        </w:rPr>
        <w:t>unitarizado</w:t>
      </w:r>
      <w:proofErr w:type="spellEnd"/>
      <w:r w:rsidRPr="000C09EA">
        <w:rPr>
          <w:rFonts w:cs="Times New Roman"/>
          <w:sz w:val="24"/>
          <w:szCs w:val="24"/>
        </w:rPr>
        <w:t xml:space="preserve"> dentro do mesmo mês e esgotar o estoque de medicamentos não processados, deixando espaço para as compras do mês seguinte.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Dessa forma, identifica-se um modelo empurrado de produção. Os medicamentos são unitarizados para compor um grande estoque de itens processados que ficam à espera de solicitação das unidades. No entanto, a composição desse estoque não é necessariamente formada pelos medicamentos e pelas quantidades que as unidades solicitam, uma vez que a produção não é baseada na real demanda de seus clientes. Por isso, acontecem duas situações básicas: medicamentos em excesso e medicamentos em falta.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Os medicamentos em excesso geram os seguintes problemas: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Ocupação de grande volume de espaço físico;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Risco de avarias e extrapolação da data de validade dos medicamentos;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Impossibilidade de realizar troca do medicamento com o fornecedor e com outros hospitais, caso cesse a demanda interna para o mesmo;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lastRenderedPageBreak/>
        <w:t>Custos com manutenção de estoque e perdas.</w:t>
      </w:r>
    </w:p>
    <w:p w:rsidR="00252117" w:rsidRPr="000C09EA" w:rsidRDefault="00252117" w:rsidP="000C09EA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Já os medicamentos em falta causam os seguintes problemas: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Impossibilidade de atender a demanda de algum paciente que estivesse precisando do medicamento, muitos deles em situação crítica;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Ocorrência de compras de emergência, que são bem mais onerosas que àquelas programadas.</w:t>
      </w:r>
    </w:p>
    <w:p w:rsidR="00252117" w:rsidRPr="000C09EA" w:rsidRDefault="00252117" w:rsidP="000C09EA">
      <w:pPr>
        <w:pStyle w:val="Lista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Além destas situações, notou-se, do processo produtivo em si: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721F">
        <w:rPr>
          <w:rFonts w:ascii="Times New Roman" w:hAnsi="Times New Roman" w:cs="Times New Roman"/>
          <w:i/>
          <w:sz w:val="24"/>
          <w:szCs w:val="24"/>
        </w:rPr>
        <w:t>Lead time</w:t>
      </w:r>
      <w:r w:rsidRPr="000C09EA">
        <w:rPr>
          <w:rFonts w:ascii="Times New Roman" w:hAnsi="Times New Roman" w:cs="Times New Roman"/>
          <w:sz w:val="24"/>
          <w:szCs w:val="24"/>
        </w:rPr>
        <w:t xml:space="preserve"> de produção elevado, uma vez que são produzidos grandes lotes de um só medicamento por vez;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Sobrecarga da equipe e da máquina, com a constante solicitação da gestão da CAF por mais colaboradores e máquinas.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Em resumo, estre trabalho aborda a raiz desta problemática: a utilização do modelo de produção empurrado, associado à ausência de práticas de falta de planejamento, programação e controle de produção, como fora anteriormente citado.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</w:p>
    <w:p w:rsidR="00252117" w:rsidRPr="000C09EA" w:rsidRDefault="00252117" w:rsidP="000C09EA">
      <w:pPr>
        <w:pStyle w:val="ABNTTtulos"/>
        <w:numPr>
          <w:ilvl w:val="0"/>
          <w:numId w:val="5"/>
        </w:numPr>
        <w:ind w:left="0" w:firstLine="0"/>
        <w:rPr>
          <w:rFonts w:cs="Times New Roman"/>
          <w:szCs w:val="24"/>
        </w:rPr>
      </w:pPr>
      <w:r w:rsidRPr="000C09EA">
        <w:rPr>
          <w:rFonts w:cs="Times New Roman"/>
          <w:szCs w:val="24"/>
        </w:rPr>
        <w:t>Execução do método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À luz da revisão teórica, fundamentada em conhecimentos acerca de produção enxuta e logística de distribuição, chegou-se à concepção de um método para a solução dos problemas expostos, que consiste na introdução de elementos de produção puxada no modelo anterior, totalmente empurrado, através da ferramenta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. 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Devido a certas particularidades do processo de unitarização de medicamentos, o método proposto neste trabalho consiste em uma adaptação da ferramenta </w:t>
      </w:r>
      <w:r w:rsidRPr="000C09EA">
        <w:rPr>
          <w:rFonts w:cs="Times New Roman"/>
          <w:i/>
          <w:sz w:val="24"/>
          <w:szCs w:val="24"/>
        </w:rPr>
        <w:t xml:space="preserve">kanban </w:t>
      </w:r>
      <w:r w:rsidRPr="000C09EA">
        <w:rPr>
          <w:rFonts w:cs="Times New Roman"/>
          <w:sz w:val="24"/>
          <w:szCs w:val="24"/>
        </w:rPr>
        <w:t>original, preservando a mesma lógica e realizando modificações para atender à realidade do processo.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O método é apresentado na figura 4 e descrito nos próximos tópicos deste trabalho.</w:t>
      </w:r>
    </w:p>
    <w:p w:rsidR="00E16FCB" w:rsidRDefault="00E16FCB">
      <w:pPr>
        <w:spacing w:after="0" w:line="240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252117" w:rsidRPr="0069055E" w:rsidRDefault="00252117" w:rsidP="0069055E">
      <w:pPr>
        <w:spacing w:after="0" w:line="240" w:lineRule="auto"/>
        <w:jc w:val="center"/>
        <w:rPr>
          <w:rFonts w:cs="Times New Roman"/>
          <w:sz w:val="20"/>
        </w:rPr>
      </w:pPr>
      <w:r w:rsidRPr="0069055E">
        <w:rPr>
          <w:rFonts w:cs="Times New Roman"/>
          <w:sz w:val="20"/>
        </w:rPr>
        <w:lastRenderedPageBreak/>
        <w:t>Figura 4 - Método de abordagem do problema</w:t>
      </w:r>
    </w:p>
    <w:p w:rsidR="00252117" w:rsidRPr="000C09EA" w:rsidRDefault="00252117" w:rsidP="000C09EA">
      <w:pPr>
        <w:pStyle w:val="SemEspaamento"/>
        <w:spacing w:line="360" w:lineRule="auto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434BE359" wp14:editId="515D963D">
            <wp:extent cx="5760085" cy="102298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17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</w:rPr>
        <w:t>Fonte: Autor</w:t>
      </w:r>
      <w:r w:rsidR="00D908FB">
        <w:rPr>
          <w:rFonts w:cs="Times New Roman"/>
        </w:rPr>
        <w:t>es</w:t>
      </w:r>
    </w:p>
    <w:p w:rsidR="00254621" w:rsidRPr="00254621" w:rsidRDefault="00254621" w:rsidP="00254621">
      <w:pPr>
        <w:pStyle w:val="SemEspaamento"/>
        <w:rPr>
          <w:sz w:val="24"/>
          <w:szCs w:val="24"/>
        </w:rPr>
      </w:pPr>
    </w:p>
    <w:p w:rsidR="00252117" w:rsidRPr="00520B57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i w:val="0"/>
          <w:sz w:val="24"/>
          <w:szCs w:val="24"/>
        </w:rPr>
      </w:pPr>
      <w:bookmarkStart w:id="17" w:name="_Toc466227015"/>
      <w:bookmarkStart w:id="18" w:name="_Toc466564465"/>
      <w:r w:rsidRPr="00520B57">
        <w:rPr>
          <w:rFonts w:ascii="Times New Roman" w:hAnsi="Times New Roman"/>
          <w:i w:val="0"/>
          <w:sz w:val="24"/>
          <w:szCs w:val="24"/>
        </w:rPr>
        <w:t>Etapa 1: Estudar o históri</w:t>
      </w:r>
      <w:bookmarkEnd w:id="17"/>
      <w:r w:rsidRPr="00520B57">
        <w:rPr>
          <w:rFonts w:ascii="Times New Roman" w:hAnsi="Times New Roman"/>
          <w:i w:val="0"/>
          <w:sz w:val="24"/>
          <w:szCs w:val="24"/>
        </w:rPr>
        <w:t>co de demanda</w:t>
      </w:r>
      <w:bookmarkEnd w:id="18"/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O primeiro passo para a o dimensionamento foi entender quais medicamentos e em quais quantidades eles deveriam ser unitarizados a partir de então. O objetivo foi chegar em um valor de consumo diário de cada item.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Para isso, foi gerado um relatório de consumo de todas as áreas demandantes de medicamentos para a CAF, dos 24 meses anteriores à geração do relatório (janeiro de 2014 a dezembro de 2015). 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Em seguida, os dados históricos de consumo foram escalonados por ano, mês, semana e dia. Chegou-se então, no valor diário de consumo de cada item fazendo-se uma média dos dois anos estudados. O estudo do consumo serviu de insumo para o dimensionamento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. 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Foram incluídos no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todos os medicamentos que passam por unitarização e que apresentam consumo histórico maior ou igual a 1 (uma) unidade por dia. Chegou-se ao valor, portanto, de 430 medicamentos.</w:t>
      </w:r>
    </w:p>
    <w:p w:rsidR="00252117" w:rsidRPr="000C09EA" w:rsidRDefault="00252117" w:rsidP="000C09EA">
      <w:pPr>
        <w:rPr>
          <w:rFonts w:cs="Times New Roman"/>
          <w:szCs w:val="24"/>
        </w:rPr>
      </w:pPr>
    </w:p>
    <w:p w:rsidR="00252117" w:rsidRPr="00520B57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i w:val="0"/>
          <w:sz w:val="24"/>
          <w:szCs w:val="24"/>
        </w:rPr>
      </w:pPr>
      <w:bookmarkStart w:id="19" w:name="_Toc466564466"/>
      <w:r w:rsidRPr="00520B57">
        <w:rPr>
          <w:rFonts w:ascii="Times New Roman" w:hAnsi="Times New Roman"/>
          <w:i w:val="0"/>
          <w:sz w:val="24"/>
          <w:szCs w:val="24"/>
        </w:rPr>
        <w:t>Etapa 2: Definir diretrizes de estocagem</w:t>
      </w:r>
      <w:bookmarkEnd w:id="19"/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Outro ponto do dimensionamento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foi o horizonte de tempo ao qual o estoque de medicamentos unitarizados deve atender. Obedecendo a lógica do modelo puxado, o método considerou primordial a redução de estoque de medicamentos unitarizados, para combater os problemas citados na análise do processo.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Em contrapartida ao horizonte mensal anteriormente utilizado, em que o estoque de medicamentos unitarizados girava uma vez ao mês, definiu-se um horizonte semanal para ser </w:t>
      </w:r>
      <w:r w:rsidRPr="000C09EA">
        <w:rPr>
          <w:rFonts w:cs="Times New Roman"/>
          <w:sz w:val="24"/>
          <w:szCs w:val="24"/>
        </w:rPr>
        <w:lastRenderedPageBreak/>
        <w:t xml:space="preserve">trabalhado, de forma que o estoque de medicamentos unitarizados girasse quatro vezes ao mês. 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Prevendo as flutuações de demanda e possíveis interrupções no funcionamento da produção, foi definido um ponto de reposição (ROP), uma quantidade que, quando atingida, a produção seria acionada e ainda haveria uma de reserva até que o lote de medicamentos para consumo fosse reposto. Ficou definido, então, como valor de estoque de segurança (ES), o número correspondente a 2 (dois) dias de consumo do medicamento. </w:t>
      </w:r>
      <w:r w:rsidR="00254621" w:rsidRPr="00254621">
        <w:rPr>
          <w:rFonts w:cs="Times New Roman"/>
          <w:sz w:val="24"/>
          <w:szCs w:val="24"/>
        </w:rPr>
        <w:t>Esse valor se justifica, pois, 2 (dois) dias seria o tempo máximo que a produção levaria para atender a demanda e recompor o estoque.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O gráfico 2 mostra o comportamento dos níveis de estoque, em um cenário de produção em ritmo normal: a reposição é feita antes da próxima baixa no estoque — </w:t>
      </w:r>
      <w:r w:rsidRPr="000C09EA">
        <w:rPr>
          <w:rFonts w:cs="Times New Roman"/>
          <w:i/>
          <w:sz w:val="24"/>
          <w:szCs w:val="24"/>
        </w:rPr>
        <w:t>lead time</w:t>
      </w:r>
      <w:r w:rsidRPr="000C09EA">
        <w:rPr>
          <w:rFonts w:cs="Times New Roman"/>
          <w:sz w:val="24"/>
          <w:szCs w:val="24"/>
        </w:rPr>
        <w:t xml:space="preserve"> (LT) próximo a zero (dias). Dessa forma, o estoque de segurança correspondente a 2 dias é preservado.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</w:rPr>
      </w:pPr>
      <w:r w:rsidRPr="000C09EA">
        <w:rPr>
          <w:rFonts w:cs="Times New Roman"/>
          <w:sz w:val="24"/>
          <w:szCs w:val="24"/>
        </w:rPr>
        <w:t>O gráfico 3 mostra o comportamento dos níveis de estoque, em um cenário adverso: a reposição é feita em um lead time de 2 dias, devido problemas como atraso na produção e atraso de entrega do fornecedor.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20" w:name="_Toc467356354"/>
      <w:r w:rsidRPr="000C09EA">
        <w:rPr>
          <w:rFonts w:ascii="Times New Roman" w:hAnsi="Times New Roman" w:cs="Times New Roman"/>
        </w:rPr>
        <w:t>Gráfico 2 - Comportamento do nível de estoque: cenário normal</w:t>
      </w:r>
      <w:bookmarkEnd w:id="20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3D94335C" wp14:editId="79831A86">
            <wp:extent cx="4860000" cy="1773121"/>
            <wp:effectExtent l="0" t="0" r="0" b="0"/>
            <wp:docPr id="9" name="Imagem 9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7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E16FCB" w:rsidRDefault="00E16FCB">
      <w:pPr>
        <w:spacing w:after="0" w:line="240" w:lineRule="auto"/>
        <w:jc w:val="left"/>
        <w:rPr>
          <w:rFonts w:cs="Times New Roman"/>
          <w:sz w:val="20"/>
        </w:rPr>
      </w:pPr>
      <w:bookmarkStart w:id="21" w:name="_Toc467356355"/>
      <w:r>
        <w:rPr>
          <w:rFonts w:cs="Times New Roman"/>
          <w:sz w:val="20"/>
        </w:rPr>
        <w:br w:type="page"/>
      </w:r>
    </w:p>
    <w:p w:rsidR="00252117" w:rsidRDefault="00252117" w:rsidP="00E27E23">
      <w:pPr>
        <w:spacing w:line="240" w:lineRule="auto"/>
        <w:jc w:val="center"/>
        <w:rPr>
          <w:rFonts w:cs="Times New Roman"/>
          <w:sz w:val="20"/>
        </w:rPr>
      </w:pPr>
      <w:r w:rsidRPr="0071721F">
        <w:rPr>
          <w:rFonts w:cs="Times New Roman"/>
          <w:sz w:val="20"/>
        </w:rPr>
        <w:lastRenderedPageBreak/>
        <w:t xml:space="preserve">Gráfico </w:t>
      </w:r>
      <w:r w:rsidRPr="0071721F">
        <w:rPr>
          <w:rFonts w:cs="Times New Roman"/>
          <w:sz w:val="20"/>
        </w:rPr>
        <w:fldChar w:fldCharType="begin"/>
      </w:r>
      <w:r w:rsidRPr="0071721F">
        <w:rPr>
          <w:rFonts w:cs="Times New Roman"/>
          <w:sz w:val="20"/>
        </w:rPr>
        <w:instrText xml:space="preserve"> SEQ Gráfico \* ARABIC </w:instrText>
      </w:r>
      <w:r w:rsidRPr="0071721F">
        <w:rPr>
          <w:rFonts w:cs="Times New Roman"/>
          <w:sz w:val="20"/>
        </w:rPr>
        <w:fldChar w:fldCharType="separate"/>
      </w:r>
      <w:r w:rsidRPr="0071721F">
        <w:rPr>
          <w:rFonts w:cs="Times New Roman"/>
          <w:noProof/>
          <w:sz w:val="20"/>
        </w:rPr>
        <w:t>3</w:t>
      </w:r>
      <w:r w:rsidRPr="0071721F">
        <w:rPr>
          <w:rFonts w:cs="Times New Roman"/>
          <w:noProof/>
          <w:sz w:val="20"/>
        </w:rPr>
        <w:fldChar w:fldCharType="end"/>
      </w:r>
      <w:r w:rsidRPr="0071721F">
        <w:rPr>
          <w:rFonts w:cs="Times New Roman"/>
          <w:sz w:val="20"/>
        </w:rPr>
        <w:t xml:space="preserve"> - </w:t>
      </w:r>
      <w:r w:rsidRPr="00E27E23">
        <w:rPr>
          <w:rFonts w:eastAsiaTheme="minorHAnsi" w:cs="Times New Roman"/>
          <w:sz w:val="20"/>
          <w:szCs w:val="24"/>
        </w:rPr>
        <w:t>Comportamento</w:t>
      </w:r>
      <w:r w:rsidRPr="0071721F">
        <w:rPr>
          <w:rFonts w:cs="Times New Roman"/>
          <w:sz w:val="20"/>
        </w:rPr>
        <w:t xml:space="preserve"> do nível de estoque: cenário adverso</w:t>
      </w:r>
      <w:bookmarkEnd w:id="21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078111A3" wp14:editId="7D8E5C39">
            <wp:extent cx="4860000" cy="1773120"/>
            <wp:effectExtent l="0" t="0" r="0" b="0"/>
            <wp:docPr id="8" name="Imagem 8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7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17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4621" w:rsidRPr="00254621" w:rsidRDefault="00254621" w:rsidP="00254621"/>
    <w:p w:rsidR="00252117" w:rsidRPr="000C09EA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i w:val="0"/>
          <w:sz w:val="24"/>
          <w:szCs w:val="24"/>
        </w:rPr>
      </w:pPr>
      <w:bookmarkStart w:id="22" w:name="_Toc466227016"/>
      <w:bookmarkStart w:id="23" w:name="_Toc466564467"/>
      <w:r w:rsidRPr="000C09EA">
        <w:rPr>
          <w:rFonts w:ascii="Times New Roman" w:hAnsi="Times New Roman"/>
          <w:i w:val="0"/>
          <w:sz w:val="24"/>
          <w:szCs w:val="24"/>
        </w:rPr>
        <w:t xml:space="preserve">Etapa 3: Propor elementos do sistema </w:t>
      </w:r>
      <w:r w:rsidRPr="00254621">
        <w:rPr>
          <w:rFonts w:ascii="Times New Roman" w:hAnsi="Times New Roman"/>
          <w:sz w:val="24"/>
          <w:szCs w:val="24"/>
        </w:rPr>
        <w:t>kanban</w:t>
      </w:r>
      <w:bookmarkEnd w:id="22"/>
      <w:bookmarkEnd w:id="23"/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A produção da CAF apresenta duas características que dificultariam a implantação de um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tradicional, conforme mostrado na revisão teórica. Primeiramente por possuir um elevado número de itens unitarizados (430, no total) e pela discrepância da demanda diária desses itens, que vai de 1 a 360 unidades.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Diante desta situação, decidiu-se implantar uma forma de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adaptada. Projetou-se, então, um quadro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com 11 (onze) colunas, esquematizado na figura 5, cada uma delas com um tipo de embalagem unitária que o medicamento poderia receber.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24" w:name="_Toc466620333"/>
      <w:r w:rsidRPr="000C09EA">
        <w:rPr>
          <w:rFonts w:ascii="Times New Roman" w:hAnsi="Times New Roman" w:cs="Times New Roman"/>
        </w:rPr>
        <w:t xml:space="preserve">Figura 5 - Projeto do quadro </w:t>
      </w:r>
      <w:r w:rsidRPr="000C09EA">
        <w:rPr>
          <w:rFonts w:ascii="Times New Roman" w:hAnsi="Times New Roman" w:cs="Times New Roman"/>
          <w:i/>
        </w:rPr>
        <w:t>kanban</w:t>
      </w:r>
      <w:bookmarkEnd w:id="24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5974F7E2" wp14:editId="775678A2">
            <wp:extent cx="3960000" cy="2359836"/>
            <wp:effectExtent l="0" t="0" r="254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3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0C09EA">
        <w:rPr>
          <w:rFonts w:cs="Times New Roman"/>
          <w:sz w:val="24"/>
          <w:szCs w:val="24"/>
        </w:rPr>
        <w:lastRenderedPageBreak/>
        <w:t xml:space="preserve">O quadro apresenta, também, </w:t>
      </w:r>
      <w:proofErr w:type="gramStart"/>
      <w:r w:rsidRPr="000C09EA">
        <w:rPr>
          <w:rFonts w:cs="Times New Roman"/>
          <w:sz w:val="24"/>
          <w:szCs w:val="24"/>
        </w:rPr>
        <w:t>3</w:t>
      </w:r>
      <w:proofErr w:type="gramEnd"/>
      <w:r w:rsidRPr="000C09EA">
        <w:rPr>
          <w:rFonts w:cs="Times New Roman"/>
          <w:sz w:val="24"/>
          <w:szCs w:val="24"/>
        </w:rPr>
        <w:t xml:space="preserve"> faixas coloridas, designadas para as </w:t>
      </w:r>
      <w:r w:rsidRPr="000C09EA">
        <w:rPr>
          <w:rFonts w:eastAsia="Times New Roman" w:cs="Times New Roman"/>
          <w:sz w:val="24"/>
          <w:szCs w:val="24"/>
          <w:lang w:eastAsia="pt-BR"/>
        </w:rPr>
        <w:t>finalidades informadas a seguir: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Verde: Acomoda os cartões cuja produção apresenta uma prioridade normal;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Amarelo: Acomoda os cartões cuja produção está em espera por falta de matéria-prima;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Vermelho: Acomoda os cartões cuja produção apresenta uma prioridade urgente.</w:t>
      </w:r>
    </w:p>
    <w:p w:rsidR="00177416" w:rsidRDefault="00252117" w:rsidP="00E16FCB">
      <w:pPr>
        <w:pStyle w:val="SemEspaamento"/>
        <w:spacing w:line="360" w:lineRule="auto"/>
        <w:jc w:val="both"/>
        <w:rPr>
          <w:rFonts w:eastAsiaTheme="minorHAnsi" w:cs="Times New Roman"/>
          <w:szCs w:val="24"/>
        </w:rPr>
      </w:pPr>
      <w:r w:rsidRPr="000C09EA">
        <w:rPr>
          <w:rFonts w:cs="Times New Roman"/>
          <w:sz w:val="24"/>
          <w:szCs w:val="24"/>
        </w:rPr>
        <w:t xml:space="preserve">Estabelecidas as características do quadro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, a etapa seguinte consistiu no planejamento do modelo dos cartões sinalizadores de produção. De acordo com exemplos encontrados na literatura, o modelo</w:t>
      </w:r>
      <w:r w:rsidRPr="000C09EA">
        <w:rPr>
          <w:rFonts w:cs="Times New Roman"/>
          <w:i/>
          <w:sz w:val="24"/>
          <w:szCs w:val="24"/>
        </w:rPr>
        <w:t xml:space="preserve"> </w:t>
      </w:r>
      <w:r w:rsidRPr="000C09EA">
        <w:rPr>
          <w:rFonts w:cs="Times New Roman"/>
          <w:sz w:val="24"/>
          <w:szCs w:val="24"/>
        </w:rPr>
        <w:t xml:space="preserve">(figura 6) foi definido para conter as seguintes informações a seguir: processos cliente e fornecedor; código e descrição do item; quantidade (número a ser produzido no momento em que a produção for disparada pelo cartão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); embalagem (para que o colaborador saiba em qual coluna do painel alocar) e endereço do estoque.</w:t>
      </w:r>
      <w:bookmarkStart w:id="25" w:name="_Toc466620335"/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Figura 6</w:t>
      </w:r>
      <w:r w:rsidR="000C09EA">
        <w:rPr>
          <w:rFonts w:ascii="Times New Roman" w:hAnsi="Times New Roman" w:cs="Times New Roman"/>
        </w:rPr>
        <w:t xml:space="preserve"> - C</w:t>
      </w:r>
      <w:r w:rsidRPr="000C09EA">
        <w:rPr>
          <w:rFonts w:ascii="Times New Roman" w:hAnsi="Times New Roman" w:cs="Times New Roman"/>
        </w:rPr>
        <w:t xml:space="preserve">artão </w:t>
      </w:r>
      <w:r w:rsidRPr="000C09EA">
        <w:rPr>
          <w:rFonts w:ascii="Times New Roman" w:hAnsi="Times New Roman" w:cs="Times New Roman"/>
          <w:i/>
        </w:rPr>
        <w:t>kanban</w:t>
      </w:r>
      <w:bookmarkEnd w:id="25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4B5ECF65" wp14:editId="0F4728CA">
            <wp:extent cx="1368730" cy="2419350"/>
            <wp:effectExtent l="0" t="0" r="3175" b="0"/>
            <wp:docPr id="20" name="Imagem 20" descr="C:\Users\pedromatosv\AppData\Local\Microsoft\Windows\INetCache\Content.Word\CARTAO KAN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dromatosv\AppData\Local\Microsoft\Windows\INetCache\Content.Word\CARTAO KANB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"/>
                    <a:stretch/>
                  </pic:blipFill>
                  <pic:spPr bwMode="auto">
                    <a:xfrm>
                      <a:off x="0" y="0"/>
                      <a:ext cx="1390678" cy="24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Ainda no planejamento da implantação, encontrou-se a necessidade de formular uma nova etiqueta com o objetivo de criar uma ligação entre os três elementos do sistema (quadro, cartão e etiqueta), de modo que todos utilizassem a mesma linguagem.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Foram adicionados, junto à identificação do medicamento, os números referentes ao lote diário, lote de produção e estoque de segurança. Um exemplo da etiqueta proposta é apresentado na figura 7. 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26" w:name="_Toc466620337"/>
      <w:r w:rsidRPr="000C09EA">
        <w:rPr>
          <w:rFonts w:ascii="Times New Roman" w:hAnsi="Times New Roman" w:cs="Times New Roman"/>
        </w:rPr>
        <w:lastRenderedPageBreak/>
        <w:t>Figura 7 - Etiqueta de identificação proposta</w:t>
      </w:r>
      <w:bookmarkEnd w:id="26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37F491B8" wp14:editId="3C870C7F">
            <wp:extent cx="2705100" cy="666750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7" t="29377" r="51432" b="53748"/>
                    <a:stretch/>
                  </pic:blipFill>
                  <pic:spPr bwMode="auto">
                    <a:xfrm>
                      <a:off x="0" y="0"/>
                      <a:ext cx="2726392" cy="6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</w:p>
    <w:p w:rsidR="00252117" w:rsidRPr="000C09EA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rPr>
          <w:rFonts w:ascii="Times New Roman" w:hAnsi="Times New Roman"/>
          <w:sz w:val="24"/>
          <w:szCs w:val="24"/>
        </w:rPr>
      </w:pPr>
      <w:bookmarkStart w:id="27" w:name="_Toc466564470"/>
      <w:r w:rsidRPr="000C09EA">
        <w:rPr>
          <w:rFonts w:ascii="Times New Roman" w:hAnsi="Times New Roman"/>
          <w:i w:val="0"/>
          <w:sz w:val="24"/>
          <w:szCs w:val="24"/>
        </w:rPr>
        <w:t xml:space="preserve">Etapa 4: Propor dinâmica de funcionamento do sistema </w:t>
      </w:r>
      <w:r w:rsidRPr="000C09EA">
        <w:rPr>
          <w:rFonts w:ascii="Times New Roman" w:hAnsi="Times New Roman"/>
          <w:sz w:val="24"/>
          <w:szCs w:val="24"/>
        </w:rPr>
        <w:t>kanban</w:t>
      </w:r>
      <w:bookmarkEnd w:id="27"/>
    </w:p>
    <w:p w:rsidR="0059077A" w:rsidRDefault="00252117" w:rsidP="00E16FCB">
      <w:pPr>
        <w:pStyle w:val="SemEspaamento"/>
        <w:spacing w:line="360" w:lineRule="auto"/>
        <w:jc w:val="both"/>
        <w:rPr>
          <w:rFonts w:eastAsiaTheme="minorHAnsi" w:cs="Times New Roman"/>
          <w:szCs w:val="24"/>
        </w:rPr>
      </w:pPr>
      <w:r w:rsidRPr="000C09EA">
        <w:rPr>
          <w:rFonts w:cs="Times New Roman"/>
          <w:sz w:val="24"/>
          <w:szCs w:val="24"/>
        </w:rPr>
        <w:t xml:space="preserve">A dinâmica transita entre os processos de produção e distribuição dos medicamentos unitarizados, passando pelo quadro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, conforme esquematizado pela figura 8.</w:t>
      </w:r>
      <w:bookmarkStart w:id="28" w:name="_Toc466620339"/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Figura 8 - Ciclo de produção puxada</w:t>
      </w:r>
      <w:bookmarkEnd w:id="28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23F73702" wp14:editId="5E061D85">
            <wp:extent cx="2515737" cy="215634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7999" cy="21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O ciclo será detalhado a partir do momento em que o cartão é colocado no quadro</w:t>
      </w:r>
      <w:r w:rsidRPr="000C09EA">
        <w:rPr>
          <w:rFonts w:cs="Times New Roman"/>
          <w:i/>
          <w:sz w:val="24"/>
          <w:szCs w:val="24"/>
        </w:rPr>
        <w:t xml:space="preserve"> kanban</w:t>
      </w:r>
      <w:r w:rsidRPr="000C09EA">
        <w:rPr>
          <w:rFonts w:cs="Times New Roman"/>
          <w:sz w:val="24"/>
          <w:szCs w:val="24"/>
        </w:rPr>
        <w:t>, até que ele retorne: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A presença do cartão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 xml:space="preserve"> no quadro dá a instrução que o medicamento correspondente àquele cartão, na quantidade informada no mesmo, deve ser </w:t>
      </w:r>
      <w:proofErr w:type="spellStart"/>
      <w:r w:rsidRPr="000C09EA">
        <w:rPr>
          <w:rFonts w:ascii="Times New Roman" w:hAnsi="Times New Roman" w:cs="Times New Roman"/>
          <w:sz w:val="24"/>
          <w:szCs w:val="24"/>
        </w:rPr>
        <w:t>unitarizado</w:t>
      </w:r>
      <w:proofErr w:type="spellEnd"/>
      <w:r w:rsidRPr="000C09EA">
        <w:rPr>
          <w:rFonts w:ascii="Times New Roman" w:hAnsi="Times New Roman" w:cs="Times New Roman"/>
          <w:sz w:val="24"/>
          <w:szCs w:val="24"/>
        </w:rPr>
        <w:t>. O colaborador da produção verifica o rótulo da coluna e a faixa em que o cartão está posicionado, assim ele tem informações de qual embalagem utilizar e qual a prioridade desta unitarização;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O colaborador da produção retira o cartão do quadro, coleta o medicamento não processado no estoque de matéria-prima e os leva para o posto de trabalho, onde </w:t>
      </w:r>
      <w:r w:rsidRPr="000C09EA">
        <w:rPr>
          <w:rFonts w:ascii="Times New Roman" w:hAnsi="Times New Roman" w:cs="Times New Roman"/>
          <w:sz w:val="24"/>
          <w:szCs w:val="24"/>
        </w:rPr>
        <w:lastRenderedPageBreak/>
        <w:t xml:space="preserve">realiza o processo de unitarização. O cartão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 xml:space="preserve"> permanece junto do lote de produção;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Após a unitarização, o colaborador da produção armazena o medicamento no estoque de itens processados, no lugar identificado pela etiqueta. O estoque de segurança, que é remanejado para a esquerda e o lote de produção é posicionado a direita, de forma a obedecer a regra “primeiro que entra, primeiro que sai” (PEPS), fazendo com que os medicamentos mais antigos sejam consumidos primeiro (figura 9).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A etiqueta de identificação informa o número de itens em estoque de segurança. O colaborador da produção separa, então, uma parte do lote de produção para ser o novo estoque de segurança (figura 9).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Ao longo dos dias, o medicamento vai sendo consumido, atendendo às solicitações das unidades clientes. Quando o lote que estava sendo consumido é terminado, o cartão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 xml:space="preserve"> fica aparente, restando apenas o estoque de segurança. O colaborador da distribuição, então, abastece o quadro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>, posicionando o cartão na coluna correspondente ao tipo de embalagem informado no cartão. Caso o estoque de segurança estiver pleno, o cartão é posicionado na faixa verde (prioridade normal). Caso o estoque de segurança já tenha sido parcial ou totalmente consumido, o cartão é posicionado na faixa vermelha (prioridade urgente).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29" w:name="_Toc466620340"/>
      <w:r w:rsidRPr="000C09EA">
        <w:rPr>
          <w:rFonts w:ascii="Times New Roman" w:hAnsi="Times New Roman" w:cs="Times New Roman"/>
        </w:rPr>
        <w:t>Figura 9 - Fluxo de reabastecimento de medicamentos unitarizados</w:t>
      </w:r>
      <w:bookmarkEnd w:id="29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2BA75055" wp14:editId="4CC19EA0">
            <wp:extent cx="3957851" cy="2579427"/>
            <wp:effectExtent l="0" t="0" r="508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387" t="31230" r="27075" b="26305"/>
                    <a:stretch/>
                  </pic:blipFill>
                  <pic:spPr bwMode="auto">
                    <a:xfrm>
                      <a:off x="0" y="0"/>
                      <a:ext cx="4004561" cy="260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17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0C09EA" w:rsidRDefault="00252117" w:rsidP="000C09EA">
      <w:pPr>
        <w:pStyle w:val="Ttulo2"/>
        <w:keepLines/>
        <w:numPr>
          <w:ilvl w:val="1"/>
          <w:numId w:val="5"/>
        </w:numPr>
        <w:spacing w:before="0" w:after="120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0C09EA">
        <w:rPr>
          <w:rFonts w:ascii="Times New Roman" w:hAnsi="Times New Roman"/>
          <w:i w:val="0"/>
          <w:sz w:val="24"/>
          <w:szCs w:val="24"/>
        </w:rPr>
        <w:lastRenderedPageBreak/>
        <w:t xml:space="preserve">Etapa </w:t>
      </w:r>
      <w:proofErr w:type="gramStart"/>
      <w:r w:rsidRPr="000C09EA">
        <w:rPr>
          <w:rFonts w:ascii="Times New Roman" w:hAnsi="Times New Roman"/>
          <w:i w:val="0"/>
          <w:sz w:val="24"/>
          <w:szCs w:val="24"/>
        </w:rPr>
        <w:t>5</w:t>
      </w:r>
      <w:proofErr w:type="gramEnd"/>
      <w:r w:rsidRPr="000C09EA">
        <w:rPr>
          <w:rFonts w:ascii="Times New Roman" w:hAnsi="Times New Roman"/>
          <w:i w:val="0"/>
          <w:sz w:val="24"/>
          <w:szCs w:val="24"/>
        </w:rPr>
        <w:t xml:space="preserve">: Implantar sistema </w:t>
      </w:r>
      <w:r w:rsidRPr="000C09EA">
        <w:rPr>
          <w:rFonts w:ascii="Times New Roman" w:hAnsi="Times New Roman"/>
          <w:sz w:val="24"/>
          <w:szCs w:val="24"/>
        </w:rPr>
        <w:t>kanban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Definidos os parâmetros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, a implantação foi realizada em 4 ciclos. As etapas da implantação serão detalhadas a seguir e se repetiram para cada um dos ciclos.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A primeira etapa consistiu do refinamento do cálculo dos lotes realizada no início do dimensionamento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. Alguns lotes tiveram que ser arredondados (sempre para cima) para que houvesse o máximo de adequação entre o lote de produção e a posterior organização dos medicamentos processados.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As saídas dessa etapa foram os números finais de lote de produção, lote diário e estoque de segurança, organizados em uma planilha de apoio para a execução das etapas subsequentes do ciclo.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A segunda etapa consistiu na organização do estoque. Primeiramente, foram confeccionados, para os medicamentos selecionados, os cartões e as etiquetas de cada um deles. Foram utilizados cartões plásticos, preenchidos manualmente. As etiquetas foram geradas em planilha e impressas em papel adesivo.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Em seguida, separou-se todo o estoque de itens unitarizados que excediam o horizonte de uma semana para uma área a parte. Foi deixado no estoque apenas o lote semanal, conforme calculado. O restante foi movimentado para uma área denominada de “pulmão” de itens unitarizados.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Por fim, uma vez movimentado o estoque excedente, organizou-se os medicamentos que restaram com as etiquetas e cartões. Fez-se uma nova distribuição dos medicamentos nas prateleiras, em face do espaço deixado pelos medicamentos que foram para o “pulmão”. Em seguida, o cartão </w:t>
      </w:r>
      <w:r w:rsidRPr="000C09EA">
        <w:rPr>
          <w:rFonts w:cs="Times New Roman"/>
          <w:i/>
          <w:sz w:val="24"/>
          <w:szCs w:val="24"/>
        </w:rPr>
        <w:t xml:space="preserve">kanban </w:t>
      </w:r>
      <w:r w:rsidRPr="000C09EA">
        <w:rPr>
          <w:rFonts w:cs="Times New Roman"/>
          <w:sz w:val="24"/>
          <w:szCs w:val="24"/>
        </w:rPr>
        <w:t>foi posicionado entre o lote de consumo e o estoque de segurança, para cada um dos medicamentos. Por último, a etiqueta de identificação foi fixada à prateleira, indicando o lugar onde o medicamento deveria ser armazenado.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As ações anteriores deixaram 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apto a funcionar. Dessa forma, a última etapa consistiu no treinamento dos colaboradores da CAF e um período de operação assistida: observação </w:t>
      </w:r>
      <w:r w:rsidRPr="000C09EA">
        <w:rPr>
          <w:rFonts w:cs="Times New Roman"/>
          <w:i/>
          <w:sz w:val="24"/>
          <w:szCs w:val="24"/>
        </w:rPr>
        <w:t>in loco</w:t>
      </w:r>
      <w:r w:rsidRPr="000C09EA">
        <w:rPr>
          <w:rFonts w:cs="Times New Roman"/>
          <w:sz w:val="24"/>
          <w:szCs w:val="24"/>
        </w:rPr>
        <w:t xml:space="preserve"> do novo processo, durante alguns dias, a fim de garantir a sua correta execução. </w:t>
      </w:r>
    </w:p>
    <w:p w:rsidR="00252117" w:rsidRPr="000C09EA" w:rsidRDefault="00252117" w:rsidP="000C09EA">
      <w:pPr>
        <w:rPr>
          <w:rFonts w:cs="Times New Roman"/>
          <w:szCs w:val="24"/>
        </w:rPr>
      </w:pPr>
    </w:p>
    <w:p w:rsidR="00252117" w:rsidRPr="000C09EA" w:rsidRDefault="00252117" w:rsidP="000C09EA">
      <w:pPr>
        <w:pStyle w:val="ABNTTtulos"/>
        <w:numPr>
          <w:ilvl w:val="0"/>
          <w:numId w:val="5"/>
        </w:numPr>
        <w:ind w:left="0" w:firstLine="0"/>
        <w:rPr>
          <w:rFonts w:cs="Times New Roman"/>
          <w:szCs w:val="24"/>
        </w:rPr>
      </w:pPr>
      <w:r w:rsidRPr="000C09EA">
        <w:rPr>
          <w:rFonts w:cs="Times New Roman"/>
          <w:szCs w:val="24"/>
        </w:rPr>
        <w:lastRenderedPageBreak/>
        <w:t>Avaliação dos resultados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Como resumo das entregas da implantação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no hospital, tem-se: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430 medicamentos incluídos no sistema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 xml:space="preserve">, cada um com cartão e etiqueta de </w:t>
      </w:r>
      <w:proofErr w:type="gramStart"/>
      <w:r w:rsidRPr="000C09EA">
        <w:rPr>
          <w:rFonts w:ascii="Times New Roman" w:hAnsi="Times New Roman" w:cs="Times New Roman"/>
          <w:sz w:val="24"/>
          <w:szCs w:val="24"/>
        </w:rPr>
        <w:t>identificação confeccionados</w:t>
      </w:r>
      <w:proofErr w:type="gramEnd"/>
      <w:r w:rsidRPr="000C09EA">
        <w:rPr>
          <w:rFonts w:ascii="Times New Roman" w:hAnsi="Times New Roman" w:cs="Times New Roman"/>
          <w:sz w:val="24"/>
          <w:szCs w:val="24"/>
        </w:rPr>
        <w:t>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Instalação do quadro </w:t>
      </w:r>
      <w:r w:rsidRPr="00657774">
        <w:rPr>
          <w:rFonts w:ascii="Times New Roman" w:hAnsi="Times New Roman" w:cs="Times New Roman"/>
          <w:i/>
          <w:sz w:val="24"/>
          <w:szCs w:val="24"/>
        </w:rPr>
        <w:t>kanban</w:t>
      </w:r>
      <w:r w:rsidRPr="000C09EA">
        <w:rPr>
          <w:rFonts w:ascii="Times New Roman" w:hAnsi="Times New Roman" w:cs="Times New Roman"/>
          <w:sz w:val="24"/>
          <w:szCs w:val="24"/>
        </w:rPr>
        <w:t>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100% dos colaboradores treinados.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Durante a implantação, foram registrados todos os medicamentos unitarizados cuja quantidade em estoque encontrava-se acima do lote semanal, caracterizando um desperdício de superprodução, ou abaixo do estoque de segurança, gerando falta de medicamento. Os dados estão apresentados no quadro 2 e no gráfico 4.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30" w:name="_Toc466620633"/>
      <w:r w:rsidRPr="000C09EA">
        <w:rPr>
          <w:rFonts w:ascii="Times New Roman" w:hAnsi="Times New Roman" w:cs="Times New Roman"/>
        </w:rPr>
        <w:t>Quadro 2 - Quantitativo de medicamentos fora da faixa de lote semanal</w:t>
      </w:r>
      <w:bookmarkEnd w:id="30"/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AEF407C" wp14:editId="07899F28">
            <wp:extent cx="3857625" cy="18192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bookmarkStart w:id="31" w:name="_Toc467356356"/>
      <w:r w:rsidRPr="000C09EA">
        <w:rPr>
          <w:rFonts w:ascii="Times New Roman" w:hAnsi="Times New Roman" w:cs="Times New Roman"/>
        </w:rPr>
        <w:t xml:space="preserve">Gráfico </w:t>
      </w:r>
      <w:r w:rsidRPr="000C09EA">
        <w:rPr>
          <w:rFonts w:ascii="Times New Roman" w:hAnsi="Times New Roman" w:cs="Times New Roman"/>
        </w:rPr>
        <w:fldChar w:fldCharType="begin"/>
      </w:r>
      <w:r w:rsidRPr="000C09EA">
        <w:rPr>
          <w:rFonts w:ascii="Times New Roman" w:hAnsi="Times New Roman" w:cs="Times New Roman"/>
        </w:rPr>
        <w:instrText xml:space="preserve"> SEQ Gráfico \* ARABIC </w:instrText>
      </w:r>
      <w:r w:rsidRPr="000C09EA">
        <w:rPr>
          <w:rFonts w:ascii="Times New Roman" w:hAnsi="Times New Roman" w:cs="Times New Roman"/>
        </w:rPr>
        <w:fldChar w:fldCharType="separate"/>
      </w:r>
      <w:r w:rsidRPr="000C09EA">
        <w:rPr>
          <w:rFonts w:ascii="Times New Roman" w:hAnsi="Times New Roman" w:cs="Times New Roman"/>
          <w:noProof/>
        </w:rPr>
        <w:t>4</w:t>
      </w:r>
      <w:r w:rsidRPr="000C09EA">
        <w:rPr>
          <w:rFonts w:ascii="Times New Roman" w:hAnsi="Times New Roman" w:cs="Times New Roman"/>
          <w:noProof/>
        </w:rPr>
        <w:fldChar w:fldCharType="end"/>
      </w:r>
      <w:r w:rsidRPr="000C09EA">
        <w:rPr>
          <w:rFonts w:ascii="Times New Roman" w:hAnsi="Times New Roman" w:cs="Times New Roman"/>
        </w:rPr>
        <w:t xml:space="preserve"> - </w:t>
      </w:r>
      <w:proofErr w:type="gramStart"/>
      <w:r w:rsidRPr="000C09EA">
        <w:rPr>
          <w:rFonts w:ascii="Times New Roman" w:hAnsi="Times New Roman" w:cs="Times New Roman"/>
        </w:rPr>
        <w:t>Percentual de medicamentos fora da faixa de lote semanal</w:t>
      </w:r>
      <w:bookmarkEnd w:id="31"/>
      <w:proofErr w:type="gramEnd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45AB674C" wp14:editId="5BA69710">
            <wp:extent cx="4438650" cy="2047164"/>
            <wp:effectExtent l="0" t="0" r="0" b="10795"/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661B60" w:rsidRDefault="00252117" w:rsidP="00661B60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bookmarkStart w:id="32" w:name="_Toc466227022"/>
      <w:r w:rsidRPr="00661B60">
        <w:rPr>
          <w:rFonts w:cs="Times New Roman"/>
          <w:sz w:val="24"/>
          <w:szCs w:val="24"/>
        </w:rPr>
        <w:lastRenderedPageBreak/>
        <w:t xml:space="preserve">Como resultado da implantação do sistema </w:t>
      </w:r>
      <w:r w:rsidRPr="00661B60">
        <w:rPr>
          <w:rFonts w:cs="Times New Roman"/>
          <w:i/>
          <w:sz w:val="24"/>
          <w:szCs w:val="24"/>
        </w:rPr>
        <w:t>kanban</w:t>
      </w:r>
      <w:r w:rsidRPr="00661B60">
        <w:rPr>
          <w:rFonts w:cs="Times New Roman"/>
          <w:sz w:val="24"/>
          <w:szCs w:val="24"/>
        </w:rPr>
        <w:t xml:space="preserve">, o percentual de 41% subiu para 100% do estoque de medicamentos unitarizados incluídos no horizonte de uma semana. </w:t>
      </w:r>
    </w:p>
    <w:p w:rsidR="0059077A" w:rsidRDefault="00252117" w:rsidP="00177416">
      <w:pPr>
        <w:pStyle w:val="SemEspaamento"/>
        <w:spacing w:line="360" w:lineRule="auto"/>
        <w:jc w:val="both"/>
        <w:rPr>
          <w:rFonts w:eastAsiaTheme="minorHAnsi" w:cs="Times New Roman"/>
          <w:szCs w:val="24"/>
        </w:rPr>
      </w:pPr>
      <w:r w:rsidRPr="000C09EA">
        <w:rPr>
          <w:rFonts w:cs="Times New Roman"/>
          <w:sz w:val="24"/>
          <w:szCs w:val="24"/>
        </w:rPr>
        <w:t xml:space="preserve">Conforme comentado anteriormente, a produção da CAF </w:t>
      </w:r>
      <w:proofErr w:type="spellStart"/>
      <w:r w:rsidRPr="000C09EA">
        <w:rPr>
          <w:rFonts w:cs="Times New Roman"/>
          <w:sz w:val="24"/>
          <w:szCs w:val="24"/>
        </w:rPr>
        <w:t>unitarizava</w:t>
      </w:r>
      <w:proofErr w:type="spellEnd"/>
      <w:r w:rsidRPr="000C09EA">
        <w:rPr>
          <w:rFonts w:cs="Times New Roman"/>
          <w:sz w:val="24"/>
          <w:szCs w:val="24"/>
        </w:rPr>
        <w:t xml:space="preserve"> todos os medicamentos comprados para o mês. O gráfico 5 compara a demanda média de produção antes e depois da implantação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. A demanda antiga foi mensurada realizando-se uma média do somatório de unidades de medicamentos adquiridas nos doze meses anteriores ao estudo. A nova demanda consiste na totalização dos lotes de produção estabelecidos com 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, também em um horizonte mensal.</w:t>
      </w:r>
      <w:bookmarkStart w:id="33" w:name="_Toc467356357"/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 xml:space="preserve">Gráfico </w:t>
      </w:r>
      <w:r w:rsidRPr="000C09EA">
        <w:rPr>
          <w:rFonts w:ascii="Times New Roman" w:hAnsi="Times New Roman" w:cs="Times New Roman"/>
        </w:rPr>
        <w:fldChar w:fldCharType="begin"/>
      </w:r>
      <w:r w:rsidRPr="000C09EA">
        <w:rPr>
          <w:rFonts w:ascii="Times New Roman" w:hAnsi="Times New Roman" w:cs="Times New Roman"/>
        </w:rPr>
        <w:instrText xml:space="preserve"> SEQ Gráfico \* ARABIC </w:instrText>
      </w:r>
      <w:r w:rsidRPr="000C09EA">
        <w:rPr>
          <w:rFonts w:ascii="Times New Roman" w:hAnsi="Times New Roman" w:cs="Times New Roman"/>
        </w:rPr>
        <w:fldChar w:fldCharType="separate"/>
      </w:r>
      <w:r w:rsidRPr="000C09EA">
        <w:rPr>
          <w:rFonts w:ascii="Times New Roman" w:hAnsi="Times New Roman" w:cs="Times New Roman"/>
          <w:noProof/>
        </w:rPr>
        <w:t>5</w:t>
      </w:r>
      <w:r w:rsidRPr="000C09EA">
        <w:rPr>
          <w:rFonts w:ascii="Times New Roman" w:hAnsi="Times New Roman" w:cs="Times New Roman"/>
          <w:noProof/>
        </w:rPr>
        <w:fldChar w:fldCharType="end"/>
      </w:r>
      <w:r w:rsidRPr="000C09EA">
        <w:rPr>
          <w:rFonts w:ascii="Times New Roman" w:hAnsi="Times New Roman" w:cs="Times New Roman"/>
        </w:rPr>
        <w:t xml:space="preserve"> - Comparativo de demanda entre os modelos empurrado e puxado</w:t>
      </w:r>
      <w:bookmarkEnd w:id="33"/>
    </w:p>
    <w:p w:rsidR="00252117" w:rsidRPr="000C09EA" w:rsidRDefault="00252117" w:rsidP="000C09EA">
      <w:pPr>
        <w:pStyle w:val="SemEspaamento"/>
        <w:spacing w:line="360" w:lineRule="auto"/>
        <w:jc w:val="center"/>
        <w:rPr>
          <w:rFonts w:cs="Times New Roman"/>
        </w:rPr>
      </w:pPr>
      <w:r w:rsidRPr="000C09EA">
        <w:rPr>
          <w:rFonts w:cs="Times New Roman"/>
          <w:noProof/>
          <w:lang w:eastAsia="pt-BR"/>
        </w:rPr>
        <w:drawing>
          <wp:inline distT="0" distB="0" distL="0" distR="0" wp14:anchorId="20FE3374" wp14:editId="5308BF88">
            <wp:extent cx="4135272" cy="2006221"/>
            <wp:effectExtent l="0" t="0" r="17780" b="13335"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2117" w:rsidRPr="000C09EA" w:rsidRDefault="00252117" w:rsidP="000C09EA">
      <w:pPr>
        <w:pStyle w:val="Ttulo"/>
        <w:spacing w:after="120" w:line="360" w:lineRule="auto"/>
        <w:jc w:val="center"/>
        <w:rPr>
          <w:rFonts w:ascii="Times New Roman" w:hAnsi="Times New Roman" w:cs="Times New Roman"/>
        </w:rPr>
      </w:pPr>
      <w:r w:rsidRPr="000C09EA">
        <w:rPr>
          <w:rFonts w:ascii="Times New Roman" w:hAnsi="Times New Roman" w:cs="Times New Roman"/>
        </w:rPr>
        <w:t>Fonte: Autor</w:t>
      </w:r>
      <w:r w:rsidR="00D908FB">
        <w:rPr>
          <w:rFonts w:ascii="Times New Roman" w:hAnsi="Times New Roman" w:cs="Times New Roman"/>
        </w:rPr>
        <w:t>es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>Com base nesses dados, a implantação conquistou os seguintes ganhos: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Aumento do giro do estoque de medicamentos unitarizados;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Mitigação do risco de falta de medicamento para as unidades;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Autonomia para a produção, totalmente gerenciada a partir da gestão visual, conferindo à farmacêutica apenas a responsabilidade de supervisionar e dando possibilidade à equipe de assumir outras demandas da CAF;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Mitigação do risco de vencimento dos medicamentos, de avarias e de impossibilidade de troca com fornecedor ou outros hospitais;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>Real conhecimento da demanda, a fim de ajustar a rotina de compras de medicamentos o que possivelmente refletirá no capital empatado em estoque na CAF;</w:t>
      </w:r>
    </w:p>
    <w:p w:rsidR="00252117" w:rsidRPr="000C09EA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lastRenderedPageBreak/>
        <w:t>Ganho de 18,75% de espaço físico nos armários que comportam os medicamentos unitarizados;</w:t>
      </w:r>
    </w:p>
    <w:p w:rsidR="00252117" w:rsidRDefault="00252117" w:rsidP="00520B57">
      <w:pPr>
        <w:pStyle w:val="Lista"/>
        <w:numPr>
          <w:ilvl w:val="0"/>
          <w:numId w:val="6"/>
        </w:numPr>
        <w:spacing w:before="0" w:beforeAutospacing="0" w:after="120" w:afterAutospacing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09EA">
        <w:rPr>
          <w:rFonts w:ascii="Times New Roman" w:hAnsi="Times New Roman" w:cs="Times New Roman"/>
          <w:sz w:val="24"/>
          <w:szCs w:val="24"/>
        </w:rPr>
        <w:t xml:space="preserve">Redução do </w:t>
      </w:r>
      <w:r w:rsidRPr="00FA0338">
        <w:rPr>
          <w:rFonts w:ascii="Times New Roman" w:hAnsi="Times New Roman" w:cs="Times New Roman"/>
          <w:i/>
          <w:sz w:val="24"/>
          <w:szCs w:val="24"/>
        </w:rPr>
        <w:t>lead time</w:t>
      </w:r>
      <w:r w:rsidRPr="000C09EA">
        <w:rPr>
          <w:rFonts w:ascii="Times New Roman" w:hAnsi="Times New Roman" w:cs="Times New Roman"/>
          <w:sz w:val="24"/>
          <w:szCs w:val="24"/>
        </w:rPr>
        <w:t xml:space="preserve"> de produção por passar a produzir em lotes pequenos.</w:t>
      </w:r>
    </w:p>
    <w:p w:rsidR="00E16FCB" w:rsidRDefault="00E16FCB" w:rsidP="00E16FCB"/>
    <w:p w:rsidR="00252117" w:rsidRPr="000C09EA" w:rsidRDefault="00252117" w:rsidP="000C09EA">
      <w:pPr>
        <w:pStyle w:val="ABNTTtulos"/>
        <w:numPr>
          <w:ilvl w:val="0"/>
          <w:numId w:val="5"/>
        </w:numPr>
        <w:ind w:left="0" w:firstLine="0"/>
        <w:rPr>
          <w:rFonts w:cs="Times New Roman"/>
          <w:szCs w:val="24"/>
        </w:rPr>
      </w:pPr>
      <w:bookmarkStart w:id="34" w:name="_Toc466564486"/>
      <w:r w:rsidRPr="000C09EA">
        <w:rPr>
          <w:rFonts w:cs="Times New Roman"/>
          <w:szCs w:val="24"/>
        </w:rPr>
        <w:t>Conclusões</w:t>
      </w:r>
      <w:bookmarkEnd w:id="34"/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Este estudo objetivou o desenvolvimento da transformação do processo de unitarização de medicamentos de um hospital de grande porte do estado do Ceará, através de ferramentas que visem à eliminação de desperdícios e agregação de valor ao cliente. 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Entende-se que a implantação do sistema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 xml:space="preserve"> atingiu este objetivo, pois transformou o processo de unitarização do hospital, abandonando um modelo empurrado e adotando um modelo com características puxadas. O </w:t>
      </w:r>
      <w:r w:rsidRPr="000C09EA">
        <w:rPr>
          <w:rFonts w:cs="Times New Roman"/>
          <w:i/>
          <w:sz w:val="24"/>
          <w:szCs w:val="24"/>
        </w:rPr>
        <w:t>kanban</w:t>
      </w:r>
      <w:r w:rsidRPr="000C09EA">
        <w:rPr>
          <w:rFonts w:cs="Times New Roman"/>
          <w:sz w:val="24"/>
          <w:szCs w:val="24"/>
        </w:rPr>
        <w:t>, enquanto ferramenta</w:t>
      </w:r>
      <w:proofErr w:type="gramStart"/>
      <w:r w:rsidRPr="000C09EA">
        <w:rPr>
          <w:rFonts w:cs="Times New Roman"/>
          <w:sz w:val="24"/>
          <w:szCs w:val="24"/>
        </w:rPr>
        <w:t>, esteve</w:t>
      </w:r>
      <w:proofErr w:type="gramEnd"/>
      <w:r w:rsidRPr="000C09EA">
        <w:rPr>
          <w:rFonts w:cs="Times New Roman"/>
          <w:sz w:val="24"/>
          <w:szCs w:val="24"/>
        </w:rPr>
        <w:t xml:space="preserve"> alinhado com o objetivo do trabalho uma vez que, conforme fora discutido da revisão teórica, é uma ferramenta d</w:t>
      </w:r>
      <w:r w:rsidR="0071721F">
        <w:rPr>
          <w:rFonts w:cs="Times New Roman"/>
          <w:sz w:val="24"/>
          <w:szCs w:val="24"/>
        </w:rPr>
        <w:t>o</w:t>
      </w:r>
      <w:r w:rsidRPr="000C09EA">
        <w:rPr>
          <w:rFonts w:cs="Times New Roman"/>
          <w:sz w:val="24"/>
          <w:szCs w:val="24"/>
        </w:rPr>
        <w:t xml:space="preserve"> </w:t>
      </w:r>
      <w:r w:rsidRPr="000C09EA">
        <w:rPr>
          <w:rFonts w:cs="Times New Roman"/>
          <w:i/>
          <w:sz w:val="24"/>
          <w:szCs w:val="24"/>
        </w:rPr>
        <w:t>lean</w:t>
      </w:r>
      <w:r w:rsidRPr="000C09EA">
        <w:rPr>
          <w:rFonts w:cs="Times New Roman"/>
          <w:sz w:val="24"/>
          <w:szCs w:val="24"/>
        </w:rPr>
        <w:t>, o qual traz dentre seus principais propósitos a eliminação de desperdícios e incremento de qualidade percebida pelo cliente.</w:t>
      </w:r>
    </w:p>
    <w:p w:rsidR="00252117" w:rsidRPr="000C09EA" w:rsidRDefault="00252117" w:rsidP="000C09EA">
      <w:pPr>
        <w:pStyle w:val="SemEspaamento"/>
        <w:spacing w:line="360" w:lineRule="auto"/>
        <w:jc w:val="both"/>
        <w:rPr>
          <w:rFonts w:cs="Times New Roman"/>
          <w:sz w:val="24"/>
          <w:szCs w:val="24"/>
        </w:rPr>
      </w:pPr>
      <w:r w:rsidRPr="000C09EA">
        <w:rPr>
          <w:rFonts w:cs="Times New Roman"/>
          <w:sz w:val="24"/>
          <w:szCs w:val="24"/>
        </w:rPr>
        <w:t xml:space="preserve">Com relação a sugestões para trabalhos futuros, no tocante ao estudo e análise do processo, recomenda-se </w:t>
      </w:r>
      <w:r w:rsidR="0071721F">
        <w:rPr>
          <w:rFonts w:cs="Times New Roman"/>
          <w:sz w:val="24"/>
          <w:szCs w:val="24"/>
        </w:rPr>
        <w:t xml:space="preserve">o </w:t>
      </w:r>
      <w:r w:rsidRPr="000C09EA">
        <w:rPr>
          <w:rFonts w:cs="Times New Roman"/>
          <w:sz w:val="24"/>
          <w:szCs w:val="24"/>
        </w:rPr>
        <w:t>uso de técnicas de simulação para avaliar os impactos positivos e negativos da transformação do processo. Verifica-se a possibilidade de associar estudos de tempos e métodos à transformação do processo, bem como a construção de indicadores para posterior monitoramento.</w:t>
      </w:r>
      <w:bookmarkEnd w:id="4"/>
      <w:bookmarkEnd w:id="32"/>
    </w:p>
    <w:p w:rsidR="00252117" w:rsidRPr="00804D72" w:rsidRDefault="00252117" w:rsidP="00804D72"/>
    <w:p w:rsidR="00252117" w:rsidRPr="000C09EA" w:rsidRDefault="00252117" w:rsidP="000C09EA">
      <w:pPr>
        <w:pStyle w:val="SemEspaamento"/>
        <w:spacing w:line="360" w:lineRule="auto"/>
        <w:rPr>
          <w:rFonts w:cs="Times New Roman"/>
          <w:b/>
          <w:sz w:val="24"/>
          <w:szCs w:val="24"/>
        </w:rPr>
      </w:pPr>
      <w:r w:rsidRPr="000C09EA">
        <w:rPr>
          <w:rFonts w:cs="Times New Roman"/>
          <w:b/>
          <w:sz w:val="24"/>
          <w:szCs w:val="24"/>
        </w:rPr>
        <w:t>REFERÊNCIAS</w:t>
      </w:r>
    </w:p>
    <w:p w:rsidR="00252117" w:rsidRPr="00D84A22" w:rsidRDefault="00252117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ANAHP. </w:t>
      </w:r>
      <w:r w:rsidRPr="00D84A22">
        <w:rPr>
          <w:rFonts w:cs="Times New Roman"/>
          <w:b/>
          <w:sz w:val="24"/>
          <w:szCs w:val="24"/>
        </w:rPr>
        <w:t xml:space="preserve">Observatório </w:t>
      </w:r>
      <w:proofErr w:type="spellStart"/>
      <w:r w:rsidRPr="00D84A22">
        <w:rPr>
          <w:rFonts w:cs="Times New Roman"/>
          <w:b/>
          <w:sz w:val="24"/>
          <w:szCs w:val="24"/>
        </w:rPr>
        <w:t>Anahp</w:t>
      </w:r>
      <w:proofErr w:type="spellEnd"/>
      <w:r w:rsidRPr="00D84A22">
        <w:rPr>
          <w:rFonts w:cs="Times New Roman"/>
          <w:b/>
          <w:sz w:val="24"/>
          <w:szCs w:val="24"/>
        </w:rPr>
        <w:t xml:space="preserve"> 2016.</w:t>
      </w:r>
      <w:r w:rsidRPr="00D84A22">
        <w:rPr>
          <w:rFonts w:cs="Times New Roman"/>
          <w:sz w:val="24"/>
          <w:szCs w:val="24"/>
        </w:rPr>
        <w:t xml:space="preserve"> Associação Nacional de Hospitais Privados, v.8, p.141-142, 2016. Disponível em: &lt; http://anahp.com.br/produtos-anahp/observatorio/observatorio-2016&gt;. Acesso em: 10 set. 2016.</w:t>
      </w:r>
    </w:p>
    <w:p w:rsidR="0071721F" w:rsidRPr="00D84A22" w:rsidRDefault="0071721F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</w:p>
    <w:p w:rsidR="0071721F" w:rsidRPr="00D84A22" w:rsidRDefault="0071721F" w:rsidP="0071721F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BALLOU, Ronald H. </w:t>
      </w:r>
      <w:r w:rsidRPr="00D84A22">
        <w:rPr>
          <w:rFonts w:cs="Times New Roman"/>
          <w:b/>
          <w:sz w:val="24"/>
          <w:szCs w:val="24"/>
        </w:rPr>
        <w:t>Gerenciamento da cadeia de suprimentos/logística empresarial.</w:t>
      </w:r>
      <w:r w:rsidRPr="00D84A22">
        <w:rPr>
          <w:rFonts w:cs="Times New Roman"/>
          <w:sz w:val="24"/>
          <w:szCs w:val="24"/>
        </w:rPr>
        <w:t xml:space="preserve"> 5. </w:t>
      </w:r>
      <w:proofErr w:type="gramStart"/>
      <w:r w:rsidRPr="00D84A22">
        <w:rPr>
          <w:rFonts w:cs="Times New Roman"/>
          <w:sz w:val="24"/>
          <w:szCs w:val="24"/>
        </w:rPr>
        <w:t>ed.</w:t>
      </w:r>
      <w:proofErr w:type="gramEnd"/>
      <w:r w:rsidRPr="00D84A22">
        <w:rPr>
          <w:rFonts w:cs="Times New Roman"/>
          <w:sz w:val="24"/>
          <w:szCs w:val="24"/>
        </w:rPr>
        <w:t xml:space="preserve"> Porto Alegre : </w:t>
      </w:r>
      <w:proofErr w:type="spellStart"/>
      <w:r w:rsidRPr="00D84A22">
        <w:rPr>
          <w:rFonts w:cs="Times New Roman"/>
          <w:sz w:val="24"/>
          <w:szCs w:val="24"/>
        </w:rPr>
        <w:t>Bookman</w:t>
      </w:r>
      <w:proofErr w:type="spellEnd"/>
      <w:r w:rsidRPr="00D84A22">
        <w:rPr>
          <w:rFonts w:cs="Times New Roman"/>
          <w:sz w:val="24"/>
          <w:szCs w:val="24"/>
        </w:rPr>
        <w:t>, 2006. 616 p.</w:t>
      </w:r>
    </w:p>
    <w:p w:rsidR="0071721F" w:rsidRPr="00D84A22" w:rsidRDefault="0071721F" w:rsidP="0071721F">
      <w:pPr>
        <w:pStyle w:val="SemEspaamento"/>
        <w:spacing w:after="0"/>
        <w:jc w:val="both"/>
        <w:rPr>
          <w:rFonts w:cs="Times New Roman"/>
          <w:sz w:val="24"/>
          <w:szCs w:val="24"/>
        </w:rPr>
      </w:pPr>
    </w:p>
    <w:p w:rsidR="0071721F" w:rsidRPr="00D84A22" w:rsidRDefault="0071721F" w:rsidP="0071721F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BERTANI, Thiago Moreno. </w:t>
      </w:r>
      <w:r w:rsidRPr="00D84A22">
        <w:rPr>
          <w:rFonts w:cs="Times New Roman"/>
          <w:b/>
          <w:sz w:val="24"/>
          <w:szCs w:val="24"/>
        </w:rPr>
        <w:t>Lean healthcare:</w:t>
      </w:r>
      <w:r w:rsidRPr="00D84A22">
        <w:rPr>
          <w:rFonts w:cs="Times New Roman"/>
          <w:sz w:val="24"/>
          <w:szCs w:val="24"/>
        </w:rPr>
        <w:t xml:space="preserve"> recomendações para implantações dos conceitos de produção enxuta em ambientes hospitalares. Dissertação (Mestrado em Engenharia de Produção) – Universidade de São Paulo. 2012. Acesso em: &lt; </w:t>
      </w:r>
      <w:r w:rsidRPr="00D84A22">
        <w:rPr>
          <w:rFonts w:cs="Times New Roman"/>
          <w:sz w:val="24"/>
          <w:szCs w:val="24"/>
        </w:rPr>
        <w:lastRenderedPageBreak/>
        <w:t>http://www.teses.usp.br/teses/disponiveis/18/18156/tde-29102012-235205/publico/Dissertacao_Thiago_Moreno_Bertani.pdf&gt;. Acesso em: 16 out. 2016.</w:t>
      </w:r>
    </w:p>
    <w:p w:rsidR="00252117" w:rsidRPr="00D84A22" w:rsidRDefault="00252117" w:rsidP="000C09EA">
      <w:pPr>
        <w:spacing w:after="0" w:line="240" w:lineRule="auto"/>
        <w:rPr>
          <w:rFonts w:cs="Times New Roman"/>
          <w:szCs w:val="24"/>
        </w:rPr>
      </w:pPr>
    </w:p>
    <w:p w:rsidR="00252117" w:rsidRPr="00D84A22" w:rsidRDefault="00252117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>BOWERSOX, Donald J</w:t>
      </w:r>
      <w:proofErr w:type="gramStart"/>
      <w:r w:rsidRPr="00D84A22">
        <w:rPr>
          <w:rFonts w:cs="Times New Roman"/>
          <w:sz w:val="24"/>
          <w:szCs w:val="24"/>
        </w:rPr>
        <w:t>.;</w:t>
      </w:r>
      <w:proofErr w:type="gramEnd"/>
      <w:r w:rsidRPr="00D84A22">
        <w:rPr>
          <w:rFonts w:cs="Times New Roman"/>
          <w:sz w:val="24"/>
          <w:szCs w:val="24"/>
        </w:rPr>
        <w:t xml:space="preserve"> CLOSS, David J.; </w:t>
      </w:r>
      <w:r w:rsidRPr="00D84A22">
        <w:rPr>
          <w:rFonts w:cs="Times New Roman"/>
          <w:b/>
          <w:sz w:val="24"/>
          <w:szCs w:val="24"/>
        </w:rPr>
        <w:t>Logística empresarial:</w:t>
      </w:r>
      <w:r w:rsidRPr="00D84A22">
        <w:rPr>
          <w:rFonts w:cs="Times New Roman"/>
          <w:sz w:val="24"/>
          <w:szCs w:val="24"/>
        </w:rPr>
        <w:t xml:space="preserve"> o processo de integração </w:t>
      </w:r>
      <w:r w:rsidR="0071721F" w:rsidRPr="00D84A22">
        <w:rPr>
          <w:rFonts w:cs="Times New Roman"/>
          <w:sz w:val="24"/>
          <w:szCs w:val="24"/>
        </w:rPr>
        <w:t xml:space="preserve">da cadeia de suprimento. </w:t>
      </w:r>
      <w:r w:rsidRPr="00D84A22">
        <w:rPr>
          <w:rFonts w:cs="Times New Roman"/>
          <w:sz w:val="24"/>
          <w:szCs w:val="24"/>
        </w:rPr>
        <w:t xml:space="preserve">São </w:t>
      </w:r>
      <w:proofErr w:type="gramStart"/>
      <w:r w:rsidRPr="00D84A22">
        <w:rPr>
          <w:rFonts w:cs="Times New Roman"/>
          <w:sz w:val="24"/>
          <w:szCs w:val="24"/>
        </w:rPr>
        <w:t>Paulo :</w:t>
      </w:r>
      <w:proofErr w:type="gramEnd"/>
      <w:r w:rsidRPr="00D84A22">
        <w:rPr>
          <w:rFonts w:cs="Times New Roman"/>
          <w:sz w:val="24"/>
          <w:szCs w:val="24"/>
        </w:rPr>
        <w:t xml:space="preserve"> Atlas, 2001. 455 p.</w:t>
      </w:r>
    </w:p>
    <w:p w:rsidR="0071721F" w:rsidRPr="00D84A22" w:rsidRDefault="0071721F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</w:p>
    <w:p w:rsidR="0071721F" w:rsidRPr="00D84A22" w:rsidRDefault="0071721F" w:rsidP="0071721F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FELISBERTO, André D. </w:t>
      </w:r>
      <w:proofErr w:type="spellStart"/>
      <w:r w:rsidRPr="00D84A22">
        <w:rPr>
          <w:rFonts w:cs="Times New Roman"/>
          <w:b/>
          <w:sz w:val="24"/>
          <w:szCs w:val="24"/>
        </w:rPr>
        <w:t>Kaizen</w:t>
      </w:r>
      <w:proofErr w:type="spellEnd"/>
      <w:r w:rsidRPr="00D84A22">
        <w:rPr>
          <w:rFonts w:cs="Times New Roman"/>
          <w:b/>
          <w:sz w:val="24"/>
          <w:szCs w:val="24"/>
        </w:rPr>
        <w:t xml:space="preserve"> nas unidades hospitalares. </w:t>
      </w:r>
      <w:r w:rsidRPr="00D84A22">
        <w:rPr>
          <w:rFonts w:cs="Times New Roman"/>
          <w:sz w:val="24"/>
          <w:szCs w:val="24"/>
        </w:rPr>
        <w:t>Mestrado Integrado em Engenharia Industrial e Gestão, Faculdade de Engenharia da Universidade do Porto. Porto, 2009.</w:t>
      </w:r>
    </w:p>
    <w:p w:rsidR="00252117" w:rsidRPr="00D84A22" w:rsidRDefault="00252117" w:rsidP="000C09EA">
      <w:pPr>
        <w:spacing w:after="0" w:line="240" w:lineRule="auto"/>
        <w:rPr>
          <w:rFonts w:cs="Times New Roman"/>
          <w:szCs w:val="24"/>
        </w:rPr>
      </w:pPr>
    </w:p>
    <w:p w:rsidR="00252117" w:rsidRPr="00D84A22" w:rsidRDefault="00252117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GOMES, Maria José Vasconcelos de Magalhães; REIS, Adriano Max Moreira. </w:t>
      </w:r>
      <w:r w:rsidRPr="00D84A22">
        <w:rPr>
          <w:rFonts w:cs="Times New Roman"/>
          <w:b/>
          <w:sz w:val="24"/>
          <w:szCs w:val="24"/>
        </w:rPr>
        <w:t>Ciências farmacêuticas:</w:t>
      </w:r>
      <w:r w:rsidRPr="00D84A22">
        <w:rPr>
          <w:rFonts w:cs="Times New Roman"/>
          <w:sz w:val="24"/>
          <w:szCs w:val="24"/>
        </w:rPr>
        <w:t xml:space="preserve"> uma abordagem em farmácia hospitalar. 1. </w:t>
      </w:r>
      <w:proofErr w:type="gramStart"/>
      <w:r w:rsidRPr="00D84A22">
        <w:rPr>
          <w:rFonts w:cs="Times New Roman"/>
          <w:sz w:val="24"/>
          <w:szCs w:val="24"/>
        </w:rPr>
        <w:t>ed.</w:t>
      </w:r>
      <w:proofErr w:type="gramEnd"/>
      <w:r w:rsidRPr="00D84A22">
        <w:rPr>
          <w:rFonts w:cs="Times New Roman"/>
          <w:sz w:val="24"/>
          <w:szCs w:val="24"/>
        </w:rPr>
        <w:t xml:space="preserve"> São Paulo : Editora Atheneu, 2003. </w:t>
      </w:r>
      <w:proofErr w:type="gramStart"/>
      <w:r w:rsidRPr="00D84A22">
        <w:rPr>
          <w:rFonts w:cs="Times New Roman"/>
          <w:sz w:val="24"/>
          <w:szCs w:val="24"/>
        </w:rPr>
        <w:t>p.</w:t>
      </w:r>
      <w:proofErr w:type="gramEnd"/>
      <w:r w:rsidRPr="00D84A22">
        <w:rPr>
          <w:rFonts w:cs="Times New Roman"/>
          <w:sz w:val="24"/>
          <w:szCs w:val="24"/>
        </w:rPr>
        <w:t xml:space="preserve"> 365-386.</w:t>
      </w:r>
    </w:p>
    <w:p w:rsidR="00252117" w:rsidRPr="00D84A22" w:rsidRDefault="00252117" w:rsidP="000C09EA">
      <w:pPr>
        <w:spacing w:after="0" w:line="240" w:lineRule="auto"/>
        <w:rPr>
          <w:rFonts w:cs="Times New Roman"/>
          <w:szCs w:val="24"/>
        </w:rPr>
      </w:pPr>
    </w:p>
    <w:p w:rsidR="00252117" w:rsidRPr="00D84A22" w:rsidRDefault="00252117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LEAN INSTITUTE BRASIL. O que é lean. </w:t>
      </w:r>
      <w:r w:rsidRPr="00D84A22">
        <w:rPr>
          <w:rFonts w:cs="Times New Roman"/>
          <w:b/>
          <w:sz w:val="24"/>
          <w:szCs w:val="24"/>
        </w:rPr>
        <w:t>Definição.</w:t>
      </w:r>
      <w:r w:rsidRPr="00D84A22">
        <w:rPr>
          <w:rFonts w:cs="Times New Roman"/>
          <w:sz w:val="24"/>
          <w:szCs w:val="24"/>
        </w:rPr>
        <w:t xml:space="preserve"> Disponível em: &lt; </w:t>
      </w:r>
      <w:proofErr w:type="gramStart"/>
      <w:r w:rsidRPr="00D84A22">
        <w:rPr>
          <w:rFonts w:cs="Times New Roman"/>
          <w:sz w:val="24"/>
          <w:szCs w:val="24"/>
        </w:rPr>
        <w:t>http://www.lean.org.br/o-que-e-lean.</w:t>
      </w:r>
      <w:proofErr w:type="gramEnd"/>
      <w:r w:rsidRPr="00D84A22">
        <w:rPr>
          <w:rFonts w:cs="Times New Roman"/>
          <w:sz w:val="24"/>
          <w:szCs w:val="24"/>
        </w:rPr>
        <w:t>aspx&gt;. Acesso em: 16 out. 2016.</w:t>
      </w:r>
    </w:p>
    <w:p w:rsidR="00252117" w:rsidRPr="00D84A22" w:rsidRDefault="00252117" w:rsidP="000C09EA">
      <w:pPr>
        <w:spacing w:after="0" w:line="240" w:lineRule="auto"/>
        <w:rPr>
          <w:rFonts w:cs="Times New Roman"/>
          <w:szCs w:val="24"/>
        </w:rPr>
      </w:pPr>
    </w:p>
    <w:p w:rsidR="0071721F" w:rsidRPr="00D84A22" w:rsidRDefault="0071721F" w:rsidP="0071721F">
      <w:pPr>
        <w:spacing w:after="0" w:line="240" w:lineRule="auto"/>
        <w:rPr>
          <w:rFonts w:cs="Times New Roman"/>
          <w:bCs/>
          <w:szCs w:val="24"/>
        </w:rPr>
      </w:pPr>
      <w:r w:rsidRPr="00D84A22">
        <w:rPr>
          <w:rFonts w:cs="Times New Roman"/>
          <w:bCs/>
          <w:szCs w:val="24"/>
        </w:rPr>
        <w:t xml:space="preserve">MEDEIROS, Saulo Emmanuel Rocha </w:t>
      </w:r>
      <w:proofErr w:type="gramStart"/>
      <w:r w:rsidRPr="00D84A22">
        <w:rPr>
          <w:rFonts w:cs="Times New Roman"/>
          <w:bCs/>
          <w:szCs w:val="24"/>
        </w:rPr>
        <w:t>et</w:t>
      </w:r>
      <w:proofErr w:type="gramEnd"/>
      <w:r w:rsidRPr="00D84A22">
        <w:rPr>
          <w:rFonts w:cs="Times New Roman"/>
          <w:bCs/>
          <w:szCs w:val="24"/>
        </w:rPr>
        <w:t xml:space="preserve"> al. </w:t>
      </w:r>
      <w:r w:rsidRPr="00D84A22">
        <w:rPr>
          <w:rFonts w:cs="Times New Roman"/>
          <w:b/>
          <w:bCs/>
          <w:szCs w:val="24"/>
        </w:rPr>
        <w:t xml:space="preserve">Logística hospitalar: </w:t>
      </w:r>
      <w:r w:rsidRPr="00D84A22">
        <w:rPr>
          <w:rFonts w:cs="Times New Roman"/>
          <w:bCs/>
          <w:szCs w:val="24"/>
        </w:rPr>
        <w:t>um estudo sobre as atividades do setor de almoxarifado em hospital púbico. Revista de Administração da UFSM, v. 2, n. 1, 2009. Disponível em: &lt;</w:t>
      </w:r>
      <w:proofErr w:type="gramStart"/>
      <w:r w:rsidRPr="00D84A22">
        <w:rPr>
          <w:rFonts w:cs="Times New Roman"/>
          <w:bCs/>
          <w:szCs w:val="24"/>
        </w:rPr>
        <w:t>http://cascavel.ufsm.br/revistas/ojs-2.</w:t>
      </w:r>
      <w:proofErr w:type="gramEnd"/>
      <w:r w:rsidRPr="00D84A22">
        <w:rPr>
          <w:rFonts w:cs="Times New Roman"/>
          <w:bCs/>
          <w:szCs w:val="24"/>
        </w:rPr>
        <w:t>2.2/index.php/reaufsm/article/view/1278/751&gt; Acesso em: 28 set .2016</w:t>
      </w:r>
    </w:p>
    <w:p w:rsidR="0071721F" w:rsidRPr="00D84A22" w:rsidRDefault="0071721F" w:rsidP="0071721F">
      <w:pPr>
        <w:spacing w:after="0" w:line="240" w:lineRule="auto"/>
        <w:rPr>
          <w:rFonts w:cs="Times New Roman"/>
          <w:bCs/>
          <w:szCs w:val="24"/>
        </w:rPr>
      </w:pPr>
    </w:p>
    <w:p w:rsidR="0071721F" w:rsidRPr="00D84A22" w:rsidRDefault="0071721F" w:rsidP="0071721F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MURÍS, Lage Júnior. </w:t>
      </w:r>
      <w:r w:rsidRPr="00D84A22">
        <w:rPr>
          <w:rFonts w:cs="Times New Roman"/>
          <w:b/>
          <w:sz w:val="24"/>
          <w:szCs w:val="24"/>
        </w:rPr>
        <w:t xml:space="preserve">Sistema Kanban e adaptações: </w:t>
      </w:r>
      <w:r w:rsidRPr="00D84A22">
        <w:rPr>
          <w:rFonts w:cs="Times New Roman"/>
          <w:sz w:val="24"/>
          <w:szCs w:val="24"/>
        </w:rPr>
        <w:t xml:space="preserve">teoria e prática. </w:t>
      </w:r>
      <w:proofErr w:type="gramStart"/>
      <w:r w:rsidRPr="00D84A22">
        <w:rPr>
          <w:rFonts w:cs="Times New Roman"/>
          <w:sz w:val="24"/>
          <w:szCs w:val="24"/>
        </w:rPr>
        <w:t>Goiânia :</w:t>
      </w:r>
      <w:proofErr w:type="gramEnd"/>
      <w:r w:rsidRPr="00D84A22">
        <w:rPr>
          <w:rFonts w:cs="Times New Roman"/>
          <w:sz w:val="24"/>
          <w:szCs w:val="24"/>
        </w:rPr>
        <w:t xml:space="preserve"> Gráfica UFG, 2014. 152 p.</w:t>
      </w:r>
    </w:p>
    <w:p w:rsidR="0071721F" w:rsidRPr="00D84A22" w:rsidRDefault="0071721F" w:rsidP="0071721F">
      <w:pPr>
        <w:spacing w:after="0" w:line="240" w:lineRule="auto"/>
        <w:rPr>
          <w:rFonts w:cs="Times New Roman"/>
          <w:bCs/>
          <w:szCs w:val="24"/>
        </w:rPr>
      </w:pPr>
    </w:p>
    <w:p w:rsidR="0071721F" w:rsidRPr="00D84A22" w:rsidRDefault="0071721F" w:rsidP="0071721F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OHNO, </w:t>
      </w:r>
      <w:proofErr w:type="spellStart"/>
      <w:r w:rsidRPr="00D84A22">
        <w:rPr>
          <w:rFonts w:cs="Times New Roman"/>
          <w:sz w:val="24"/>
          <w:szCs w:val="24"/>
        </w:rPr>
        <w:t>Taiichi</w:t>
      </w:r>
      <w:proofErr w:type="spellEnd"/>
      <w:r w:rsidRPr="00D84A22">
        <w:rPr>
          <w:rFonts w:cs="Times New Roman"/>
          <w:sz w:val="24"/>
          <w:szCs w:val="24"/>
        </w:rPr>
        <w:t xml:space="preserve">. </w:t>
      </w:r>
      <w:r w:rsidRPr="00D84A22">
        <w:rPr>
          <w:rFonts w:cs="Times New Roman"/>
          <w:b/>
          <w:sz w:val="24"/>
          <w:szCs w:val="24"/>
        </w:rPr>
        <w:t>O Sistema Toyota de Produção:</w:t>
      </w:r>
      <w:r w:rsidRPr="00D84A22">
        <w:rPr>
          <w:rFonts w:cs="Times New Roman"/>
          <w:sz w:val="24"/>
          <w:szCs w:val="24"/>
        </w:rPr>
        <w:t xml:space="preserve"> além da produção em larga escala. Porto </w:t>
      </w:r>
      <w:proofErr w:type="gramStart"/>
      <w:r w:rsidRPr="00D84A22">
        <w:rPr>
          <w:rFonts w:cs="Times New Roman"/>
          <w:sz w:val="24"/>
          <w:szCs w:val="24"/>
        </w:rPr>
        <w:t>Alegre :</w:t>
      </w:r>
      <w:proofErr w:type="gramEnd"/>
      <w:r w:rsidRPr="00D84A22">
        <w:rPr>
          <w:rFonts w:cs="Times New Roman"/>
          <w:sz w:val="24"/>
          <w:szCs w:val="24"/>
        </w:rPr>
        <w:t xml:space="preserve"> </w:t>
      </w:r>
      <w:proofErr w:type="spellStart"/>
      <w:r w:rsidRPr="00D84A22">
        <w:rPr>
          <w:rFonts w:cs="Times New Roman"/>
          <w:sz w:val="24"/>
          <w:szCs w:val="24"/>
        </w:rPr>
        <w:t>Bookman</w:t>
      </w:r>
      <w:proofErr w:type="spellEnd"/>
      <w:r w:rsidRPr="00D84A22">
        <w:rPr>
          <w:rFonts w:cs="Times New Roman"/>
          <w:sz w:val="24"/>
          <w:szCs w:val="24"/>
        </w:rPr>
        <w:t>, 1997. 149 p.</w:t>
      </w:r>
    </w:p>
    <w:p w:rsidR="00252117" w:rsidRPr="00D84A22" w:rsidRDefault="00252117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</w:p>
    <w:p w:rsidR="00252117" w:rsidRPr="00D84A22" w:rsidRDefault="00252117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PALMA, Constantino José dos Santos Lopes. </w:t>
      </w:r>
      <w:r w:rsidRPr="00D84A22">
        <w:rPr>
          <w:rFonts w:cs="Times New Roman"/>
          <w:b/>
          <w:sz w:val="24"/>
          <w:szCs w:val="24"/>
        </w:rPr>
        <w:t>Lean healthcare:</w:t>
      </w:r>
      <w:r w:rsidRPr="00D84A22">
        <w:rPr>
          <w:rFonts w:cs="Times New Roman"/>
          <w:sz w:val="24"/>
          <w:szCs w:val="24"/>
        </w:rPr>
        <w:t xml:space="preserve"> os princípios lean aplicados nos serviços de uma unidade hospitalar. Projeto de Mestrado em Gestão de Serviços de Saúde – Instituto Universitário de Lisboa. 2012. Disponível em: &lt;</w:t>
      </w:r>
      <w:proofErr w:type="gramStart"/>
      <w:r w:rsidRPr="00D84A22">
        <w:rPr>
          <w:rFonts w:cs="Times New Roman"/>
          <w:sz w:val="24"/>
          <w:szCs w:val="24"/>
        </w:rPr>
        <w:t>https</w:t>
      </w:r>
      <w:proofErr w:type="gramEnd"/>
      <w:r w:rsidRPr="00D84A22">
        <w:rPr>
          <w:rFonts w:cs="Times New Roman"/>
          <w:sz w:val="24"/>
          <w:szCs w:val="24"/>
        </w:rPr>
        <w:t>://repositorio.iscte-iul.pt/bitstream/10071/6287/1/TESE%20LEAN%20HEALTHCARE%20vf.pdf&gt;. Acesso em: 16 out. 2016</w:t>
      </w:r>
      <w:bookmarkStart w:id="35" w:name="_GoBack"/>
      <w:bookmarkEnd w:id="35"/>
    </w:p>
    <w:p w:rsidR="0071721F" w:rsidRPr="00D84A22" w:rsidRDefault="0071721F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</w:p>
    <w:p w:rsidR="0071721F" w:rsidRPr="00D84A22" w:rsidRDefault="0071721F" w:rsidP="0071721F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SILVA, Edna Lúcia; MENEZES, </w:t>
      </w:r>
      <w:proofErr w:type="spellStart"/>
      <w:r w:rsidRPr="00D84A22">
        <w:rPr>
          <w:rFonts w:cs="Times New Roman"/>
          <w:sz w:val="24"/>
          <w:szCs w:val="24"/>
        </w:rPr>
        <w:t>Estera</w:t>
      </w:r>
      <w:proofErr w:type="spellEnd"/>
      <w:r w:rsidRPr="00D84A22">
        <w:rPr>
          <w:rFonts w:cs="Times New Roman"/>
          <w:sz w:val="24"/>
          <w:szCs w:val="24"/>
        </w:rPr>
        <w:t xml:space="preserve">. </w:t>
      </w:r>
      <w:proofErr w:type="spellStart"/>
      <w:r w:rsidRPr="00D84A22">
        <w:rPr>
          <w:rFonts w:cs="Times New Roman"/>
          <w:sz w:val="24"/>
          <w:szCs w:val="24"/>
        </w:rPr>
        <w:t>Muszkat</w:t>
      </w:r>
      <w:proofErr w:type="spellEnd"/>
      <w:r w:rsidRPr="00D84A22">
        <w:rPr>
          <w:rFonts w:cs="Times New Roman"/>
          <w:sz w:val="24"/>
          <w:szCs w:val="24"/>
        </w:rPr>
        <w:t xml:space="preserve">. </w:t>
      </w:r>
      <w:r w:rsidRPr="00D84A22">
        <w:rPr>
          <w:rFonts w:cs="Times New Roman"/>
          <w:b/>
          <w:sz w:val="24"/>
          <w:szCs w:val="24"/>
        </w:rPr>
        <w:t>Metodologia da pesquisa e elaboração de dissertação</w:t>
      </w:r>
      <w:r w:rsidRPr="00D84A22">
        <w:rPr>
          <w:rFonts w:cs="Times New Roman"/>
          <w:sz w:val="24"/>
          <w:szCs w:val="24"/>
        </w:rPr>
        <w:t xml:space="preserve">. 3. </w:t>
      </w:r>
      <w:proofErr w:type="gramStart"/>
      <w:r w:rsidRPr="00D84A22">
        <w:rPr>
          <w:rFonts w:cs="Times New Roman"/>
          <w:sz w:val="24"/>
          <w:szCs w:val="24"/>
        </w:rPr>
        <w:t>ed.</w:t>
      </w:r>
      <w:proofErr w:type="gramEnd"/>
      <w:r w:rsidRPr="00D84A22">
        <w:rPr>
          <w:rFonts w:cs="Times New Roman"/>
          <w:sz w:val="24"/>
          <w:szCs w:val="24"/>
        </w:rPr>
        <w:t xml:space="preserve"> rev. atual. Florianópolis: Laboratório de Ensino a Distância da UFSC, 2001.</w:t>
      </w:r>
    </w:p>
    <w:p w:rsidR="00252117" w:rsidRPr="00D84A22" w:rsidRDefault="00252117" w:rsidP="000C09EA">
      <w:pPr>
        <w:spacing w:after="0" w:line="240" w:lineRule="auto"/>
        <w:rPr>
          <w:rFonts w:cs="Times New Roman"/>
          <w:szCs w:val="24"/>
        </w:rPr>
      </w:pPr>
    </w:p>
    <w:p w:rsidR="00252117" w:rsidRPr="00D84A22" w:rsidRDefault="00252117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TUBINO, </w:t>
      </w:r>
      <w:proofErr w:type="spellStart"/>
      <w:r w:rsidRPr="00D84A22">
        <w:rPr>
          <w:rFonts w:cs="Times New Roman"/>
          <w:sz w:val="24"/>
          <w:szCs w:val="24"/>
        </w:rPr>
        <w:t>Dalvio</w:t>
      </w:r>
      <w:proofErr w:type="spellEnd"/>
      <w:r w:rsidRPr="00D84A22">
        <w:rPr>
          <w:rFonts w:cs="Times New Roman"/>
          <w:sz w:val="24"/>
          <w:szCs w:val="24"/>
        </w:rPr>
        <w:t xml:space="preserve"> Ferrari. </w:t>
      </w:r>
      <w:r w:rsidRPr="00D84A22">
        <w:rPr>
          <w:rFonts w:cs="Times New Roman"/>
          <w:b/>
          <w:sz w:val="24"/>
          <w:szCs w:val="24"/>
        </w:rPr>
        <w:t xml:space="preserve">Planejamento e controle da produção: </w:t>
      </w:r>
      <w:r w:rsidRPr="00D84A22">
        <w:rPr>
          <w:rFonts w:cs="Times New Roman"/>
          <w:sz w:val="24"/>
          <w:szCs w:val="24"/>
        </w:rPr>
        <w:t xml:space="preserve">teoria e prática. 2. </w:t>
      </w:r>
      <w:proofErr w:type="gramStart"/>
      <w:r w:rsidRPr="00D84A22">
        <w:rPr>
          <w:rFonts w:cs="Times New Roman"/>
          <w:sz w:val="24"/>
          <w:szCs w:val="24"/>
        </w:rPr>
        <w:t>ed.</w:t>
      </w:r>
      <w:proofErr w:type="gramEnd"/>
      <w:r w:rsidRPr="00D84A22">
        <w:rPr>
          <w:rFonts w:cs="Times New Roman"/>
          <w:sz w:val="24"/>
          <w:szCs w:val="24"/>
        </w:rPr>
        <w:t xml:space="preserve"> São Paulo : Atlas, 2009. 190 p.</w:t>
      </w:r>
    </w:p>
    <w:p w:rsidR="00252117" w:rsidRPr="00D84A22" w:rsidRDefault="00252117" w:rsidP="000C09EA">
      <w:pPr>
        <w:spacing w:after="0" w:line="240" w:lineRule="auto"/>
        <w:rPr>
          <w:rFonts w:cs="Times New Roman"/>
          <w:szCs w:val="24"/>
        </w:rPr>
      </w:pPr>
    </w:p>
    <w:p w:rsidR="0071721F" w:rsidRPr="00D84A22" w:rsidRDefault="0071721F" w:rsidP="000C09EA">
      <w:pPr>
        <w:pStyle w:val="SemEspaamento"/>
        <w:spacing w:after="0"/>
        <w:jc w:val="both"/>
        <w:rPr>
          <w:rFonts w:cs="Times New Roman"/>
          <w:sz w:val="24"/>
          <w:szCs w:val="24"/>
        </w:rPr>
      </w:pPr>
      <w:r w:rsidRPr="00D84A22">
        <w:rPr>
          <w:rFonts w:cs="Times New Roman"/>
          <w:sz w:val="24"/>
          <w:szCs w:val="24"/>
        </w:rPr>
        <w:t xml:space="preserve">WOMACK, James P.; JONES, Daniel T. </w:t>
      </w:r>
      <w:r w:rsidRPr="00D84A22">
        <w:rPr>
          <w:rFonts w:cs="Times New Roman"/>
          <w:b/>
          <w:sz w:val="24"/>
          <w:szCs w:val="24"/>
        </w:rPr>
        <w:t xml:space="preserve">A mentalidade enxuta nas empresas: </w:t>
      </w:r>
      <w:r w:rsidRPr="00D84A22">
        <w:rPr>
          <w:rFonts w:cs="Times New Roman"/>
          <w:sz w:val="24"/>
          <w:szCs w:val="24"/>
        </w:rPr>
        <w:t xml:space="preserve">elimine o desperdício e crie riqueza. Rio de </w:t>
      </w:r>
      <w:proofErr w:type="gramStart"/>
      <w:r w:rsidRPr="00D84A22">
        <w:rPr>
          <w:rFonts w:cs="Times New Roman"/>
          <w:sz w:val="24"/>
          <w:szCs w:val="24"/>
        </w:rPr>
        <w:t>Janeiro :</w:t>
      </w:r>
      <w:proofErr w:type="gramEnd"/>
      <w:r w:rsidRPr="00D84A22">
        <w:rPr>
          <w:rFonts w:cs="Times New Roman"/>
          <w:sz w:val="24"/>
          <w:szCs w:val="24"/>
        </w:rPr>
        <w:t xml:space="preserve"> Campus, 1998. </w:t>
      </w:r>
    </w:p>
    <w:sectPr w:rsidR="0071721F" w:rsidRPr="00D84A22" w:rsidSect="00800B44">
      <w:headerReference w:type="default" r:id="rId26"/>
      <w:footerReference w:type="even" r:id="rId27"/>
      <w:footerReference w:type="default" r:id="rId28"/>
      <w:pgSz w:w="11906" w:h="16838" w:code="9"/>
      <w:pgMar w:top="680" w:right="1418" w:bottom="680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556" w:rsidRDefault="006A7556">
      <w:pPr>
        <w:spacing w:after="0" w:line="240" w:lineRule="auto"/>
      </w:pPr>
      <w:r>
        <w:separator/>
      </w:r>
    </w:p>
  </w:endnote>
  <w:endnote w:type="continuationSeparator" w:id="0">
    <w:p w:rsidR="006A7556" w:rsidRDefault="006A7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Cn BT">
    <w:altName w:val="Arial Narrow"/>
    <w:charset w:val="00"/>
    <w:family w:val="swiss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117" w:rsidRDefault="00252117" w:rsidP="005B346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52117" w:rsidRDefault="00252117" w:rsidP="004217B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117" w:rsidRPr="008157FB" w:rsidRDefault="00252117" w:rsidP="005B3461">
    <w:pPr>
      <w:pStyle w:val="Rodap"/>
      <w:tabs>
        <w:tab w:val="right" w:pos="9071"/>
        <w:tab w:val="right" w:pos="9120"/>
        <w:tab w:val="left" w:pos="9204"/>
      </w:tabs>
      <w:ind w:right="360"/>
      <w:rPr>
        <w:rFonts w:ascii="Arial" w:hAnsi="Arial" w:cs="Arial"/>
        <w:b/>
        <w:color w:val="333333"/>
        <w:sz w:val="22"/>
        <w:szCs w:val="22"/>
      </w:rPr>
    </w:pPr>
  </w:p>
  <w:p w:rsidR="00252117" w:rsidRPr="005B3461" w:rsidRDefault="00252117" w:rsidP="005B34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556" w:rsidRDefault="006A7556">
      <w:pPr>
        <w:spacing w:after="0" w:line="240" w:lineRule="auto"/>
      </w:pPr>
      <w:r>
        <w:separator/>
      </w:r>
    </w:p>
  </w:footnote>
  <w:footnote w:type="continuationSeparator" w:id="0">
    <w:p w:rsidR="006A7556" w:rsidRDefault="006A7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117" w:rsidRPr="004513FF" w:rsidRDefault="00252117" w:rsidP="003C0B49">
    <w:pPr>
      <w:jc w:val="right"/>
      <w:rPr>
        <w:rFonts w:ascii="Swis721 Cn BT" w:hAnsi="Swis721 Cn BT"/>
        <w:sz w:val="20"/>
      </w:rPr>
    </w:pPr>
    <w:r>
      <w:rPr>
        <w:noProof/>
        <w:sz w:val="14"/>
        <w:szCs w:val="1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-431800</wp:posOffset>
          </wp:positionV>
          <wp:extent cx="7743825" cy="2011680"/>
          <wp:effectExtent l="0" t="0" r="9525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-branc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5221">
      <w:rPr>
        <w:rFonts w:ascii="Swis721 Cn BT" w:hAnsi="Swis721 Cn BT"/>
        <w:sz w:val="18"/>
        <w:szCs w:val="18"/>
      </w:rPr>
      <w:br/>
    </w:r>
  </w:p>
  <w:p w:rsidR="00252117" w:rsidRPr="00C35221" w:rsidRDefault="00252117" w:rsidP="00E75EB3">
    <w:pPr>
      <w:jc w:val="right"/>
      <w:rPr>
        <w:sz w:val="14"/>
        <w:szCs w:val="14"/>
      </w:rPr>
    </w:pPr>
  </w:p>
  <w:p w:rsidR="00252117" w:rsidRPr="00EB2059" w:rsidRDefault="00252117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252117" w:rsidRDefault="00252117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252117" w:rsidRPr="005B3461" w:rsidRDefault="00252117" w:rsidP="005B346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1F2B"/>
    <w:multiLevelType w:val="multilevel"/>
    <w:tmpl w:val="588A0CA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4546" w:hanging="576"/>
      </w:pPr>
      <w:rPr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i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7980189"/>
    <w:multiLevelType w:val="hybridMultilevel"/>
    <w:tmpl w:val="C2C6BE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A51CD"/>
    <w:multiLevelType w:val="hybridMultilevel"/>
    <w:tmpl w:val="BEF8D85C"/>
    <w:lvl w:ilvl="0" w:tplc="663EADA8">
      <w:start w:val="1"/>
      <w:numFmt w:val="bullet"/>
      <w:lvlText w:val="—"/>
      <w:lvlJc w:val="left"/>
      <w:pPr>
        <w:ind w:left="1854" w:hanging="360"/>
      </w:pPr>
      <w:rPr>
        <w:rFonts w:ascii="Trebuchet MS" w:hAnsi="Trebuchet M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12EF1772"/>
    <w:multiLevelType w:val="hybridMultilevel"/>
    <w:tmpl w:val="39167B6C"/>
    <w:lvl w:ilvl="0" w:tplc="663EADA8">
      <w:start w:val="1"/>
      <w:numFmt w:val="bullet"/>
      <w:lvlText w:val="—"/>
      <w:lvlJc w:val="left"/>
      <w:pPr>
        <w:ind w:left="644" w:hanging="360"/>
      </w:pPr>
      <w:rPr>
        <w:rFonts w:ascii="Trebuchet MS" w:hAnsi="Trebuchet MS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FA35607"/>
    <w:multiLevelType w:val="hybridMultilevel"/>
    <w:tmpl w:val="383A7268"/>
    <w:lvl w:ilvl="0" w:tplc="663EADA8">
      <w:start w:val="1"/>
      <w:numFmt w:val="bullet"/>
      <w:lvlText w:val="—"/>
      <w:lvlJc w:val="left"/>
      <w:pPr>
        <w:ind w:left="1854" w:hanging="360"/>
      </w:pPr>
      <w:rPr>
        <w:rFonts w:ascii="Trebuchet MS" w:hAnsi="Trebuchet M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37D2126"/>
    <w:multiLevelType w:val="hybridMultilevel"/>
    <w:tmpl w:val="DC2037F2"/>
    <w:lvl w:ilvl="0" w:tplc="663EADA8">
      <w:start w:val="1"/>
      <w:numFmt w:val="bullet"/>
      <w:lvlText w:val="—"/>
      <w:lvlJc w:val="left"/>
      <w:pPr>
        <w:ind w:left="786" w:hanging="360"/>
      </w:pPr>
      <w:rPr>
        <w:rFonts w:ascii="Trebuchet MS" w:hAnsi="Trebuchet M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E8A3234"/>
    <w:multiLevelType w:val="hybridMultilevel"/>
    <w:tmpl w:val="6FB4A658"/>
    <w:lvl w:ilvl="0" w:tplc="663EADA8">
      <w:start w:val="1"/>
      <w:numFmt w:val="bullet"/>
      <w:lvlText w:val="—"/>
      <w:lvlJc w:val="left"/>
      <w:pPr>
        <w:ind w:left="1854" w:hanging="360"/>
      </w:pPr>
      <w:rPr>
        <w:rFonts w:ascii="Trebuchet MS" w:hAnsi="Trebuchet M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CD442F2"/>
    <w:multiLevelType w:val="hybridMultilevel"/>
    <w:tmpl w:val="E9389C9C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E690583"/>
    <w:multiLevelType w:val="hybridMultilevel"/>
    <w:tmpl w:val="38FA273A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1772294"/>
    <w:multiLevelType w:val="hybridMultilevel"/>
    <w:tmpl w:val="6E82FECC"/>
    <w:lvl w:ilvl="0" w:tplc="14F08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AU" w:vendorID="64" w:dllVersion="131078" w:nlCheck="1" w:checkStyle="1"/>
  <w:activeWritingStyle w:appName="MSWord" w:lang="pt-BR" w:vendorID="64" w:dllVersion="0" w:nlCheck="1" w:checkStyle="0"/>
  <w:proofState w:spelling="clean" w:grammar="clean"/>
  <w:documentProtection w:formatting="1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E2"/>
    <w:rsid w:val="00000CC6"/>
    <w:rsid w:val="00005C91"/>
    <w:rsid w:val="00015518"/>
    <w:rsid w:val="00017F84"/>
    <w:rsid w:val="000271BB"/>
    <w:rsid w:val="00027E8F"/>
    <w:rsid w:val="000307BA"/>
    <w:rsid w:val="00050E48"/>
    <w:rsid w:val="00061DCC"/>
    <w:rsid w:val="00066DBC"/>
    <w:rsid w:val="00082187"/>
    <w:rsid w:val="00091D53"/>
    <w:rsid w:val="000B417B"/>
    <w:rsid w:val="000C09EA"/>
    <w:rsid w:val="000C61AB"/>
    <w:rsid w:val="000D111A"/>
    <w:rsid w:val="000D6016"/>
    <w:rsid w:val="000E00A8"/>
    <w:rsid w:val="000E0D27"/>
    <w:rsid w:val="000E79B9"/>
    <w:rsid w:val="000E7EB2"/>
    <w:rsid w:val="00106848"/>
    <w:rsid w:val="00106E54"/>
    <w:rsid w:val="001148A8"/>
    <w:rsid w:val="0011518A"/>
    <w:rsid w:val="001277C2"/>
    <w:rsid w:val="0013224E"/>
    <w:rsid w:val="0013561C"/>
    <w:rsid w:val="00141B94"/>
    <w:rsid w:val="00142D82"/>
    <w:rsid w:val="00144CF8"/>
    <w:rsid w:val="00146865"/>
    <w:rsid w:val="001532FA"/>
    <w:rsid w:val="00166ABF"/>
    <w:rsid w:val="00177416"/>
    <w:rsid w:val="00184BEA"/>
    <w:rsid w:val="00194BD9"/>
    <w:rsid w:val="001A0309"/>
    <w:rsid w:val="001A0FD7"/>
    <w:rsid w:val="001A3650"/>
    <w:rsid w:val="001A38A1"/>
    <w:rsid w:val="001A546C"/>
    <w:rsid w:val="001B2E8C"/>
    <w:rsid w:val="001B6AEA"/>
    <w:rsid w:val="001C6937"/>
    <w:rsid w:val="001D1A78"/>
    <w:rsid w:val="001E4599"/>
    <w:rsid w:val="001F358D"/>
    <w:rsid w:val="001F5FCE"/>
    <w:rsid w:val="002006B1"/>
    <w:rsid w:val="00205A66"/>
    <w:rsid w:val="00213A24"/>
    <w:rsid w:val="00231FAA"/>
    <w:rsid w:val="00232168"/>
    <w:rsid w:val="002326A8"/>
    <w:rsid w:val="002362B0"/>
    <w:rsid w:val="0024081C"/>
    <w:rsid w:val="00244A8B"/>
    <w:rsid w:val="00251C74"/>
    <w:rsid w:val="00252117"/>
    <w:rsid w:val="00254621"/>
    <w:rsid w:val="002639A2"/>
    <w:rsid w:val="00272A92"/>
    <w:rsid w:val="002832B3"/>
    <w:rsid w:val="00286D65"/>
    <w:rsid w:val="00287BA6"/>
    <w:rsid w:val="00287F4A"/>
    <w:rsid w:val="002950F1"/>
    <w:rsid w:val="002C24C8"/>
    <w:rsid w:val="002C25AC"/>
    <w:rsid w:val="002D4C0F"/>
    <w:rsid w:val="002D6D13"/>
    <w:rsid w:val="002E27FD"/>
    <w:rsid w:val="002E3645"/>
    <w:rsid w:val="002E51BD"/>
    <w:rsid w:val="002E76FD"/>
    <w:rsid w:val="002F1D5C"/>
    <w:rsid w:val="002F631A"/>
    <w:rsid w:val="00311B2E"/>
    <w:rsid w:val="00320ED9"/>
    <w:rsid w:val="00330B04"/>
    <w:rsid w:val="00332CC6"/>
    <w:rsid w:val="00334A54"/>
    <w:rsid w:val="0034783A"/>
    <w:rsid w:val="003741F3"/>
    <w:rsid w:val="00387D54"/>
    <w:rsid w:val="00393CF7"/>
    <w:rsid w:val="003A3408"/>
    <w:rsid w:val="003C0B49"/>
    <w:rsid w:val="003C4480"/>
    <w:rsid w:val="003C7A61"/>
    <w:rsid w:val="003D0305"/>
    <w:rsid w:val="003D4584"/>
    <w:rsid w:val="003D6393"/>
    <w:rsid w:val="003D6D34"/>
    <w:rsid w:val="003E4A9F"/>
    <w:rsid w:val="003E4E91"/>
    <w:rsid w:val="003E7139"/>
    <w:rsid w:val="003F6615"/>
    <w:rsid w:val="0040424A"/>
    <w:rsid w:val="00406D36"/>
    <w:rsid w:val="004217BE"/>
    <w:rsid w:val="0043080E"/>
    <w:rsid w:val="00431210"/>
    <w:rsid w:val="00435862"/>
    <w:rsid w:val="004403A0"/>
    <w:rsid w:val="00453A4D"/>
    <w:rsid w:val="00454AC9"/>
    <w:rsid w:val="00455359"/>
    <w:rsid w:val="0045627D"/>
    <w:rsid w:val="004602DD"/>
    <w:rsid w:val="004613D4"/>
    <w:rsid w:val="00462F31"/>
    <w:rsid w:val="00464010"/>
    <w:rsid w:val="004645AB"/>
    <w:rsid w:val="00464E59"/>
    <w:rsid w:val="00466238"/>
    <w:rsid w:val="00481B48"/>
    <w:rsid w:val="00485205"/>
    <w:rsid w:val="004903D4"/>
    <w:rsid w:val="004A4C16"/>
    <w:rsid w:val="004A5F7F"/>
    <w:rsid w:val="004B684D"/>
    <w:rsid w:val="004C145E"/>
    <w:rsid w:val="004D0374"/>
    <w:rsid w:val="004D04E2"/>
    <w:rsid w:val="004D0FC4"/>
    <w:rsid w:val="004D420E"/>
    <w:rsid w:val="004F26A9"/>
    <w:rsid w:val="004F6D85"/>
    <w:rsid w:val="005050A4"/>
    <w:rsid w:val="0050779E"/>
    <w:rsid w:val="00511DBF"/>
    <w:rsid w:val="00520B57"/>
    <w:rsid w:val="00520F36"/>
    <w:rsid w:val="0052213B"/>
    <w:rsid w:val="00530183"/>
    <w:rsid w:val="00531183"/>
    <w:rsid w:val="00536F33"/>
    <w:rsid w:val="00555536"/>
    <w:rsid w:val="00570741"/>
    <w:rsid w:val="00576518"/>
    <w:rsid w:val="00583510"/>
    <w:rsid w:val="00586EAF"/>
    <w:rsid w:val="0059077A"/>
    <w:rsid w:val="00590F3B"/>
    <w:rsid w:val="00592BFA"/>
    <w:rsid w:val="005942B2"/>
    <w:rsid w:val="00594B70"/>
    <w:rsid w:val="005A62E0"/>
    <w:rsid w:val="005A66A0"/>
    <w:rsid w:val="005B3461"/>
    <w:rsid w:val="005B51B4"/>
    <w:rsid w:val="005B62F9"/>
    <w:rsid w:val="005C0ACC"/>
    <w:rsid w:val="005C2991"/>
    <w:rsid w:val="005C5D56"/>
    <w:rsid w:val="005D02BF"/>
    <w:rsid w:val="005F3BDF"/>
    <w:rsid w:val="005F728F"/>
    <w:rsid w:val="0060040A"/>
    <w:rsid w:val="00604A58"/>
    <w:rsid w:val="00612DEA"/>
    <w:rsid w:val="00623345"/>
    <w:rsid w:val="00623A6D"/>
    <w:rsid w:val="00633FA9"/>
    <w:rsid w:val="00652221"/>
    <w:rsid w:val="00652F59"/>
    <w:rsid w:val="00657774"/>
    <w:rsid w:val="00661B60"/>
    <w:rsid w:val="00665550"/>
    <w:rsid w:val="006771DC"/>
    <w:rsid w:val="006779E0"/>
    <w:rsid w:val="00682F4F"/>
    <w:rsid w:val="00684C11"/>
    <w:rsid w:val="0069055E"/>
    <w:rsid w:val="00694743"/>
    <w:rsid w:val="006A7556"/>
    <w:rsid w:val="006B1801"/>
    <w:rsid w:val="006B256B"/>
    <w:rsid w:val="006B583F"/>
    <w:rsid w:val="006B5D09"/>
    <w:rsid w:val="006B61E1"/>
    <w:rsid w:val="006C0B4E"/>
    <w:rsid w:val="006D3FBA"/>
    <w:rsid w:val="006D4D67"/>
    <w:rsid w:val="006D68D7"/>
    <w:rsid w:val="0070158A"/>
    <w:rsid w:val="00704FB5"/>
    <w:rsid w:val="00716F3A"/>
    <w:rsid w:val="0071721F"/>
    <w:rsid w:val="007239EA"/>
    <w:rsid w:val="00733CB2"/>
    <w:rsid w:val="00743A6C"/>
    <w:rsid w:val="0075590D"/>
    <w:rsid w:val="007709EA"/>
    <w:rsid w:val="0077453A"/>
    <w:rsid w:val="00775F8B"/>
    <w:rsid w:val="007870D8"/>
    <w:rsid w:val="007964D8"/>
    <w:rsid w:val="007A0B8F"/>
    <w:rsid w:val="007A0EAF"/>
    <w:rsid w:val="007A3083"/>
    <w:rsid w:val="007A6BD0"/>
    <w:rsid w:val="007B2113"/>
    <w:rsid w:val="007E5663"/>
    <w:rsid w:val="007E5F96"/>
    <w:rsid w:val="007F4C16"/>
    <w:rsid w:val="00800B44"/>
    <w:rsid w:val="00804D72"/>
    <w:rsid w:val="008330ED"/>
    <w:rsid w:val="00842E34"/>
    <w:rsid w:val="0085415D"/>
    <w:rsid w:val="00856163"/>
    <w:rsid w:val="00860A58"/>
    <w:rsid w:val="00870416"/>
    <w:rsid w:val="0089002A"/>
    <w:rsid w:val="008A4374"/>
    <w:rsid w:val="008A52FC"/>
    <w:rsid w:val="008B5276"/>
    <w:rsid w:val="008C0EAA"/>
    <w:rsid w:val="008C21C3"/>
    <w:rsid w:val="008C2503"/>
    <w:rsid w:val="008C548B"/>
    <w:rsid w:val="008C63BB"/>
    <w:rsid w:val="008D1B83"/>
    <w:rsid w:val="008E000E"/>
    <w:rsid w:val="008E6CC4"/>
    <w:rsid w:val="008F6E5B"/>
    <w:rsid w:val="00930750"/>
    <w:rsid w:val="009318DB"/>
    <w:rsid w:val="0093258B"/>
    <w:rsid w:val="0093704C"/>
    <w:rsid w:val="00944B44"/>
    <w:rsid w:val="00951654"/>
    <w:rsid w:val="00951AC8"/>
    <w:rsid w:val="00960C72"/>
    <w:rsid w:val="00965B17"/>
    <w:rsid w:val="00980F5A"/>
    <w:rsid w:val="0098322B"/>
    <w:rsid w:val="009928B0"/>
    <w:rsid w:val="009928B3"/>
    <w:rsid w:val="00993AD5"/>
    <w:rsid w:val="009A0882"/>
    <w:rsid w:val="009A6968"/>
    <w:rsid w:val="009B188A"/>
    <w:rsid w:val="009B27A5"/>
    <w:rsid w:val="009C5479"/>
    <w:rsid w:val="009C6FEC"/>
    <w:rsid w:val="009D0C0B"/>
    <w:rsid w:val="009D1673"/>
    <w:rsid w:val="009D1B6F"/>
    <w:rsid w:val="009E3AC4"/>
    <w:rsid w:val="009E5401"/>
    <w:rsid w:val="009F02D0"/>
    <w:rsid w:val="00A14915"/>
    <w:rsid w:val="00A15354"/>
    <w:rsid w:val="00A24AC1"/>
    <w:rsid w:val="00A269D1"/>
    <w:rsid w:val="00A26A86"/>
    <w:rsid w:val="00A316FC"/>
    <w:rsid w:val="00A33852"/>
    <w:rsid w:val="00A36377"/>
    <w:rsid w:val="00A36C26"/>
    <w:rsid w:val="00A43DFB"/>
    <w:rsid w:val="00A539CF"/>
    <w:rsid w:val="00A6161D"/>
    <w:rsid w:val="00A66C8B"/>
    <w:rsid w:val="00A724C8"/>
    <w:rsid w:val="00A82B03"/>
    <w:rsid w:val="00A8585E"/>
    <w:rsid w:val="00A91124"/>
    <w:rsid w:val="00AA75C5"/>
    <w:rsid w:val="00AB7772"/>
    <w:rsid w:val="00AC4C47"/>
    <w:rsid w:val="00AD18D8"/>
    <w:rsid w:val="00AD4D66"/>
    <w:rsid w:val="00AE54E6"/>
    <w:rsid w:val="00AE5B08"/>
    <w:rsid w:val="00AF0FFA"/>
    <w:rsid w:val="00B12D05"/>
    <w:rsid w:val="00B133DF"/>
    <w:rsid w:val="00B200EF"/>
    <w:rsid w:val="00B204EB"/>
    <w:rsid w:val="00B3368C"/>
    <w:rsid w:val="00B35265"/>
    <w:rsid w:val="00B46C71"/>
    <w:rsid w:val="00B50730"/>
    <w:rsid w:val="00B52FCC"/>
    <w:rsid w:val="00B56744"/>
    <w:rsid w:val="00B56BF0"/>
    <w:rsid w:val="00B73A0E"/>
    <w:rsid w:val="00B83A2B"/>
    <w:rsid w:val="00B83E19"/>
    <w:rsid w:val="00BA2BA6"/>
    <w:rsid w:val="00BA2F06"/>
    <w:rsid w:val="00BB1DD6"/>
    <w:rsid w:val="00BC2919"/>
    <w:rsid w:val="00BC37EA"/>
    <w:rsid w:val="00BC5764"/>
    <w:rsid w:val="00BC5AB8"/>
    <w:rsid w:val="00BC73A3"/>
    <w:rsid w:val="00BE66FE"/>
    <w:rsid w:val="00BE6703"/>
    <w:rsid w:val="00BF0BED"/>
    <w:rsid w:val="00BF67EA"/>
    <w:rsid w:val="00C0322F"/>
    <w:rsid w:val="00C03E3D"/>
    <w:rsid w:val="00C17A3E"/>
    <w:rsid w:val="00C226FA"/>
    <w:rsid w:val="00C324C1"/>
    <w:rsid w:val="00C34B5C"/>
    <w:rsid w:val="00C36177"/>
    <w:rsid w:val="00C4044E"/>
    <w:rsid w:val="00C4279F"/>
    <w:rsid w:val="00C512E2"/>
    <w:rsid w:val="00C547CA"/>
    <w:rsid w:val="00C57479"/>
    <w:rsid w:val="00CA512B"/>
    <w:rsid w:val="00CB4A2E"/>
    <w:rsid w:val="00CB539B"/>
    <w:rsid w:val="00CC1F94"/>
    <w:rsid w:val="00CC7870"/>
    <w:rsid w:val="00CE2ABD"/>
    <w:rsid w:val="00CF1542"/>
    <w:rsid w:val="00CF410B"/>
    <w:rsid w:val="00D05B5F"/>
    <w:rsid w:val="00D14D3C"/>
    <w:rsid w:val="00D200EE"/>
    <w:rsid w:val="00D25301"/>
    <w:rsid w:val="00D41575"/>
    <w:rsid w:val="00D45151"/>
    <w:rsid w:val="00D52F9C"/>
    <w:rsid w:val="00D534AD"/>
    <w:rsid w:val="00D56E18"/>
    <w:rsid w:val="00D57E9B"/>
    <w:rsid w:val="00D608FC"/>
    <w:rsid w:val="00D66E11"/>
    <w:rsid w:val="00D752FB"/>
    <w:rsid w:val="00D77F25"/>
    <w:rsid w:val="00D80047"/>
    <w:rsid w:val="00D826EE"/>
    <w:rsid w:val="00D84A22"/>
    <w:rsid w:val="00D8769E"/>
    <w:rsid w:val="00D90252"/>
    <w:rsid w:val="00D908FB"/>
    <w:rsid w:val="00D97598"/>
    <w:rsid w:val="00DA228F"/>
    <w:rsid w:val="00DA50D1"/>
    <w:rsid w:val="00DA5AA1"/>
    <w:rsid w:val="00DA75D5"/>
    <w:rsid w:val="00DB77E1"/>
    <w:rsid w:val="00DC06E1"/>
    <w:rsid w:val="00DD6CF5"/>
    <w:rsid w:val="00DE7D7F"/>
    <w:rsid w:val="00E013CD"/>
    <w:rsid w:val="00E12B8F"/>
    <w:rsid w:val="00E1310E"/>
    <w:rsid w:val="00E16FCB"/>
    <w:rsid w:val="00E17044"/>
    <w:rsid w:val="00E2047A"/>
    <w:rsid w:val="00E27E23"/>
    <w:rsid w:val="00E338E9"/>
    <w:rsid w:val="00E35137"/>
    <w:rsid w:val="00E37C4D"/>
    <w:rsid w:val="00E50B57"/>
    <w:rsid w:val="00E608F0"/>
    <w:rsid w:val="00E6106F"/>
    <w:rsid w:val="00E74FC1"/>
    <w:rsid w:val="00E75EB3"/>
    <w:rsid w:val="00EA5B07"/>
    <w:rsid w:val="00EA799C"/>
    <w:rsid w:val="00EB1794"/>
    <w:rsid w:val="00EB1B29"/>
    <w:rsid w:val="00EC063A"/>
    <w:rsid w:val="00EC4353"/>
    <w:rsid w:val="00EC7E7A"/>
    <w:rsid w:val="00ED120F"/>
    <w:rsid w:val="00ED48FE"/>
    <w:rsid w:val="00ED7F62"/>
    <w:rsid w:val="00EE1D8B"/>
    <w:rsid w:val="00EE4C83"/>
    <w:rsid w:val="00EE67B8"/>
    <w:rsid w:val="00EF3047"/>
    <w:rsid w:val="00EF3708"/>
    <w:rsid w:val="00F02119"/>
    <w:rsid w:val="00F0560C"/>
    <w:rsid w:val="00F06206"/>
    <w:rsid w:val="00F1001D"/>
    <w:rsid w:val="00F13285"/>
    <w:rsid w:val="00F24193"/>
    <w:rsid w:val="00F31122"/>
    <w:rsid w:val="00F32592"/>
    <w:rsid w:val="00F34985"/>
    <w:rsid w:val="00F40288"/>
    <w:rsid w:val="00F40483"/>
    <w:rsid w:val="00F631D7"/>
    <w:rsid w:val="00F72948"/>
    <w:rsid w:val="00F91DAD"/>
    <w:rsid w:val="00F93AE8"/>
    <w:rsid w:val="00FA0338"/>
    <w:rsid w:val="00FA352B"/>
    <w:rsid w:val="00FB05D8"/>
    <w:rsid w:val="00FB5D98"/>
    <w:rsid w:val="00FC2C28"/>
    <w:rsid w:val="00FD1C91"/>
    <w:rsid w:val="00FF1A09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exto"/>
    <w:qFormat/>
    <w:rsid w:val="00612DEA"/>
    <w:pPr>
      <w:spacing w:after="120" w:line="360" w:lineRule="auto"/>
      <w:jc w:val="both"/>
    </w:pPr>
    <w:rPr>
      <w:rFonts w:ascii="Times New Roman" w:hAnsi="Times New Roman" w:cs="Calibri"/>
      <w:sz w:val="24"/>
      <w:lang w:eastAsia="en-US"/>
    </w:rPr>
  </w:style>
  <w:style w:type="paragraph" w:styleId="Ttulo1">
    <w:name w:val="heading 1"/>
    <w:aliases w:val="Figuras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aliases w:val="ABNT Título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252117"/>
    <w:pPr>
      <w:keepNext/>
      <w:keepLines/>
      <w:spacing w:before="40" w:after="0" w:line="259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52117"/>
    <w:pPr>
      <w:keepNext/>
      <w:keepLines/>
      <w:spacing w:before="40" w:after="0" w:line="240" w:lineRule="auto"/>
      <w:jc w:val="left"/>
      <w:outlineLvl w:val="3"/>
    </w:pPr>
    <w:rPr>
      <w:rFonts w:ascii="Arial" w:eastAsiaTheme="majorEastAsia" w:hAnsi="Arial" w:cstheme="majorBidi"/>
      <w:i/>
      <w:iCs/>
      <w:szCs w:val="2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52117"/>
    <w:pPr>
      <w:keepNext/>
      <w:keepLines/>
      <w:spacing w:before="40" w:after="0" w:line="259" w:lineRule="auto"/>
      <w:ind w:left="1008" w:hanging="1008"/>
      <w:jc w:val="left"/>
      <w:outlineLvl w:val="4"/>
    </w:pPr>
    <w:rPr>
      <w:rFonts w:ascii="Arial" w:eastAsiaTheme="majorEastAsia" w:hAnsi="Arial" w:cstheme="majorBidi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52117"/>
    <w:pPr>
      <w:keepNext/>
      <w:keepLines/>
      <w:spacing w:before="40" w:after="0" w:line="259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52117"/>
    <w:pPr>
      <w:keepNext/>
      <w:keepLines/>
      <w:spacing w:before="40" w:after="0" w:line="259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2117"/>
    <w:pPr>
      <w:keepNext/>
      <w:keepLines/>
      <w:spacing w:before="40" w:after="0" w:line="259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52117"/>
    <w:pPr>
      <w:keepNext/>
      <w:keepLines/>
      <w:spacing w:before="40" w:after="0" w:line="259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Figuras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,Corpo de Texto"/>
    <w:uiPriority w:val="1"/>
    <w:qFormat/>
    <w:rsid w:val="00612DEA"/>
    <w:pPr>
      <w:spacing w:after="120"/>
    </w:pPr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aliases w:val="ABNT Título 2 Char"/>
    <w:link w:val="Ttulo2"/>
    <w:uiPriority w:val="9"/>
    <w:semiHidden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25211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252117"/>
    <w:rPr>
      <w:rFonts w:ascii="Arial" w:eastAsiaTheme="majorEastAsia" w:hAnsi="Arial" w:cstheme="majorBidi"/>
      <w:i/>
      <w:iCs/>
      <w:sz w:val="24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252117"/>
    <w:rPr>
      <w:rFonts w:ascii="Arial" w:eastAsiaTheme="majorEastAsia" w:hAnsi="Arial" w:cstheme="majorBidi"/>
      <w:sz w:val="24"/>
      <w:szCs w:val="22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52117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52117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521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521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apple-converted-space">
    <w:name w:val="apple-converted-space"/>
    <w:basedOn w:val="Fontepargpadro"/>
    <w:rsid w:val="00252117"/>
  </w:style>
  <w:style w:type="paragraph" w:customStyle="1" w:styleId="ABNTTtulos">
    <w:name w:val="ABNT Títulos"/>
    <w:basedOn w:val="Ttulo1"/>
    <w:next w:val="Ttulo2"/>
    <w:link w:val="ABNTTtulosChar"/>
    <w:qFormat/>
    <w:rsid w:val="00252117"/>
    <w:pPr>
      <w:jc w:val="both"/>
    </w:pPr>
    <w:rPr>
      <w:rFonts w:eastAsiaTheme="majorEastAsia" w:cstheme="majorBidi"/>
      <w:lang w:eastAsia="en-US"/>
    </w:rPr>
  </w:style>
  <w:style w:type="character" w:customStyle="1" w:styleId="ABNTTtulosChar">
    <w:name w:val="ABNT Títulos Char"/>
    <w:basedOn w:val="Fontepargpadro"/>
    <w:link w:val="ABNTTtulos"/>
    <w:rsid w:val="00252117"/>
    <w:rPr>
      <w:rFonts w:ascii="Times New Roman" w:eastAsiaTheme="majorEastAsia" w:hAnsi="Times New Roman" w:cstheme="majorBidi"/>
      <w:b/>
      <w:sz w:val="24"/>
      <w:szCs w:val="32"/>
      <w:lang w:eastAsia="en-US"/>
    </w:rPr>
  </w:style>
  <w:style w:type="paragraph" w:styleId="Ttulo">
    <w:name w:val="Title"/>
    <w:aliases w:val="Figuras/Graficos"/>
    <w:basedOn w:val="Normal"/>
    <w:next w:val="Normal"/>
    <w:link w:val="TtuloChar"/>
    <w:uiPriority w:val="10"/>
    <w:qFormat/>
    <w:rsid w:val="00252117"/>
    <w:pPr>
      <w:spacing w:after="0" w:line="240" w:lineRule="auto"/>
      <w:jc w:val="left"/>
    </w:pPr>
    <w:rPr>
      <w:rFonts w:ascii="Arial" w:eastAsiaTheme="minorHAnsi" w:hAnsi="Arial" w:cs="Arial"/>
      <w:sz w:val="20"/>
      <w:szCs w:val="24"/>
    </w:rPr>
  </w:style>
  <w:style w:type="character" w:customStyle="1" w:styleId="TtuloChar">
    <w:name w:val="Título Char"/>
    <w:aliases w:val="Figuras/Graficos Char"/>
    <w:basedOn w:val="Fontepargpadro"/>
    <w:link w:val="Ttulo"/>
    <w:uiPriority w:val="10"/>
    <w:rsid w:val="00252117"/>
    <w:rPr>
      <w:rFonts w:ascii="Arial" w:eastAsiaTheme="minorHAnsi" w:hAnsi="Arial" w:cs="Arial"/>
      <w:szCs w:val="24"/>
      <w:lang w:eastAsia="en-US"/>
    </w:rPr>
  </w:style>
  <w:style w:type="paragraph" w:customStyle="1" w:styleId="ABNTTtulos3">
    <w:name w:val="ABNT Títulos 3"/>
    <w:basedOn w:val="Ttulo3"/>
    <w:link w:val="ABNTTtulos3Char"/>
    <w:qFormat/>
    <w:rsid w:val="00252117"/>
    <w:pPr>
      <w:numPr>
        <w:ilvl w:val="2"/>
      </w:numPr>
      <w:ind w:left="720" w:hanging="720"/>
    </w:pPr>
    <w:rPr>
      <w:rFonts w:ascii="Arial" w:hAnsi="Arial" w:cs="Arial"/>
      <w:b/>
      <w:i/>
    </w:rPr>
  </w:style>
  <w:style w:type="character" w:customStyle="1" w:styleId="ABNTTtulos3Char">
    <w:name w:val="ABNT Títulos 3 Char"/>
    <w:basedOn w:val="Ttulo3Char"/>
    <w:link w:val="ABNTTtulos3"/>
    <w:rsid w:val="00252117"/>
    <w:rPr>
      <w:rFonts w:ascii="Arial" w:eastAsiaTheme="majorEastAsia" w:hAnsi="Arial" w:cs="Arial"/>
      <w:b/>
      <w:i/>
      <w:color w:val="1F3763" w:themeColor="accent1" w:themeShade="7F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exto"/>
    <w:qFormat/>
    <w:rsid w:val="00612DEA"/>
    <w:pPr>
      <w:spacing w:after="120" w:line="360" w:lineRule="auto"/>
      <w:jc w:val="both"/>
    </w:pPr>
    <w:rPr>
      <w:rFonts w:ascii="Times New Roman" w:hAnsi="Times New Roman" w:cs="Calibri"/>
      <w:sz w:val="24"/>
      <w:lang w:eastAsia="en-US"/>
    </w:rPr>
  </w:style>
  <w:style w:type="paragraph" w:styleId="Ttulo1">
    <w:name w:val="heading 1"/>
    <w:aliases w:val="Figuras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aliases w:val="ABNT Título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252117"/>
    <w:pPr>
      <w:keepNext/>
      <w:keepLines/>
      <w:spacing w:before="40" w:after="0" w:line="259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52117"/>
    <w:pPr>
      <w:keepNext/>
      <w:keepLines/>
      <w:spacing w:before="40" w:after="0" w:line="240" w:lineRule="auto"/>
      <w:jc w:val="left"/>
      <w:outlineLvl w:val="3"/>
    </w:pPr>
    <w:rPr>
      <w:rFonts w:ascii="Arial" w:eastAsiaTheme="majorEastAsia" w:hAnsi="Arial" w:cstheme="majorBidi"/>
      <w:i/>
      <w:iCs/>
      <w:szCs w:val="2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52117"/>
    <w:pPr>
      <w:keepNext/>
      <w:keepLines/>
      <w:spacing w:before="40" w:after="0" w:line="259" w:lineRule="auto"/>
      <w:ind w:left="1008" w:hanging="1008"/>
      <w:jc w:val="left"/>
      <w:outlineLvl w:val="4"/>
    </w:pPr>
    <w:rPr>
      <w:rFonts w:ascii="Arial" w:eastAsiaTheme="majorEastAsia" w:hAnsi="Arial" w:cstheme="majorBidi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52117"/>
    <w:pPr>
      <w:keepNext/>
      <w:keepLines/>
      <w:spacing w:before="40" w:after="0" w:line="259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52117"/>
    <w:pPr>
      <w:keepNext/>
      <w:keepLines/>
      <w:spacing w:before="40" w:after="0" w:line="259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2117"/>
    <w:pPr>
      <w:keepNext/>
      <w:keepLines/>
      <w:spacing w:before="40" w:after="0" w:line="259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52117"/>
    <w:pPr>
      <w:keepNext/>
      <w:keepLines/>
      <w:spacing w:before="40" w:after="0" w:line="259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Figuras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,Corpo de Texto"/>
    <w:uiPriority w:val="1"/>
    <w:qFormat/>
    <w:rsid w:val="00612DEA"/>
    <w:pPr>
      <w:spacing w:after="120"/>
    </w:pPr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aliases w:val="ABNT Título 2 Char"/>
    <w:link w:val="Ttulo2"/>
    <w:uiPriority w:val="9"/>
    <w:semiHidden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25211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252117"/>
    <w:rPr>
      <w:rFonts w:ascii="Arial" w:eastAsiaTheme="majorEastAsia" w:hAnsi="Arial" w:cstheme="majorBidi"/>
      <w:i/>
      <w:iCs/>
      <w:sz w:val="24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252117"/>
    <w:rPr>
      <w:rFonts w:ascii="Arial" w:eastAsiaTheme="majorEastAsia" w:hAnsi="Arial" w:cstheme="majorBidi"/>
      <w:sz w:val="24"/>
      <w:szCs w:val="22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52117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52117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521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521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apple-converted-space">
    <w:name w:val="apple-converted-space"/>
    <w:basedOn w:val="Fontepargpadro"/>
    <w:rsid w:val="00252117"/>
  </w:style>
  <w:style w:type="paragraph" w:customStyle="1" w:styleId="ABNTTtulos">
    <w:name w:val="ABNT Títulos"/>
    <w:basedOn w:val="Ttulo1"/>
    <w:next w:val="Ttulo2"/>
    <w:link w:val="ABNTTtulosChar"/>
    <w:qFormat/>
    <w:rsid w:val="00252117"/>
    <w:pPr>
      <w:jc w:val="both"/>
    </w:pPr>
    <w:rPr>
      <w:rFonts w:eastAsiaTheme="majorEastAsia" w:cstheme="majorBidi"/>
      <w:lang w:eastAsia="en-US"/>
    </w:rPr>
  </w:style>
  <w:style w:type="character" w:customStyle="1" w:styleId="ABNTTtulosChar">
    <w:name w:val="ABNT Títulos Char"/>
    <w:basedOn w:val="Fontepargpadro"/>
    <w:link w:val="ABNTTtulos"/>
    <w:rsid w:val="00252117"/>
    <w:rPr>
      <w:rFonts w:ascii="Times New Roman" w:eastAsiaTheme="majorEastAsia" w:hAnsi="Times New Roman" w:cstheme="majorBidi"/>
      <w:b/>
      <w:sz w:val="24"/>
      <w:szCs w:val="32"/>
      <w:lang w:eastAsia="en-US"/>
    </w:rPr>
  </w:style>
  <w:style w:type="paragraph" w:styleId="Ttulo">
    <w:name w:val="Title"/>
    <w:aliases w:val="Figuras/Graficos"/>
    <w:basedOn w:val="Normal"/>
    <w:next w:val="Normal"/>
    <w:link w:val="TtuloChar"/>
    <w:uiPriority w:val="10"/>
    <w:qFormat/>
    <w:rsid w:val="00252117"/>
    <w:pPr>
      <w:spacing w:after="0" w:line="240" w:lineRule="auto"/>
      <w:jc w:val="left"/>
    </w:pPr>
    <w:rPr>
      <w:rFonts w:ascii="Arial" w:eastAsiaTheme="minorHAnsi" w:hAnsi="Arial" w:cs="Arial"/>
      <w:sz w:val="20"/>
      <w:szCs w:val="24"/>
    </w:rPr>
  </w:style>
  <w:style w:type="character" w:customStyle="1" w:styleId="TtuloChar">
    <w:name w:val="Título Char"/>
    <w:aliases w:val="Figuras/Graficos Char"/>
    <w:basedOn w:val="Fontepargpadro"/>
    <w:link w:val="Ttulo"/>
    <w:uiPriority w:val="10"/>
    <w:rsid w:val="00252117"/>
    <w:rPr>
      <w:rFonts w:ascii="Arial" w:eastAsiaTheme="minorHAnsi" w:hAnsi="Arial" w:cs="Arial"/>
      <w:szCs w:val="24"/>
      <w:lang w:eastAsia="en-US"/>
    </w:rPr>
  </w:style>
  <w:style w:type="paragraph" w:customStyle="1" w:styleId="ABNTTtulos3">
    <w:name w:val="ABNT Títulos 3"/>
    <w:basedOn w:val="Ttulo3"/>
    <w:link w:val="ABNTTtulos3Char"/>
    <w:qFormat/>
    <w:rsid w:val="00252117"/>
    <w:pPr>
      <w:numPr>
        <w:ilvl w:val="2"/>
      </w:numPr>
      <w:ind w:left="720" w:hanging="720"/>
    </w:pPr>
    <w:rPr>
      <w:rFonts w:ascii="Arial" w:hAnsi="Arial" w:cs="Arial"/>
      <w:b/>
      <w:i/>
    </w:rPr>
  </w:style>
  <w:style w:type="character" w:customStyle="1" w:styleId="ABNTTtulos3Char">
    <w:name w:val="ABNT Títulos 3 Char"/>
    <w:basedOn w:val="Ttulo3Char"/>
    <w:link w:val="ABNTTtulos3"/>
    <w:rsid w:val="00252117"/>
    <w:rPr>
      <w:rFonts w:ascii="Arial" w:eastAsiaTheme="majorEastAsia" w:hAnsi="Arial" w:cs="Arial"/>
      <w:b/>
      <w:i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>
                  <a:shade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Plan1!$A$1:$A$3</c:f>
              <c:strCache>
                <c:ptCount val="3"/>
                <c:pt idx="0">
                  <c:v>Estoque acima do LS</c:v>
                </c:pt>
                <c:pt idx="1">
                  <c:v>Estoque abaixo do ES</c:v>
                </c:pt>
                <c:pt idx="2">
                  <c:v>Estoque entre o ES e o LS</c:v>
                </c:pt>
              </c:strCache>
            </c:strRef>
          </c:cat>
          <c:val>
            <c:numRef>
              <c:f>Plan1!$B$1:$B$3</c:f>
              <c:numCache>
                <c:formatCode>General</c:formatCode>
                <c:ptCount val="3"/>
                <c:pt idx="0">
                  <c:v>188</c:v>
                </c:pt>
                <c:pt idx="1">
                  <c:v>66</c:v>
                </c:pt>
                <c:pt idx="2">
                  <c:v>176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Plan2!$A$1:$A$2</c:f>
              <c:strCache>
                <c:ptCount val="2"/>
                <c:pt idx="0">
                  <c:v>Modelo empurrado</c:v>
                </c:pt>
                <c:pt idx="1">
                  <c:v>Modelo puxado</c:v>
                </c:pt>
              </c:strCache>
            </c:strRef>
          </c:cat>
          <c:val>
            <c:numRef>
              <c:f>Plan2!$B$1:$B$2</c:f>
              <c:numCache>
                <c:formatCode>#,##0</c:formatCode>
                <c:ptCount val="2"/>
                <c:pt idx="0">
                  <c:v>340457</c:v>
                </c:pt>
                <c:pt idx="1">
                  <c:v>189330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7356032"/>
        <c:axId val="117518720"/>
      </c:barChart>
      <c:catAx>
        <c:axId val="11735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17518720"/>
        <c:crosses val="autoZero"/>
        <c:auto val="1"/>
        <c:lblAlgn val="ctr"/>
        <c:lblOffset val="100"/>
        <c:noMultiLvlLbl val="0"/>
      </c:catAx>
      <c:valAx>
        <c:axId val="11751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t-BR"/>
                  <a:t>Unidades de medicamento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227273858808886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17356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F0509-DA29-4C84-B16F-ACDBB062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5083</Words>
  <Characters>27450</Characters>
  <Application>Microsoft Office Word</Application>
  <DocSecurity>0</DocSecurity>
  <Lines>228</Lines>
  <Paragraphs>64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32469</CharactersWithSpaces>
  <SharedDoc>false</SharedDoc>
  <HLinks>
    <vt:vector size="6" baseType="variant">
      <vt:variant>
        <vt:i4>5505037</vt:i4>
      </vt:variant>
      <vt:variant>
        <vt:i4>7998</vt:i4>
      </vt:variant>
      <vt:variant>
        <vt:i4>1025</vt:i4>
      </vt:variant>
      <vt:variant>
        <vt:i4>1</vt:i4>
      </vt:variant>
      <vt:variant>
        <vt:lpwstr>http://www.abepro.org.br/imagens/websites/42/graph_model_art.jpg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2018-02-06T20:02:00Z</dcterms:created>
  <dcterms:modified xsi:type="dcterms:W3CDTF">2018-02-07T11:30:00Z</dcterms:modified>
</cp:coreProperties>
</file>