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7F1AA" w14:textId="77777777" w:rsidR="00766DCB" w:rsidRDefault="00000000">
      <w:pPr>
        <w:pStyle w:val="Corpodetexto"/>
        <w:rPr>
          <w:sz w:val="4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1314022" wp14:editId="69763E1A">
            <wp:simplePos x="0" y="0"/>
            <wp:positionH relativeFrom="page">
              <wp:posOffset>6350</wp:posOffset>
            </wp:positionH>
            <wp:positionV relativeFrom="page">
              <wp:posOffset>0</wp:posOffset>
            </wp:positionV>
            <wp:extent cx="7562849" cy="93217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49" cy="932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BEC180" w14:textId="77777777" w:rsidR="00766DCB" w:rsidRDefault="00766DCB">
      <w:pPr>
        <w:pStyle w:val="Corpodetexto"/>
        <w:rPr>
          <w:sz w:val="40"/>
        </w:rPr>
      </w:pPr>
    </w:p>
    <w:p w14:paraId="031234EE" w14:textId="77777777" w:rsidR="00766DCB" w:rsidRDefault="00766DCB">
      <w:pPr>
        <w:pStyle w:val="Corpodetexto"/>
        <w:spacing w:before="319"/>
        <w:rPr>
          <w:sz w:val="40"/>
        </w:rPr>
      </w:pPr>
    </w:p>
    <w:p w14:paraId="6C853173" w14:textId="77777777" w:rsidR="00766DCB" w:rsidRDefault="00000000">
      <w:pPr>
        <w:pStyle w:val="Ttulo"/>
      </w:pPr>
      <w:r>
        <w:t>ANÁLISES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MARCAS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MORDIDAS</w:t>
      </w:r>
      <w:r>
        <w:rPr>
          <w:spacing w:val="-9"/>
        </w:rPr>
        <w:t xml:space="preserve"> </w:t>
      </w:r>
      <w:r>
        <w:t xml:space="preserve">E O CASO TED BUNDY: REVISÃO DE </w:t>
      </w:r>
      <w:r>
        <w:rPr>
          <w:spacing w:val="-2"/>
        </w:rPr>
        <w:t>LITERATURA</w:t>
      </w:r>
    </w:p>
    <w:p w14:paraId="4CC70250" w14:textId="77777777" w:rsidR="00766DCB" w:rsidRDefault="00000000">
      <w:pPr>
        <w:pStyle w:val="Corpodetexto"/>
        <w:spacing w:before="266" w:line="357" w:lineRule="auto"/>
        <w:ind w:left="394" w:right="309"/>
        <w:jc w:val="center"/>
      </w:pPr>
      <w:r>
        <w:t>Amanda</w:t>
      </w:r>
      <w:r>
        <w:rPr>
          <w:spacing w:val="-4"/>
        </w:rPr>
        <w:t xml:space="preserve"> </w:t>
      </w:r>
      <w:r>
        <w:t>Correia</w:t>
      </w:r>
      <w:r>
        <w:rPr>
          <w:spacing w:val="-4"/>
        </w:rPr>
        <w:t xml:space="preserve"> </w:t>
      </w:r>
      <w:r>
        <w:t>Araújo¹;</w:t>
      </w:r>
      <w:r>
        <w:rPr>
          <w:spacing w:val="-5"/>
        </w:rPr>
        <w:t xml:space="preserve"> </w:t>
      </w:r>
      <w:r>
        <w:t>Marcela</w:t>
      </w:r>
      <w:r>
        <w:rPr>
          <w:spacing w:val="-4"/>
        </w:rPr>
        <w:t xml:space="preserve"> </w:t>
      </w:r>
      <w:r>
        <w:t>Mirella</w:t>
      </w:r>
      <w:r>
        <w:rPr>
          <w:spacing w:val="-8"/>
        </w:rPr>
        <w:t xml:space="preserve"> </w:t>
      </w:r>
      <w:r>
        <w:t>Lemos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Souza²;</w:t>
      </w:r>
      <w:r>
        <w:rPr>
          <w:spacing w:val="-5"/>
        </w:rPr>
        <w:t xml:space="preserve"> </w:t>
      </w:r>
      <w:r>
        <w:t>Lamone</w:t>
      </w:r>
      <w:r>
        <w:rPr>
          <w:spacing w:val="-4"/>
        </w:rPr>
        <w:t xml:space="preserve"> </w:t>
      </w:r>
      <w:r>
        <w:t>Vitória Pereira da Silva²; Thalles Gabriel Germano Lima³.</w:t>
      </w:r>
    </w:p>
    <w:p w14:paraId="09B09972" w14:textId="77777777" w:rsidR="00766DCB" w:rsidRDefault="00766DCB">
      <w:pPr>
        <w:pStyle w:val="Corpodetexto"/>
        <w:spacing w:before="173"/>
      </w:pPr>
    </w:p>
    <w:p w14:paraId="56FB70D8" w14:textId="77777777" w:rsidR="00766DCB" w:rsidRDefault="00000000">
      <w:pPr>
        <w:pStyle w:val="PargrafodaLista"/>
        <w:numPr>
          <w:ilvl w:val="0"/>
          <w:numId w:val="1"/>
        </w:numPr>
        <w:tabs>
          <w:tab w:val="left" w:pos="1125"/>
        </w:tabs>
        <w:spacing w:line="362" w:lineRule="auto"/>
        <w:ind w:firstLine="0"/>
      </w:pPr>
      <w:r>
        <w:rPr>
          <w:sz w:val="24"/>
        </w:rPr>
        <w:t>Graduanda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Odontologia,</w:t>
      </w:r>
      <w:r>
        <w:rPr>
          <w:spacing w:val="40"/>
          <w:sz w:val="24"/>
        </w:rPr>
        <w:t xml:space="preserve"> </w:t>
      </w:r>
      <w:r>
        <w:rPr>
          <w:sz w:val="24"/>
        </w:rPr>
        <w:t>Centro</w:t>
      </w:r>
      <w:r>
        <w:rPr>
          <w:spacing w:val="40"/>
          <w:sz w:val="24"/>
        </w:rPr>
        <w:t xml:space="preserve"> </w:t>
      </w:r>
      <w:r>
        <w:rPr>
          <w:sz w:val="24"/>
        </w:rPr>
        <w:t>Universitário</w:t>
      </w:r>
      <w:r>
        <w:rPr>
          <w:spacing w:val="40"/>
          <w:sz w:val="24"/>
        </w:rPr>
        <w:t xml:space="preserve"> </w:t>
      </w:r>
      <w:r>
        <w:rPr>
          <w:sz w:val="24"/>
        </w:rPr>
        <w:t>Maurício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Nassau, Recife - PE</w:t>
      </w:r>
      <w:r>
        <w:t>;</w:t>
      </w:r>
    </w:p>
    <w:p w14:paraId="072504C9" w14:textId="77777777" w:rsidR="00766DCB" w:rsidRDefault="00000000">
      <w:pPr>
        <w:pStyle w:val="PargrafodaLista"/>
        <w:numPr>
          <w:ilvl w:val="0"/>
          <w:numId w:val="1"/>
        </w:numPr>
        <w:tabs>
          <w:tab w:val="left" w:pos="1081"/>
        </w:tabs>
        <w:spacing w:before="12" w:line="357" w:lineRule="auto"/>
        <w:ind w:right="761" w:firstLine="0"/>
        <w:rPr>
          <w:sz w:val="24"/>
        </w:rPr>
      </w:pPr>
      <w:r>
        <w:rPr>
          <w:sz w:val="24"/>
        </w:rPr>
        <w:t>Graduanda de Odontologia, Centro Universitário Maurício de Nassau, Recife – PE;</w:t>
      </w:r>
    </w:p>
    <w:p w14:paraId="32353F3A" w14:textId="77777777" w:rsidR="00766DCB" w:rsidRDefault="00000000">
      <w:pPr>
        <w:pStyle w:val="PargrafodaLista"/>
        <w:numPr>
          <w:ilvl w:val="0"/>
          <w:numId w:val="1"/>
        </w:numPr>
        <w:tabs>
          <w:tab w:val="left" w:pos="1128"/>
        </w:tabs>
        <w:spacing w:before="21" w:line="355" w:lineRule="auto"/>
        <w:ind w:left="836" w:right="759" w:firstLine="0"/>
        <w:rPr>
          <w:sz w:val="24"/>
        </w:rPr>
      </w:pPr>
      <w:r>
        <w:rPr>
          <w:sz w:val="24"/>
        </w:rPr>
        <w:t>Mestrando</w:t>
      </w:r>
      <w:r>
        <w:rPr>
          <w:spacing w:val="40"/>
          <w:sz w:val="24"/>
        </w:rPr>
        <w:t xml:space="preserve"> </w:t>
      </w:r>
      <w:r>
        <w:rPr>
          <w:sz w:val="24"/>
        </w:rPr>
        <w:t>em</w:t>
      </w:r>
      <w:r>
        <w:rPr>
          <w:spacing w:val="40"/>
          <w:sz w:val="24"/>
        </w:rPr>
        <w:t xml:space="preserve"> </w:t>
      </w:r>
      <w:r>
        <w:rPr>
          <w:sz w:val="24"/>
        </w:rPr>
        <w:t>Periodontia,</w:t>
      </w:r>
      <w:r>
        <w:rPr>
          <w:spacing w:val="40"/>
          <w:sz w:val="24"/>
        </w:rPr>
        <w:t xml:space="preserve"> </w:t>
      </w:r>
      <w:r>
        <w:rPr>
          <w:sz w:val="24"/>
        </w:rPr>
        <w:t>Centro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Pesquisas</w:t>
      </w:r>
      <w:r>
        <w:rPr>
          <w:spacing w:val="40"/>
          <w:sz w:val="24"/>
        </w:rPr>
        <w:t xml:space="preserve"> </w:t>
      </w:r>
      <w:r>
        <w:rPr>
          <w:sz w:val="24"/>
        </w:rPr>
        <w:t>Odontológicas</w:t>
      </w:r>
      <w:r>
        <w:rPr>
          <w:spacing w:val="40"/>
          <w:sz w:val="24"/>
        </w:rPr>
        <w:t xml:space="preserve"> </w:t>
      </w:r>
      <w:r>
        <w:rPr>
          <w:sz w:val="24"/>
        </w:rPr>
        <w:t>São Leopoldo Mandic, SLMANDIC, Campinas – SP.</w:t>
      </w:r>
    </w:p>
    <w:p w14:paraId="3FC7745A" w14:textId="77777777" w:rsidR="00766DCB" w:rsidRDefault="00766DCB">
      <w:pPr>
        <w:pStyle w:val="Corpodetexto"/>
        <w:spacing w:before="176"/>
      </w:pPr>
    </w:p>
    <w:p w14:paraId="61C78A31" w14:textId="77777777" w:rsidR="00766DCB" w:rsidRDefault="00000000">
      <w:pPr>
        <w:ind w:left="836"/>
        <w:rPr>
          <w:sz w:val="24"/>
        </w:rPr>
      </w:pPr>
      <w:r>
        <w:rPr>
          <w:b/>
          <w:sz w:val="24"/>
        </w:rPr>
        <w:t xml:space="preserve">Email: </w:t>
      </w:r>
      <w:hyperlink r:id="rId8">
        <w:r>
          <w:rPr>
            <w:spacing w:val="-2"/>
            <w:sz w:val="24"/>
            <w:u w:val="single"/>
          </w:rPr>
          <w:t>amandacorreia76@hotmail.com</w:t>
        </w:r>
      </w:hyperlink>
    </w:p>
    <w:p w14:paraId="3F0D706A" w14:textId="77777777" w:rsidR="00766DCB" w:rsidRDefault="00766DCB">
      <w:pPr>
        <w:pStyle w:val="Corpodetexto"/>
      </w:pPr>
    </w:p>
    <w:p w14:paraId="019E5A98" w14:textId="77777777" w:rsidR="00766DCB" w:rsidRDefault="00766DCB">
      <w:pPr>
        <w:pStyle w:val="Corpodetexto"/>
        <w:spacing w:before="24"/>
      </w:pPr>
    </w:p>
    <w:p w14:paraId="330622A8" w14:textId="77777777" w:rsidR="00766DCB" w:rsidRDefault="00000000">
      <w:pPr>
        <w:ind w:left="100"/>
        <w:rPr>
          <w:b/>
          <w:sz w:val="24"/>
        </w:rPr>
      </w:pPr>
      <w:r>
        <w:rPr>
          <w:b/>
          <w:spacing w:val="-2"/>
          <w:sz w:val="24"/>
        </w:rPr>
        <w:t>RESUMO</w:t>
      </w:r>
    </w:p>
    <w:p w14:paraId="0D6C4BAC" w14:textId="77777777" w:rsidR="00766DCB" w:rsidRDefault="00000000">
      <w:pPr>
        <w:pStyle w:val="Corpodetexto"/>
        <w:spacing w:before="136" w:line="360" w:lineRule="auto"/>
        <w:ind w:left="100" w:right="113"/>
        <w:jc w:val="both"/>
      </w:pPr>
      <w:r>
        <w:rPr>
          <w:b/>
        </w:rPr>
        <w:t>Introdução</w:t>
      </w:r>
      <w:r>
        <w:t>: A aplicabilidade da odontologia forense tem sido bastante difundida nos casos jurídicos, sendo primordial nas evidências de situações de violência doméstica, crimes sexuais e homicídios. Assim, é notório que, as marcas de mordidas quando acopladas</w:t>
      </w:r>
      <w:r>
        <w:rPr>
          <w:spacing w:val="-1"/>
        </w:rPr>
        <w:t xml:space="preserve"> </w:t>
      </w:r>
      <w:r>
        <w:t>ao processo possui grande valor</w:t>
      </w:r>
      <w:r>
        <w:rPr>
          <w:spacing w:val="-3"/>
        </w:rPr>
        <w:t xml:space="preserve"> </w:t>
      </w:r>
      <w:r>
        <w:t>probatório, já que pode atribuir culpabilidade ou</w:t>
      </w:r>
      <w:r>
        <w:rPr>
          <w:spacing w:val="-15"/>
        </w:rPr>
        <w:t xml:space="preserve"> </w:t>
      </w:r>
      <w:r>
        <w:t>exclusão,</w:t>
      </w:r>
      <w:r>
        <w:rPr>
          <w:spacing w:val="-15"/>
        </w:rPr>
        <w:t xml:space="preserve"> </w:t>
      </w:r>
      <w:r>
        <w:t>tendo</w:t>
      </w:r>
      <w:r>
        <w:rPr>
          <w:spacing w:val="-15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vista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características</w:t>
      </w:r>
      <w:r>
        <w:rPr>
          <w:spacing w:val="-15"/>
        </w:rPr>
        <w:t xml:space="preserve"> </w:t>
      </w:r>
      <w:r>
        <w:t>bucais</w:t>
      </w:r>
      <w:r>
        <w:rPr>
          <w:spacing w:val="-15"/>
        </w:rPr>
        <w:t xml:space="preserve"> </w:t>
      </w:r>
      <w:r>
        <w:t>exclusivas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cada</w:t>
      </w:r>
      <w:r>
        <w:rPr>
          <w:spacing w:val="-15"/>
        </w:rPr>
        <w:t xml:space="preserve"> </w:t>
      </w:r>
      <w:r>
        <w:t>indivíduo.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 xml:space="preserve">assim foi feito na condenação do caso mais polêmico, o de Ted Bundy. </w:t>
      </w:r>
      <w:r>
        <w:rPr>
          <w:b/>
        </w:rPr>
        <w:t xml:space="preserve">Objetivo: </w:t>
      </w:r>
      <w:r>
        <w:t xml:space="preserve">Analisar o uso da técnica de marcas de mordidas que solucionou o caso do ‘’serial killer’’, Ted Bundy, visando promover a importância das técnicas forenses perante os autos. </w:t>
      </w:r>
      <w:r>
        <w:rPr>
          <w:b/>
        </w:rPr>
        <w:t>Metodologia:</w:t>
      </w:r>
      <w:r>
        <w:rPr>
          <w:b/>
          <w:spacing w:val="-10"/>
        </w:rPr>
        <w:t xml:space="preserve"> </w:t>
      </w:r>
      <w:r>
        <w:t>É</w:t>
      </w:r>
      <w:r>
        <w:rPr>
          <w:spacing w:val="-9"/>
        </w:rPr>
        <w:t xml:space="preserve"> </w:t>
      </w:r>
      <w:r>
        <w:t>uma</w:t>
      </w:r>
      <w:r>
        <w:rPr>
          <w:spacing w:val="-9"/>
        </w:rPr>
        <w:t xml:space="preserve"> </w:t>
      </w:r>
      <w:r>
        <w:t>revisão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literatura</w:t>
      </w:r>
      <w:r>
        <w:rPr>
          <w:spacing w:val="-13"/>
        </w:rPr>
        <w:t xml:space="preserve"> </w:t>
      </w:r>
      <w:r>
        <w:t>realizada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meio</w:t>
      </w:r>
      <w:r>
        <w:rPr>
          <w:spacing w:val="-10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bases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dados</w:t>
      </w:r>
      <w:r>
        <w:rPr>
          <w:spacing w:val="-12"/>
        </w:rPr>
        <w:t xml:space="preserve"> </w:t>
      </w:r>
      <w:r>
        <w:t>SciELO, LILACS e MEDLINE, no período de 2012 a 2022, utilizando os descritores: “Odontologia Legal”, “Antropologia Forense” e “Dentição”. Ressalta-se que foram considerados artigos publicados nas línguas portuguesa e inglesa.</w:t>
      </w:r>
    </w:p>
    <w:p w14:paraId="0E9FACCA" w14:textId="77777777" w:rsidR="00766DCB" w:rsidRDefault="00000000">
      <w:pPr>
        <w:pStyle w:val="Corpodetexto"/>
        <w:spacing w:before="1" w:line="360" w:lineRule="auto"/>
        <w:ind w:left="100" w:right="114" w:firstLine="60"/>
        <w:jc w:val="both"/>
      </w:pPr>
      <w:r>
        <w:rPr>
          <w:b/>
        </w:rPr>
        <w:t>Resultados:</w:t>
      </w:r>
      <w:r>
        <w:rPr>
          <w:b/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estudo</w:t>
      </w:r>
      <w:r>
        <w:rPr>
          <w:spacing w:val="-4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marcas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mordida</w:t>
      </w:r>
      <w:r>
        <w:rPr>
          <w:spacing w:val="-3"/>
        </w:rPr>
        <w:t xml:space="preserve"> </w:t>
      </w:r>
      <w:r>
        <w:t>nas</w:t>
      </w:r>
      <w:r>
        <w:rPr>
          <w:spacing w:val="-6"/>
        </w:rPr>
        <w:t xml:space="preserve"> </w:t>
      </w:r>
      <w:r>
        <w:t>ciências</w:t>
      </w:r>
      <w:r>
        <w:rPr>
          <w:spacing w:val="-6"/>
        </w:rPr>
        <w:t xml:space="preserve"> </w:t>
      </w:r>
      <w:r>
        <w:t>forenses</w:t>
      </w:r>
      <w:r>
        <w:rPr>
          <w:spacing w:val="-10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realizado de</w:t>
      </w:r>
      <w:r>
        <w:rPr>
          <w:spacing w:val="-7"/>
        </w:rPr>
        <w:t xml:space="preserve"> </w:t>
      </w:r>
      <w:r>
        <w:t>forma precisa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casos como</w:t>
      </w:r>
      <w:r>
        <w:rPr>
          <w:spacing w:val="-2"/>
        </w:rPr>
        <w:t xml:space="preserve"> </w:t>
      </w:r>
      <w:r>
        <w:t>esses, isso porque</w:t>
      </w:r>
      <w:r>
        <w:rPr>
          <w:spacing w:val="-1"/>
        </w:rPr>
        <w:t xml:space="preserve"> </w:t>
      </w:r>
      <w:r>
        <w:t>é realizado de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minuciosa</w:t>
      </w:r>
      <w:r>
        <w:rPr>
          <w:spacing w:val="-1"/>
        </w:rPr>
        <w:t xml:space="preserve"> </w:t>
      </w:r>
      <w:r>
        <w:t>toda a</w:t>
      </w:r>
      <w:r>
        <w:rPr>
          <w:spacing w:val="-1"/>
        </w:rPr>
        <w:t xml:space="preserve"> </w:t>
      </w:r>
      <w:r>
        <w:t>análise, desde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tamanho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características</w:t>
      </w:r>
      <w:r>
        <w:rPr>
          <w:spacing w:val="-8"/>
        </w:rPr>
        <w:t xml:space="preserve"> </w:t>
      </w:r>
      <w:r>
        <w:t>específicas</w:t>
      </w:r>
      <w:r>
        <w:rPr>
          <w:spacing w:val="-8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arcos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unidades</w:t>
      </w:r>
      <w:r>
        <w:rPr>
          <w:spacing w:val="-8"/>
        </w:rPr>
        <w:t xml:space="preserve"> </w:t>
      </w:r>
      <w:r>
        <w:t>dentárias</w:t>
      </w:r>
      <w:r>
        <w:rPr>
          <w:spacing w:val="-8"/>
        </w:rPr>
        <w:t xml:space="preserve"> </w:t>
      </w:r>
      <w:r>
        <w:t>como:</w:t>
      </w:r>
      <w:r>
        <w:rPr>
          <w:spacing w:val="-6"/>
        </w:rPr>
        <w:t xml:space="preserve"> </w:t>
      </w:r>
      <w:r>
        <w:t>forma dos</w:t>
      </w:r>
      <w:r>
        <w:rPr>
          <w:spacing w:val="26"/>
        </w:rPr>
        <w:t xml:space="preserve"> </w:t>
      </w:r>
      <w:r>
        <w:t>arcos,</w:t>
      </w:r>
      <w:r>
        <w:rPr>
          <w:spacing w:val="28"/>
        </w:rPr>
        <w:t xml:space="preserve"> </w:t>
      </w:r>
      <w:r>
        <w:t>ausências</w:t>
      </w:r>
      <w:r>
        <w:rPr>
          <w:spacing w:val="27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elementos</w:t>
      </w:r>
      <w:r>
        <w:rPr>
          <w:spacing w:val="27"/>
        </w:rPr>
        <w:t xml:space="preserve"> </w:t>
      </w:r>
      <w:r>
        <w:t>dentários,</w:t>
      </w:r>
      <w:r>
        <w:rPr>
          <w:spacing w:val="27"/>
        </w:rPr>
        <w:t xml:space="preserve"> </w:t>
      </w:r>
      <w:r>
        <w:t>anomalias</w:t>
      </w:r>
      <w:r>
        <w:rPr>
          <w:spacing w:val="27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forma,</w:t>
      </w:r>
      <w:r>
        <w:rPr>
          <w:spacing w:val="29"/>
        </w:rPr>
        <w:t xml:space="preserve"> </w:t>
      </w:r>
      <w:r>
        <w:t>posição</w:t>
      </w:r>
      <w:r>
        <w:rPr>
          <w:spacing w:val="28"/>
        </w:rPr>
        <w:t xml:space="preserve"> </w:t>
      </w:r>
      <w:r>
        <w:t>dos</w:t>
      </w:r>
      <w:r>
        <w:rPr>
          <w:spacing w:val="27"/>
        </w:rPr>
        <w:t xml:space="preserve"> </w:t>
      </w:r>
      <w:r>
        <w:rPr>
          <w:spacing w:val="-2"/>
        </w:rPr>
        <w:t>dentes,</w:t>
      </w:r>
    </w:p>
    <w:p w14:paraId="1EB46C0F" w14:textId="77777777" w:rsidR="00766DCB" w:rsidRDefault="00766DCB">
      <w:pPr>
        <w:spacing w:line="360" w:lineRule="auto"/>
        <w:jc w:val="both"/>
        <w:sectPr w:rsidR="00766DCB" w:rsidSect="00410E57">
          <w:footerReference w:type="default" r:id="rId9"/>
          <w:type w:val="continuous"/>
          <w:pgSz w:w="11920" w:h="16840"/>
          <w:pgMar w:top="0" w:right="1580" w:bottom="1220" w:left="1600" w:header="0" w:footer="1025" w:gutter="0"/>
          <w:pgNumType w:start="1"/>
          <w:cols w:space="720"/>
        </w:sectPr>
      </w:pPr>
    </w:p>
    <w:p w14:paraId="0AA22CCB" w14:textId="77777777" w:rsidR="00766DCB" w:rsidRDefault="00000000">
      <w:pPr>
        <w:pStyle w:val="Corpodetexto"/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78395EE8" wp14:editId="4BFAE6F6">
            <wp:simplePos x="0" y="0"/>
            <wp:positionH relativeFrom="page">
              <wp:posOffset>6350</wp:posOffset>
            </wp:positionH>
            <wp:positionV relativeFrom="page">
              <wp:posOffset>0</wp:posOffset>
            </wp:positionV>
            <wp:extent cx="7562849" cy="93217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49" cy="932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9D1F75" w14:textId="77777777" w:rsidR="00766DCB" w:rsidRDefault="00766DCB">
      <w:pPr>
        <w:pStyle w:val="Corpodetexto"/>
      </w:pPr>
    </w:p>
    <w:p w14:paraId="48CC9412" w14:textId="77777777" w:rsidR="00766DCB" w:rsidRDefault="00766DCB">
      <w:pPr>
        <w:pStyle w:val="Corpodetexto"/>
      </w:pPr>
    </w:p>
    <w:p w14:paraId="6B596073" w14:textId="77777777" w:rsidR="00766DCB" w:rsidRDefault="00766DCB">
      <w:pPr>
        <w:pStyle w:val="Corpodetexto"/>
      </w:pPr>
    </w:p>
    <w:p w14:paraId="5ED5FF21" w14:textId="77777777" w:rsidR="00766DCB" w:rsidRDefault="00766DCB">
      <w:pPr>
        <w:pStyle w:val="Corpodetexto"/>
        <w:spacing w:before="60"/>
      </w:pPr>
    </w:p>
    <w:p w14:paraId="52A98FCC" w14:textId="77777777" w:rsidR="00766DCB" w:rsidRDefault="00000000">
      <w:pPr>
        <w:pStyle w:val="Corpodetexto"/>
        <w:spacing w:line="360" w:lineRule="auto"/>
        <w:ind w:left="100" w:right="110"/>
        <w:jc w:val="both"/>
      </w:pPr>
      <w:r>
        <w:t xml:space="preserve">considerando todas as evidências do processo. Nesse sentido, é notório que é pertinente instituir parâmetros satisfatórios para assegurar a eficácia do método de análise. </w:t>
      </w:r>
      <w:r>
        <w:rPr>
          <w:b/>
        </w:rPr>
        <w:t xml:space="preserve">Conclusão: </w:t>
      </w:r>
      <w:r>
        <w:t>As técnicas forenses na análise de mordidas são efetivas, visto que, no caso de Ted Bundy, com a única prova física deixada na cena do crime, a marca de mordida, foi</w:t>
      </w:r>
      <w:r>
        <w:rPr>
          <w:spacing w:val="-2"/>
        </w:rPr>
        <w:t xml:space="preserve"> </w:t>
      </w:r>
      <w:r>
        <w:t>possível</w:t>
      </w:r>
      <w:r>
        <w:rPr>
          <w:spacing w:val="-3"/>
        </w:rPr>
        <w:t xml:space="preserve"> </w:t>
      </w:r>
      <w:r>
        <w:t>realizar</w:t>
      </w:r>
      <w:r>
        <w:rPr>
          <w:spacing w:val="-3"/>
        </w:rPr>
        <w:t xml:space="preserve"> </w:t>
      </w:r>
      <w:r>
        <w:t>moldes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gesso</w:t>
      </w:r>
      <w:r>
        <w:rPr>
          <w:spacing w:val="-3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dentes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isso</w:t>
      </w:r>
      <w:r>
        <w:rPr>
          <w:spacing w:val="-3"/>
        </w:rPr>
        <w:t xml:space="preserve"> </w:t>
      </w:r>
      <w:r>
        <w:t>mostrou</w:t>
      </w:r>
      <w:r>
        <w:rPr>
          <w:spacing w:val="-6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dentes</w:t>
      </w:r>
      <w:r>
        <w:rPr>
          <w:spacing w:val="-8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autor</w:t>
      </w:r>
      <w:r>
        <w:rPr>
          <w:spacing w:val="-3"/>
        </w:rPr>
        <w:t xml:space="preserve"> </w:t>
      </w:r>
      <w:r>
        <w:t>do crime</w:t>
      </w:r>
      <w:r>
        <w:rPr>
          <w:spacing w:val="-15"/>
        </w:rPr>
        <w:t xml:space="preserve"> </w:t>
      </w:r>
      <w:r>
        <w:t>eram</w:t>
      </w:r>
      <w:r>
        <w:rPr>
          <w:spacing w:val="-10"/>
        </w:rPr>
        <w:t xml:space="preserve"> </w:t>
      </w:r>
      <w:r>
        <w:t>desalinhados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fraturados</w:t>
      </w:r>
      <w:r>
        <w:rPr>
          <w:spacing w:val="-15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Ted,</w:t>
      </w:r>
      <w:r>
        <w:rPr>
          <w:spacing w:val="-11"/>
        </w:rPr>
        <w:t xml:space="preserve"> </w:t>
      </w:r>
      <w:r>
        <w:t>além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comparação</w:t>
      </w:r>
      <w:r>
        <w:rPr>
          <w:spacing w:val="-11"/>
        </w:rPr>
        <w:t xml:space="preserve"> </w:t>
      </w:r>
      <w:r>
        <w:t>das</w:t>
      </w:r>
      <w:r>
        <w:rPr>
          <w:spacing w:val="-13"/>
        </w:rPr>
        <w:t xml:space="preserve"> </w:t>
      </w:r>
      <w:r>
        <w:t>fotografias evidenciadas das lesões no corpo da vítima. Portanto, comprova-se a eficácia desse método de identificação.</w:t>
      </w:r>
    </w:p>
    <w:p w14:paraId="4DFE53C9" w14:textId="77777777" w:rsidR="00766DCB" w:rsidRDefault="00766DCB">
      <w:pPr>
        <w:pStyle w:val="Corpodetexto"/>
        <w:spacing w:before="137"/>
      </w:pPr>
    </w:p>
    <w:p w14:paraId="30E11538" w14:textId="77777777" w:rsidR="00766DCB" w:rsidRDefault="00000000">
      <w:pPr>
        <w:ind w:left="100"/>
        <w:jc w:val="both"/>
        <w:rPr>
          <w:sz w:val="24"/>
        </w:rPr>
      </w:pPr>
      <w:r>
        <w:rPr>
          <w:b/>
          <w:sz w:val="24"/>
        </w:rPr>
        <w:t>Palavras-Chave:</w:t>
      </w:r>
      <w:r>
        <w:rPr>
          <w:b/>
          <w:spacing w:val="69"/>
          <w:sz w:val="24"/>
        </w:rPr>
        <w:t xml:space="preserve"> </w:t>
      </w:r>
      <w:r>
        <w:rPr>
          <w:sz w:val="24"/>
        </w:rPr>
        <w:t>Antropologia</w:t>
      </w:r>
      <w:r>
        <w:rPr>
          <w:spacing w:val="70"/>
          <w:sz w:val="24"/>
        </w:rPr>
        <w:t xml:space="preserve"> </w:t>
      </w:r>
      <w:r>
        <w:rPr>
          <w:sz w:val="24"/>
        </w:rPr>
        <w:t>Forense.</w:t>
      </w:r>
      <w:r>
        <w:rPr>
          <w:spacing w:val="65"/>
          <w:sz w:val="24"/>
        </w:rPr>
        <w:t xml:space="preserve"> </w:t>
      </w:r>
      <w:r>
        <w:rPr>
          <w:sz w:val="24"/>
        </w:rPr>
        <w:t>Odontologia</w:t>
      </w:r>
      <w:r>
        <w:rPr>
          <w:spacing w:val="67"/>
          <w:sz w:val="24"/>
        </w:rPr>
        <w:t xml:space="preserve"> </w:t>
      </w:r>
      <w:r>
        <w:rPr>
          <w:sz w:val="24"/>
        </w:rPr>
        <w:t>Legal.</w:t>
      </w:r>
      <w:r>
        <w:rPr>
          <w:spacing w:val="65"/>
          <w:sz w:val="24"/>
        </w:rPr>
        <w:t xml:space="preserve"> </w:t>
      </w:r>
      <w:r>
        <w:rPr>
          <w:sz w:val="24"/>
        </w:rPr>
        <w:t>Mordeduras</w:t>
      </w:r>
      <w:r>
        <w:rPr>
          <w:spacing w:val="68"/>
          <w:sz w:val="24"/>
        </w:rPr>
        <w:t xml:space="preserve"> </w:t>
      </w:r>
      <w:r>
        <w:rPr>
          <w:spacing w:val="-2"/>
          <w:sz w:val="24"/>
        </w:rPr>
        <w:t>Humanas.</w:t>
      </w:r>
    </w:p>
    <w:p w14:paraId="45F7DEF5" w14:textId="77777777" w:rsidR="00766DCB" w:rsidRDefault="00000000">
      <w:pPr>
        <w:spacing w:before="141"/>
        <w:ind w:left="100"/>
        <w:jc w:val="both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temática: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Odontologia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Legal.</w:t>
      </w:r>
    </w:p>
    <w:sectPr w:rsidR="00766DCB">
      <w:pgSz w:w="11920" w:h="16840"/>
      <w:pgMar w:top="0" w:right="1580" w:bottom="1220" w:left="1600" w:header="0" w:footer="10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723AC" w14:textId="77777777" w:rsidR="00410E57" w:rsidRDefault="00410E57">
      <w:r>
        <w:separator/>
      </w:r>
    </w:p>
  </w:endnote>
  <w:endnote w:type="continuationSeparator" w:id="0">
    <w:p w14:paraId="5A955B45" w14:textId="77777777" w:rsidR="00410E57" w:rsidRDefault="0041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2E40" w14:textId="77777777" w:rsidR="00766DCB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55584" behindDoc="1" locked="0" layoutInCell="1" allowOverlap="1" wp14:anchorId="5FA00F62" wp14:editId="1A7B1399">
          <wp:simplePos x="0" y="0"/>
          <wp:positionH relativeFrom="page">
            <wp:posOffset>6350</wp:posOffset>
          </wp:positionH>
          <wp:positionV relativeFrom="page">
            <wp:posOffset>9915574</wp:posOffset>
          </wp:positionV>
          <wp:extent cx="7557007" cy="77782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7007" cy="777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8C5EF" w14:textId="77777777" w:rsidR="00410E57" w:rsidRDefault="00410E57">
      <w:r>
        <w:separator/>
      </w:r>
    </w:p>
  </w:footnote>
  <w:footnote w:type="continuationSeparator" w:id="0">
    <w:p w14:paraId="17B69E8E" w14:textId="77777777" w:rsidR="00410E57" w:rsidRDefault="00410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77DB6"/>
    <w:multiLevelType w:val="hybridMultilevel"/>
    <w:tmpl w:val="FD24FD24"/>
    <w:lvl w:ilvl="0" w:tplc="1714B4A8">
      <w:start w:val="1"/>
      <w:numFmt w:val="decimal"/>
      <w:lvlText w:val="%1."/>
      <w:lvlJc w:val="left"/>
      <w:pPr>
        <w:ind w:left="821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FE06044">
      <w:numFmt w:val="bullet"/>
      <w:lvlText w:val="•"/>
      <w:lvlJc w:val="left"/>
      <w:pPr>
        <w:ind w:left="1612" w:hanging="304"/>
      </w:pPr>
      <w:rPr>
        <w:rFonts w:hint="default"/>
        <w:lang w:val="pt-PT" w:eastAsia="en-US" w:bidi="ar-SA"/>
      </w:rPr>
    </w:lvl>
    <w:lvl w:ilvl="2" w:tplc="6B6801F2">
      <w:numFmt w:val="bullet"/>
      <w:lvlText w:val="•"/>
      <w:lvlJc w:val="left"/>
      <w:pPr>
        <w:ind w:left="2404" w:hanging="304"/>
      </w:pPr>
      <w:rPr>
        <w:rFonts w:hint="default"/>
        <w:lang w:val="pt-PT" w:eastAsia="en-US" w:bidi="ar-SA"/>
      </w:rPr>
    </w:lvl>
    <w:lvl w:ilvl="3" w:tplc="FCB2E3A0">
      <w:numFmt w:val="bullet"/>
      <w:lvlText w:val="•"/>
      <w:lvlJc w:val="left"/>
      <w:pPr>
        <w:ind w:left="3196" w:hanging="304"/>
      </w:pPr>
      <w:rPr>
        <w:rFonts w:hint="default"/>
        <w:lang w:val="pt-PT" w:eastAsia="en-US" w:bidi="ar-SA"/>
      </w:rPr>
    </w:lvl>
    <w:lvl w:ilvl="4" w:tplc="115EB91E">
      <w:numFmt w:val="bullet"/>
      <w:lvlText w:val="•"/>
      <w:lvlJc w:val="left"/>
      <w:pPr>
        <w:ind w:left="3988" w:hanging="304"/>
      </w:pPr>
      <w:rPr>
        <w:rFonts w:hint="default"/>
        <w:lang w:val="pt-PT" w:eastAsia="en-US" w:bidi="ar-SA"/>
      </w:rPr>
    </w:lvl>
    <w:lvl w:ilvl="5" w:tplc="3ADC68D8">
      <w:numFmt w:val="bullet"/>
      <w:lvlText w:val="•"/>
      <w:lvlJc w:val="left"/>
      <w:pPr>
        <w:ind w:left="4780" w:hanging="304"/>
      </w:pPr>
      <w:rPr>
        <w:rFonts w:hint="default"/>
        <w:lang w:val="pt-PT" w:eastAsia="en-US" w:bidi="ar-SA"/>
      </w:rPr>
    </w:lvl>
    <w:lvl w:ilvl="6" w:tplc="AAAAC0EA">
      <w:numFmt w:val="bullet"/>
      <w:lvlText w:val="•"/>
      <w:lvlJc w:val="left"/>
      <w:pPr>
        <w:ind w:left="5572" w:hanging="304"/>
      </w:pPr>
      <w:rPr>
        <w:rFonts w:hint="default"/>
        <w:lang w:val="pt-PT" w:eastAsia="en-US" w:bidi="ar-SA"/>
      </w:rPr>
    </w:lvl>
    <w:lvl w:ilvl="7" w:tplc="4CF011D0">
      <w:numFmt w:val="bullet"/>
      <w:lvlText w:val="•"/>
      <w:lvlJc w:val="left"/>
      <w:pPr>
        <w:ind w:left="6364" w:hanging="304"/>
      </w:pPr>
      <w:rPr>
        <w:rFonts w:hint="default"/>
        <w:lang w:val="pt-PT" w:eastAsia="en-US" w:bidi="ar-SA"/>
      </w:rPr>
    </w:lvl>
    <w:lvl w:ilvl="8" w:tplc="D47C4C02">
      <w:numFmt w:val="bullet"/>
      <w:lvlText w:val="•"/>
      <w:lvlJc w:val="left"/>
      <w:pPr>
        <w:ind w:left="7156" w:hanging="304"/>
      </w:pPr>
      <w:rPr>
        <w:rFonts w:hint="default"/>
        <w:lang w:val="pt-PT" w:eastAsia="en-US" w:bidi="ar-SA"/>
      </w:rPr>
    </w:lvl>
  </w:abstractNum>
  <w:num w:numId="1" w16cid:durableId="99497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6DCB"/>
    <w:rsid w:val="00210221"/>
    <w:rsid w:val="002E0A85"/>
    <w:rsid w:val="00410E57"/>
    <w:rsid w:val="0076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FED0"/>
  <w15:docId w15:val="{B29FA94D-DEE6-46F1-8EFF-3FC58B6E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402" w:right="309"/>
      <w:jc w:val="center"/>
    </w:pPr>
    <w:rPr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ind w:left="821" w:right="42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dacorreia76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Cavalcanti Monte</dc:creator>
  <cp:lastModifiedBy>Diogo Cavalcanti Monte</cp:lastModifiedBy>
  <cp:revision>2</cp:revision>
  <dcterms:created xsi:type="dcterms:W3CDTF">2024-04-18T02:04:00Z</dcterms:created>
  <dcterms:modified xsi:type="dcterms:W3CDTF">2024-04-18T02:04:00Z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2024-04-18T00:00:00Z</vt:filetime>
  </property>
  <property fmtid="{D5CDD505-2E9C-101B-9397-08002B2CF9AE}" pid="5" name="Producer">
    <vt:lpwstr>Microsoft® Word para Microsoft 365</vt:lpwstr>
  </property>
</Properties>
</file>