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54B2F" w14:textId="77777777" w:rsidR="0004183F" w:rsidRDefault="0004183F" w:rsidP="0004183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14:paraId="3AB53671" w14:textId="5D6A16B0" w:rsidR="0004183F" w:rsidRPr="0004183F" w:rsidRDefault="0004183F" w:rsidP="0004183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04183F">
        <w:rPr>
          <w:b/>
          <w:bCs/>
          <w:color w:val="000000"/>
        </w:rPr>
        <w:t xml:space="preserve">DECOLONIALIDADE E O NOVO CONSTITUCIONALISMO LATINO AMERICANO: REFLEXÕES ACERCA DA JUDICIABILIDADE DOS DIREITOS ECONÔMICOS, SOCIAIS E CULTURAIS A PARTIR DO CASO LAGOS DEL CAMPO </w:t>
      </w:r>
      <w:r w:rsidRPr="0004183F">
        <w:rPr>
          <w:b/>
          <w:bCs/>
          <w:i/>
          <w:iCs/>
          <w:color w:val="000000"/>
        </w:rPr>
        <w:t xml:space="preserve">VS </w:t>
      </w:r>
      <w:r w:rsidRPr="0004183F">
        <w:rPr>
          <w:b/>
          <w:bCs/>
          <w:color w:val="000000"/>
        </w:rPr>
        <w:t>PERU</w:t>
      </w:r>
    </w:p>
    <w:p w14:paraId="54F65894" w14:textId="77777777" w:rsidR="0004183F" w:rsidRPr="0004183F" w:rsidRDefault="0004183F" w:rsidP="0004183F">
      <w:pPr>
        <w:rPr>
          <w:rFonts w:ascii="Times New Roman" w:hAnsi="Times New Roman" w:cs="Times New Roman"/>
          <w:sz w:val="24"/>
          <w:szCs w:val="24"/>
        </w:rPr>
      </w:pPr>
    </w:p>
    <w:p w14:paraId="47B4BAF4" w14:textId="77777777" w:rsidR="0004183F" w:rsidRPr="0004183F" w:rsidRDefault="0004183F" w:rsidP="00485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4F702" w14:textId="304AF78D" w:rsidR="0004183F" w:rsidRPr="0004183F" w:rsidRDefault="0004183F" w:rsidP="00485331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04183F">
        <w:rPr>
          <w:color w:val="000000"/>
        </w:rPr>
        <w:t xml:space="preserve">Tem-se que historicamente o constitucionalismo apoia-se em dois pilares sendo eles a outorga dos autores do poder constituinte e a atribuição dos direitos fundamentais previstos no texto constitucional, dessa forma o </w:t>
      </w:r>
      <w:proofErr w:type="spellStart"/>
      <w:r w:rsidRPr="0004183F">
        <w:rPr>
          <w:color w:val="000000"/>
        </w:rPr>
        <w:t>neoconstitucionalismo</w:t>
      </w:r>
      <w:proofErr w:type="spellEnd"/>
      <w:r w:rsidRPr="0004183F">
        <w:rPr>
          <w:color w:val="000000"/>
        </w:rPr>
        <w:t xml:space="preserve"> seria um fruto da evolução da teoria constitucional advindo da ressignificação dos direitos fundamentais. Assim, entende-se que apesar desse avanço constitucional ser único à cada Estado é lúcido como esse fenômeno apresenta similaridades entre os países latino americanos, uma vez que passaram por processos históricos, em lapsos temporais síncronos, de autoritarismo e redemocratização</w:t>
      </w:r>
      <w:r w:rsidR="00485331">
        <w:rPr>
          <w:color w:val="000000"/>
        </w:rPr>
        <w:t xml:space="preserve"> (ACOSTA, 2017)</w:t>
      </w:r>
      <w:r w:rsidRPr="0004183F">
        <w:rPr>
          <w:color w:val="000000"/>
        </w:rPr>
        <w:t>.</w:t>
      </w:r>
    </w:p>
    <w:p w14:paraId="5134F5CC" w14:textId="78196356" w:rsidR="0004183F" w:rsidRPr="0004183F" w:rsidRDefault="0004183F" w:rsidP="00485331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04183F">
        <w:rPr>
          <w:color w:val="000000"/>
        </w:rPr>
        <w:t xml:space="preserve">Tal evolução constitucional </w:t>
      </w:r>
      <w:proofErr w:type="spellStart"/>
      <w:r w:rsidRPr="0004183F">
        <w:rPr>
          <w:color w:val="000000"/>
        </w:rPr>
        <w:t>latina-americana</w:t>
      </w:r>
      <w:proofErr w:type="spellEnd"/>
      <w:r w:rsidRPr="0004183F">
        <w:rPr>
          <w:color w:val="000000"/>
        </w:rPr>
        <w:t xml:space="preserve"> traz em seu âmago a proteção dos direitos humanos, em que pese a dignidade humana sendo essa a centralidade do Direito Internacional contemporâneo. A onda </w:t>
      </w:r>
      <w:proofErr w:type="spellStart"/>
      <w:r w:rsidRPr="0004183F">
        <w:rPr>
          <w:color w:val="000000"/>
        </w:rPr>
        <w:t>neoconstitucional</w:t>
      </w:r>
      <w:proofErr w:type="spellEnd"/>
      <w:r w:rsidRPr="0004183F">
        <w:rPr>
          <w:color w:val="000000"/>
        </w:rPr>
        <w:t xml:space="preserve"> traz também a aproximação entre o texto legal e as camadas populares, atribuindo dessa forma uma camada a mais de legitimidade na formatação do texto constitucional, por meio principalmente de uma maior preocupação com os ideais dos povos originários, enaltecendo uma cultura verdadeiramente </w:t>
      </w:r>
      <w:proofErr w:type="spellStart"/>
      <w:r w:rsidRPr="0004183F">
        <w:rPr>
          <w:color w:val="000000"/>
        </w:rPr>
        <w:t>latina-americana</w:t>
      </w:r>
      <w:proofErr w:type="spellEnd"/>
      <w:r w:rsidRPr="0004183F">
        <w:rPr>
          <w:color w:val="000000"/>
        </w:rPr>
        <w:t xml:space="preserve"> e formulando um direito condizente com esses povos</w:t>
      </w:r>
      <w:r w:rsidR="00485331">
        <w:rPr>
          <w:color w:val="000000"/>
        </w:rPr>
        <w:t xml:space="preserve"> (PIOVESAN, 2017)</w:t>
      </w:r>
      <w:r w:rsidRPr="0004183F">
        <w:rPr>
          <w:color w:val="000000"/>
        </w:rPr>
        <w:t>.</w:t>
      </w:r>
    </w:p>
    <w:p w14:paraId="46D142E9" w14:textId="336C8E16" w:rsidR="0004183F" w:rsidRPr="0004183F" w:rsidRDefault="0004183F" w:rsidP="00485331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04183F">
        <w:rPr>
          <w:color w:val="000000"/>
        </w:rPr>
        <w:t xml:space="preserve">Assim, o presente trabalho tem por objetivo estudar o fenômeno do </w:t>
      </w:r>
      <w:proofErr w:type="spellStart"/>
      <w:r w:rsidRPr="0004183F">
        <w:rPr>
          <w:color w:val="000000"/>
        </w:rPr>
        <w:t>neoconstitucionalismo</w:t>
      </w:r>
      <w:proofErr w:type="spellEnd"/>
      <w:r w:rsidRPr="0004183F">
        <w:rPr>
          <w:color w:val="000000"/>
        </w:rPr>
        <w:t xml:space="preserve"> na </w:t>
      </w:r>
      <w:r w:rsidR="004B736A">
        <w:rPr>
          <w:color w:val="000000"/>
        </w:rPr>
        <w:t>A</w:t>
      </w:r>
      <w:r w:rsidRPr="0004183F">
        <w:rPr>
          <w:color w:val="000000"/>
        </w:rPr>
        <w:t xml:space="preserve">mérica </w:t>
      </w:r>
      <w:r w:rsidR="004B736A">
        <w:rPr>
          <w:color w:val="000000"/>
        </w:rPr>
        <w:t>L</w:t>
      </w:r>
      <w:r w:rsidRPr="0004183F">
        <w:rPr>
          <w:color w:val="000000"/>
        </w:rPr>
        <w:t>atina, em especial suas relações com o processo de descolonização e emancipação cultural latino-american</w:t>
      </w:r>
      <w:r w:rsidR="004B736A">
        <w:rPr>
          <w:color w:val="000000"/>
        </w:rPr>
        <w:t>a</w:t>
      </w:r>
      <w:r w:rsidRPr="0004183F">
        <w:rPr>
          <w:color w:val="000000"/>
        </w:rPr>
        <w:t>, além</w:t>
      </w:r>
      <w:r w:rsidR="004B736A">
        <w:rPr>
          <w:color w:val="000000"/>
        </w:rPr>
        <w:t xml:space="preserve"> disso o estudo visa </w:t>
      </w:r>
      <w:r w:rsidRPr="0004183F">
        <w:rPr>
          <w:color w:val="000000"/>
        </w:rPr>
        <w:t xml:space="preserve">analisar o caso Lagos </w:t>
      </w:r>
      <w:proofErr w:type="spellStart"/>
      <w:r w:rsidRPr="0004183F">
        <w:rPr>
          <w:color w:val="000000"/>
        </w:rPr>
        <w:t>del</w:t>
      </w:r>
      <w:proofErr w:type="spellEnd"/>
      <w:r w:rsidRPr="0004183F">
        <w:rPr>
          <w:color w:val="000000"/>
        </w:rPr>
        <w:t xml:space="preserve"> Campo </w:t>
      </w:r>
      <w:proofErr w:type="spellStart"/>
      <w:r w:rsidR="004B736A" w:rsidRPr="00485331">
        <w:rPr>
          <w:i/>
          <w:iCs/>
          <w:color w:val="000000"/>
        </w:rPr>
        <w:t>vs</w:t>
      </w:r>
      <w:proofErr w:type="spellEnd"/>
      <w:r w:rsidRPr="0004183F">
        <w:rPr>
          <w:color w:val="000000"/>
        </w:rPr>
        <w:t xml:space="preserve"> Peru da Corte Interamericana de Direitos Humanos</w:t>
      </w:r>
      <w:r w:rsidR="004B736A">
        <w:rPr>
          <w:color w:val="000000"/>
        </w:rPr>
        <w:t xml:space="preserve"> em 2017</w:t>
      </w:r>
      <w:r w:rsidRPr="0004183F">
        <w:rPr>
          <w:color w:val="000000"/>
        </w:rPr>
        <w:t xml:space="preserve"> a fim de relacionar as temáticas desenvolvidas nesse trabalho com os direito Econômicos, Sociais e Culturais dentro do Sistema Interamericano de Direitos Humanos. Para tanto utiliza-se do método hipotético-dedutivo aliado aos procedimentos documental e bibliográfico de pesquisa</w:t>
      </w:r>
      <w:r w:rsidR="004B736A">
        <w:rPr>
          <w:color w:val="000000"/>
        </w:rPr>
        <w:t>.</w:t>
      </w:r>
    </w:p>
    <w:p w14:paraId="6500AC59" w14:textId="23A546FE" w:rsidR="0004183F" w:rsidRPr="0004183F" w:rsidRDefault="004B736A" w:rsidP="00485331">
      <w:pPr>
        <w:pStyle w:val="NormalWeb"/>
        <w:spacing w:before="0" w:beforeAutospacing="0" w:after="0" w:afterAutospacing="0" w:line="360" w:lineRule="auto"/>
        <w:ind w:firstLine="567"/>
        <w:jc w:val="both"/>
      </w:pPr>
      <w:r>
        <w:rPr>
          <w:color w:val="000000"/>
        </w:rPr>
        <w:t>Nesse sentido, t</w:t>
      </w:r>
      <w:r w:rsidR="0004183F" w:rsidRPr="0004183F">
        <w:rPr>
          <w:color w:val="000000"/>
        </w:rPr>
        <w:t xml:space="preserve">em-se o entendimento de que a onda </w:t>
      </w:r>
      <w:proofErr w:type="spellStart"/>
      <w:r w:rsidR="0004183F" w:rsidRPr="0004183F">
        <w:rPr>
          <w:color w:val="000000"/>
        </w:rPr>
        <w:t>neoconstitucional</w:t>
      </w:r>
      <w:proofErr w:type="spellEnd"/>
      <w:r w:rsidR="0004183F" w:rsidRPr="0004183F">
        <w:rPr>
          <w:color w:val="000000"/>
        </w:rPr>
        <w:t xml:space="preserve"> que permeia a América Latina carrega os princípios de maior representatividade popular e proteção dos direitos humanos com o fito de garantir maior legitimidade à essa norma constitucional além de fomentar a emancipação cultural dessa região com um passado tão semelhante de colonização e autoritarismo. Dessa forma, o </w:t>
      </w:r>
      <w:proofErr w:type="spellStart"/>
      <w:r w:rsidR="0004183F" w:rsidRPr="0004183F">
        <w:rPr>
          <w:color w:val="000000"/>
        </w:rPr>
        <w:t>neoconstitucionalismo</w:t>
      </w:r>
      <w:proofErr w:type="spellEnd"/>
      <w:r w:rsidR="0004183F" w:rsidRPr="0004183F">
        <w:rPr>
          <w:color w:val="000000"/>
        </w:rPr>
        <w:t xml:space="preserve"> exalta a interculturalidade, </w:t>
      </w:r>
      <w:r w:rsidR="0004183F" w:rsidRPr="0004183F">
        <w:rPr>
          <w:color w:val="000000"/>
        </w:rPr>
        <w:lastRenderedPageBreak/>
        <w:t xml:space="preserve">permitindo  que o sistema do homem branco coexista com a cultura dos povos originários apontando-se como uma luz nos debates de descolonização. </w:t>
      </w:r>
      <w:r>
        <w:rPr>
          <w:color w:val="000000"/>
        </w:rPr>
        <w:t>Nessa concepção, tal c</w:t>
      </w:r>
      <w:r w:rsidR="0004183F" w:rsidRPr="0004183F">
        <w:rPr>
          <w:color w:val="000000"/>
        </w:rPr>
        <w:t xml:space="preserve">orrente pode ser vista também na jurisprudência do Sistema Interamericano de Direitos Humanos, sistema esse composto pelos mesmos países que acompanham a onda </w:t>
      </w:r>
      <w:proofErr w:type="spellStart"/>
      <w:r w:rsidR="0004183F" w:rsidRPr="0004183F">
        <w:rPr>
          <w:color w:val="000000"/>
        </w:rPr>
        <w:t>neoconstitucional</w:t>
      </w:r>
      <w:proofErr w:type="spellEnd"/>
      <w:r w:rsidR="0004183F" w:rsidRPr="0004183F">
        <w:rPr>
          <w:color w:val="000000"/>
        </w:rPr>
        <w:t xml:space="preserve"> latino-americana.</w:t>
      </w:r>
    </w:p>
    <w:p w14:paraId="65E0CC03" w14:textId="16307E57" w:rsidR="0004183F" w:rsidRPr="0004183F" w:rsidRDefault="0004183F" w:rsidP="00485331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04183F">
        <w:rPr>
          <w:color w:val="000000"/>
        </w:rPr>
        <w:t xml:space="preserve">A nível global, a Declaração Universal dos Direitos Humanos de 1949 rege que o pleno gozo das liberdades civis e políticas só pode ser concretizada quando há condições que permitam o exercício de tais direitos protegidos. Nessa visão a Corte Interamericana de Direitos Humanos complementa essa visão no caso Suárez Peralta </w:t>
      </w:r>
      <w:proofErr w:type="spellStart"/>
      <w:r w:rsidRPr="004B736A">
        <w:rPr>
          <w:i/>
          <w:iCs/>
          <w:color w:val="000000"/>
        </w:rPr>
        <w:t>vs</w:t>
      </w:r>
      <w:proofErr w:type="spellEnd"/>
      <w:r w:rsidRPr="004B736A">
        <w:rPr>
          <w:i/>
          <w:iCs/>
          <w:color w:val="000000"/>
        </w:rPr>
        <w:t xml:space="preserve"> </w:t>
      </w:r>
      <w:r w:rsidRPr="0004183F">
        <w:rPr>
          <w:color w:val="000000"/>
        </w:rPr>
        <w:t xml:space="preserve">Equador </w:t>
      </w:r>
      <w:r w:rsidR="00A2683B">
        <w:rPr>
          <w:color w:val="000000"/>
        </w:rPr>
        <w:t>em 2013</w:t>
      </w:r>
      <w:r w:rsidRPr="0004183F">
        <w:rPr>
          <w:color w:val="000000"/>
        </w:rPr>
        <w:t xml:space="preserve"> que evidencia a interdependência dos direitos econômicos, sociais e culturais com os direitos civis e políticos (</w:t>
      </w:r>
      <w:proofErr w:type="spellStart"/>
      <w:r w:rsidRPr="0004183F">
        <w:rPr>
          <w:color w:val="000000"/>
        </w:rPr>
        <w:t>CtIDH</w:t>
      </w:r>
      <w:proofErr w:type="spellEnd"/>
      <w:r w:rsidRPr="0004183F">
        <w:rPr>
          <w:color w:val="000000"/>
        </w:rPr>
        <w:t>, 2013</w:t>
      </w:r>
      <w:r w:rsidR="00A2683B">
        <w:rPr>
          <w:color w:val="000000"/>
        </w:rPr>
        <w:t xml:space="preserve">). Aqui, há de se considerar que tal visão foi uma das principais fontes jurisprudenciais para os argumentos que passariam a serem utilizados em prol da defesa dos direitos econômicos e sociais, como no caso Lagos </w:t>
      </w:r>
      <w:proofErr w:type="spellStart"/>
      <w:r w:rsidR="00A2683B">
        <w:rPr>
          <w:color w:val="000000"/>
        </w:rPr>
        <w:t>del</w:t>
      </w:r>
      <w:proofErr w:type="spellEnd"/>
      <w:r w:rsidR="00A2683B">
        <w:rPr>
          <w:color w:val="000000"/>
        </w:rPr>
        <w:t xml:space="preserve"> Campo </w:t>
      </w:r>
      <w:proofErr w:type="spellStart"/>
      <w:r w:rsidR="00A2683B" w:rsidRPr="00A2683B">
        <w:rPr>
          <w:i/>
          <w:iCs/>
          <w:color w:val="000000"/>
        </w:rPr>
        <w:t>vs</w:t>
      </w:r>
      <w:proofErr w:type="spellEnd"/>
      <w:r w:rsidR="00A2683B">
        <w:rPr>
          <w:color w:val="000000"/>
        </w:rPr>
        <w:t xml:space="preserve"> Peru, além disso, tratava-se de uma doutrina que posteriormente passou a inspirar o direito constitucional comparado, sobretudo o latino-americano em matéria de judicialização direta dos DESC (SALAZAR, 2017).</w:t>
      </w:r>
    </w:p>
    <w:p w14:paraId="7BFF8EB0" w14:textId="5A56BDA7" w:rsidR="0004183F" w:rsidRPr="0004183F" w:rsidRDefault="0004183F" w:rsidP="00485331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04183F">
        <w:rPr>
          <w:color w:val="000000"/>
        </w:rPr>
        <w:t xml:space="preserve">Com base nesse caso há de se considerar que os </w:t>
      </w:r>
      <w:r w:rsidR="004B736A">
        <w:rPr>
          <w:color w:val="000000"/>
        </w:rPr>
        <w:t>direitos econômicos, sociais e culturais (DESC)</w:t>
      </w:r>
      <w:r w:rsidRPr="0004183F">
        <w:rPr>
          <w:color w:val="000000"/>
        </w:rPr>
        <w:t xml:space="preserve"> são direitos previstos pela Convenção Americana de Direitos Humanos</w:t>
      </w:r>
      <w:r w:rsidR="004B736A">
        <w:rPr>
          <w:color w:val="000000"/>
        </w:rPr>
        <w:t xml:space="preserve"> (CADH)</w:t>
      </w:r>
      <w:r w:rsidRPr="0004183F">
        <w:rPr>
          <w:color w:val="000000"/>
        </w:rPr>
        <w:t xml:space="preserve"> em seu art. 26, porém tal tutela</w:t>
      </w:r>
      <w:r w:rsidR="004B736A">
        <w:rPr>
          <w:color w:val="000000"/>
        </w:rPr>
        <w:t xml:space="preserve"> se dava de forma</w:t>
      </w:r>
      <w:r w:rsidRPr="0004183F">
        <w:rPr>
          <w:color w:val="000000"/>
        </w:rPr>
        <w:t xml:space="preserve"> subjetiva </w:t>
      </w:r>
      <w:r w:rsidR="004B736A">
        <w:rPr>
          <w:color w:val="000000"/>
        </w:rPr>
        <w:t xml:space="preserve">anteriormente ao caso </w:t>
      </w:r>
      <w:r w:rsidR="00A2683B">
        <w:rPr>
          <w:color w:val="000000"/>
        </w:rPr>
        <w:t xml:space="preserve">julgado na corte em 2013, </w:t>
      </w:r>
      <w:r w:rsidRPr="0004183F">
        <w:rPr>
          <w:color w:val="000000"/>
        </w:rPr>
        <w:t xml:space="preserve">o que dificultava a possível judicialização desses perante a corte. Entretanto, vinte anos depois da vigência da </w:t>
      </w:r>
      <w:r w:rsidR="004B736A" w:rsidRPr="0004183F">
        <w:rPr>
          <w:color w:val="000000"/>
        </w:rPr>
        <w:t>CADH, com</w:t>
      </w:r>
      <w:r w:rsidRPr="0004183F">
        <w:rPr>
          <w:color w:val="000000"/>
        </w:rPr>
        <w:t xml:space="preserve"> o advento do Protocolo Adicional de San Salvador em 1999, houve uma evolução jurisprudencial no sentido de apelar judicialmente direitos que se enquadrem nas categorias econômicas, sociais e culturais, </w:t>
      </w:r>
      <w:r w:rsidR="00A2683B">
        <w:rPr>
          <w:color w:val="000000"/>
        </w:rPr>
        <w:t xml:space="preserve">este </w:t>
      </w:r>
      <w:r w:rsidRPr="0004183F">
        <w:rPr>
          <w:color w:val="000000"/>
        </w:rPr>
        <w:t xml:space="preserve">avanço por ser impresso na sentença Lagos Del Campo </w:t>
      </w:r>
      <w:proofErr w:type="spellStart"/>
      <w:r w:rsidRPr="004B736A">
        <w:rPr>
          <w:i/>
          <w:iCs/>
          <w:color w:val="000000"/>
        </w:rPr>
        <w:t>vs</w:t>
      </w:r>
      <w:proofErr w:type="spellEnd"/>
      <w:r w:rsidRPr="0004183F">
        <w:rPr>
          <w:color w:val="000000"/>
        </w:rPr>
        <w:t xml:space="preserve"> Peru em 2017.</w:t>
      </w:r>
    </w:p>
    <w:p w14:paraId="161202F5" w14:textId="1269EA88" w:rsidR="0004183F" w:rsidRPr="0004183F" w:rsidRDefault="0004183F" w:rsidP="00485331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04183F">
        <w:rPr>
          <w:color w:val="000000"/>
        </w:rPr>
        <w:t xml:space="preserve">Tal caso emblemático se deu por conta do Sr. Alfredo Lopes Del Campo, sindicalista e presidente da Comissão Eleitoral da Comunidade Industrial da </w:t>
      </w:r>
      <w:proofErr w:type="spellStart"/>
      <w:r w:rsidRPr="0004183F">
        <w:rPr>
          <w:color w:val="000000"/>
        </w:rPr>
        <w:t>Ceper</w:t>
      </w:r>
      <w:proofErr w:type="spellEnd"/>
      <w:r w:rsidRPr="0004183F">
        <w:rPr>
          <w:color w:val="000000"/>
        </w:rPr>
        <w:t xml:space="preserve">-Pirelli, empresa essa na qual foi demitido por conta de determinadas intervenções na indústria a respeito de conflitos sociais reivindicados por outros trabalhadores. Foi nesse contexto em que houve violação do seu direito à liberdade de expressão, tal conduta, após ser analisada pela </w:t>
      </w:r>
      <w:proofErr w:type="spellStart"/>
      <w:r w:rsidRPr="0004183F">
        <w:rPr>
          <w:color w:val="000000"/>
        </w:rPr>
        <w:t>CtIDH</w:t>
      </w:r>
      <w:proofErr w:type="spellEnd"/>
      <w:r w:rsidRPr="0004183F">
        <w:rPr>
          <w:color w:val="000000"/>
        </w:rPr>
        <w:t xml:space="preserve">, em consonância com o art. 26, verificou-se que tratava-se de um rompimento com a previsão de tal artigo uma vez que a corte entendeu que a proteção do trabalho perpassa pela efetividade </w:t>
      </w:r>
      <w:r w:rsidRPr="0004183F">
        <w:rPr>
          <w:color w:val="000000"/>
        </w:rPr>
        <w:lastRenderedPageBreak/>
        <w:t xml:space="preserve">dos DESC conforme também prevê os </w:t>
      </w:r>
      <w:proofErr w:type="spellStart"/>
      <w:r w:rsidRPr="0004183F">
        <w:rPr>
          <w:color w:val="000000"/>
        </w:rPr>
        <w:t>arts</w:t>
      </w:r>
      <w:proofErr w:type="spellEnd"/>
      <w:r w:rsidRPr="0004183F">
        <w:rPr>
          <w:color w:val="000000"/>
        </w:rPr>
        <w:t>.</w:t>
      </w:r>
      <w:r w:rsidR="004B736A">
        <w:rPr>
          <w:color w:val="000000"/>
        </w:rPr>
        <w:t xml:space="preserve"> </w:t>
      </w:r>
      <w:r w:rsidRPr="0004183F">
        <w:rPr>
          <w:color w:val="000000"/>
        </w:rPr>
        <w:t xml:space="preserve">34, 45 </w:t>
      </w:r>
      <w:r w:rsidR="00A2683B" w:rsidRPr="0004183F">
        <w:rPr>
          <w:color w:val="000000"/>
        </w:rPr>
        <w:t>e 46</w:t>
      </w:r>
      <w:r w:rsidRPr="0004183F">
        <w:rPr>
          <w:color w:val="000000"/>
        </w:rPr>
        <w:t xml:space="preserve"> da Carta da Organização dos Estados Americanos (</w:t>
      </w:r>
      <w:proofErr w:type="spellStart"/>
      <w:r w:rsidRPr="0004183F">
        <w:rPr>
          <w:color w:val="000000"/>
        </w:rPr>
        <w:t>CtIDH</w:t>
      </w:r>
      <w:proofErr w:type="spellEnd"/>
      <w:r w:rsidRPr="0004183F">
        <w:rPr>
          <w:color w:val="000000"/>
        </w:rPr>
        <w:t>, 2017).</w:t>
      </w:r>
    </w:p>
    <w:p w14:paraId="4C081EC9" w14:textId="77777777" w:rsidR="0004183F" w:rsidRPr="0004183F" w:rsidRDefault="0004183F" w:rsidP="00485331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04183F">
        <w:rPr>
          <w:color w:val="000000"/>
        </w:rPr>
        <w:t xml:space="preserve">Nesse contexto, há de se apontar que tal caso abre precedente para romper com a compreensão restritiva antes feita pela </w:t>
      </w:r>
      <w:proofErr w:type="spellStart"/>
      <w:r w:rsidRPr="0004183F">
        <w:rPr>
          <w:color w:val="000000"/>
        </w:rPr>
        <w:t>CtIDH</w:t>
      </w:r>
      <w:proofErr w:type="spellEnd"/>
      <w:r w:rsidRPr="0004183F">
        <w:rPr>
          <w:color w:val="000000"/>
        </w:rPr>
        <w:t xml:space="preserve">,  uma vez que a jurisprudência do caso em questão ampliou o entendimento no que tange os DESC. Além disso, outro fator importantíssimo trazido pela sentença do caso Lagos Del Campo </w:t>
      </w:r>
      <w:proofErr w:type="spellStart"/>
      <w:r w:rsidRPr="0004183F">
        <w:rPr>
          <w:color w:val="000000"/>
        </w:rPr>
        <w:t>vs</w:t>
      </w:r>
      <w:proofErr w:type="spellEnd"/>
      <w:r w:rsidRPr="0004183F">
        <w:rPr>
          <w:color w:val="000000"/>
        </w:rPr>
        <w:t xml:space="preserve"> Peru se dá pela compreensão de novas demandas sociais inseridas no contexto de emancipação social e desenvolvimento latino-americano (NASCIMENTO; CORREA; FERREIRA, 2019). </w:t>
      </w:r>
    </w:p>
    <w:p w14:paraId="6E91DE2F" w14:textId="2F491B1A" w:rsidR="0004183F" w:rsidRDefault="0004183F" w:rsidP="00485331">
      <w:pPr>
        <w:pStyle w:val="NormalWeb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04183F">
        <w:rPr>
          <w:color w:val="000000"/>
        </w:rPr>
        <w:t xml:space="preserve">Com base nisso, a sentença torna palpável a </w:t>
      </w:r>
      <w:proofErr w:type="spellStart"/>
      <w:r w:rsidRPr="0004183F">
        <w:rPr>
          <w:i/>
          <w:iCs/>
          <w:color w:val="000000"/>
        </w:rPr>
        <w:t>ius</w:t>
      </w:r>
      <w:proofErr w:type="spellEnd"/>
      <w:r w:rsidRPr="0004183F">
        <w:rPr>
          <w:i/>
          <w:iCs/>
          <w:color w:val="000000"/>
        </w:rPr>
        <w:t xml:space="preserve"> </w:t>
      </w:r>
      <w:proofErr w:type="spellStart"/>
      <w:r w:rsidRPr="0004183F">
        <w:rPr>
          <w:i/>
          <w:iCs/>
          <w:color w:val="000000"/>
        </w:rPr>
        <w:t>commune</w:t>
      </w:r>
      <w:proofErr w:type="spellEnd"/>
      <w:r w:rsidRPr="0004183F">
        <w:rPr>
          <w:color w:val="000000"/>
        </w:rPr>
        <w:t xml:space="preserve"> uma vez que, se insere num processo de discussão de temáticas políticas comuns a toda a sociedade permitindo um diálogo constitucional (partindo da concepção da adaptação do direito à nova realidade latino-americana)  entre as fronteiras e fortalecendo o SIDH com base jurídica à proteção dos direitos humanos (ACCOSTA, 2017). Nesse contexto,  considerando que a América Latina, inserida numa conjuntura pós-colonial, é caracterizada pelo alto grau de exclusão e marginalização social condicionando as democracias dos Estados que a compõem em um processo de consolidação</w:t>
      </w:r>
      <w:r w:rsidR="004B736A">
        <w:rPr>
          <w:color w:val="000000"/>
        </w:rPr>
        <w:t xml:space="preserve">, o Sistema Interamericano </w:t>
      </w:r>
      <w:r w:rsidR="00485331">
        <w:rPr>
          <w:color w:val="000000"/>
        </w:rPr>
        <w:t xml:space="preserve">de Direitos Humanos contribui para essa evolução como pode ser vista no caso Lagos Del Campo </w:t>
      </w:r>
      <w:proofErr w:type="spellStart"/>
      <w:r w:rsidR="00485331" w:rsidRPr="00485331">
        <w:rPr>
          <w:i/>
          <w:iCs/>
          <w:color w:val="000000"/>
        </w:rPr>
        <w:t>vs</w:t>
      </w:r>
      <w:proofErr w:type="spellEnd"/>
      <w:r w:rsidR="00485331">
        <w:rPr>
          <w:color w:val="000000"/>
        </w:rPr>
        <w:t xml:space="preserve"> Peru </w:t>
      </w:r>
      <w:r w:rsidRPr="0004183F">
        <w:rPr>
          <w:color w:val="000000"/>
        </w:rPr>
        <w:t xml:space="preserve"> (PIOVESAN, 2017).</w:t>
      </w:r>
    </w:p>
    <w:p w14:paraId="22A17124" w14:textId="34EC2829" w:rsidR="00485331" w:rsidRDefault="00485331" w:rsidP="00485331">
      <w:pPr>
        <w:pStyle w:val="NormalWeb"/>
        <w:spacing w:before="0" w:beforeAutospacing="0" w:after="0" w:afterAutospacing="0" w:line="360" w:lineRule="auto"/>
        <w:ind w:firstLine="567"/>
        <w:jc w:val="both"/>
      </w:pPr>
      <w:r>
        <w:t>Portanto, o que há de se apontar</w:t>
      </w:r>
      <w:r w:rsidR="00393486">
        <w:t xml:space="preserve"> no </w:t>
      </w:r>
      <w:r>
        <w:t xml:space="preserve">caso julgado pela corte </w:t>
      </w:r>
      <w:r w:rsidR="00393486">
        <w:t xml:space="preserve">é o de que a proteção dos direitos humanos, incluindo os DESC, em meio à globalização dos sistemas jurídicos internacionais, estabelece uma relação de cooperação entre os tribunais domésticos e internacionais criando condições mais acessíveis de efetividade dos direitos sociais se analisados pela ótica da </w:t>
      </w:r>
      <w:r w:rsidR="00A2683B">
        <w:t>possibilidade</w:t>
      </w:r>
      <w:r w:rsidR="00393486">
        <w:t xml:space="preserve"> de judicialização dos mesmo (CERQUEIRA, 2019). Além disso, uma concepção que se materializa no caso em questão é o de que o Direito </w:t>
      </w:r>
      <w:r w:rsidR="00A2683B">
        <w:t>i</w:t>
      </w:r>
      <w:r w:rsidR="00393486">
        <w:t xml:space="preserve">nternacional contemporâneo não se reduz a uma relação entre os Estados, mas também entre os indivíduos </w:t>
      </w:r>
      <w:r w:rsidR="00A2683B">
        <w:t xml:space="preserve">podendo os mesmos </w:t>
      </w:r>
      <w:proofErr w:type="spellStart"/>
      <w:r w:rsidR="00A2683B">
        <w:t>judicializar</w:t>
      </w:r>
      <w:proofErr w:type="spellEnd"/>
      <w:r w:rsidR="00A2683B">
        <w:t xml:space="preserve"> os direitos além do direito doméstico </w:t>
      </w:r>
      <w:r w:rsidR="00393486">
        <w:t>(TRINDADE, 2015).</w:t>
      </w:r>
    </w:p>
    <w:p w14:paraId="6D0590C1" w14:textId="7AE60D0D" w:rsidR="0004183F" w:rsidRDefault="00A2683B" w:rsidP="00396EA9">
      <w:pPr>
        <w:pStyle w:val="NormalWeb"/>
        <w:spacing w:before="0" w:beforeAutospacing="0" w:after="0" w:afterAutospacing="0" w:line="360" w:lineRule="auto"/>
        <w:ind w:firstLine="567"/>
        <w:jc w:val="both"/>
      </w:pPr>
      <w:r>
        <w:t xml:space="preserve">Nesse sentido, neste estudo o que pode ser constatado é </w:t>
      </w:r>
      <w:r w:rsidR="003A0388">
        <w:t>a compreensão</w:t>
      </w:r>
      <w:r>
        <w:t xml:space="preserve"> de que há uma relação de cooperação entre o direito doméstico e o internacional </w:t>
      </w:r>
      <w:r w:rsidR="003A0388">
        <w:t xml:space="preserve">em matéria de direito doméstico visto que, o novo constitucionalismo latino-americano, que compreende uma nova interpretação dos direitos fundamentais pautada na participação popular e atribuição dos DESC, serve de inspiração para o Sistema Interamericano acompanhar esta evolução da judicialização dos direitos sociais no plano internacional. Portanto, essa concepção </w:t>
      </w:r>
      <w:r w:rsidR="003A0388">
        <w:lastRenderedPageBreak/>
        <w:t xml:space="preserve">constitucional dos países que compõe a América Latina, criam um </w:t>
      </w:r>
      <w:r w:rsidR="00396EA9">
        <w:t>D</w:t>
      </w:r>
      <w:r w:rsidR="003A0388">
        <w:t xml:space="preserve">ireito </w:t>
      </w:r>
      <w:proofErr w:type="spellStart"/>
      <w:r w:rsidR="003A0388">
        <w:t>decolonial</w:t>
      </w:r>
      <w:proofErr w:type="spellEnd"/>
      <w:r w:rsidR="003A0388">
        <w:t xml:space="preserve"> no sentido de serem</w:t>
      </w:r>
      <w:r w:rsidR="00396EA9">
        <w:t xml:space="preserve"> uma resposta a dominação cultural e a proteção do direito dos povos.</w:t>
      </w:r>
    </w:p>
    <w:p w14:paraId="102B2063" w14:textId="61864097" w:rsidR="00396EA9" w:rsidRDefault="00396EA9" w:rsidP="00396EA9">
      <w:pPr>
        <w:pStyle w:val="NormalWeb"/>
        <w:spacing w:before="0" w:beforeAutospacing="0" w:after="0" w:afterAutospacing="0" w:line="360" w:lineRule="auto"/>
        <w:ind w:firstLine="567"/>
        <w:jc w:val="both"/>
      </w:pPr>
    </w:p>
    <w:p w14:paraId="7668DDC2" w14:textId="02C68E90" w:rsidR="00396EA9" w:rsidRPr="00396EA9" w:rsidRDefault="00396EA9" w:rsidP="00396EA9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396EA9">
        <w:rPr>
          <w:b/>
          <w:bCs/>
        </w:rPr>
        <w:t>REFERÊNCIAS:</w:t>
      </w:r>
    </w:p>
    <w:p w14:paraId="56CA8404" w14:textId="77777777" w:rsidR="0004183F" w:rsidRPr="00396EA9" w:rsidRDefault="0004183F" w:rsidP="00396EA9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79615029" w14:textId="77777777" w:rsidR="00396EA9" w:rsidRPr="00396EA9" w:rsidRDefault="00396EA9" w:rsidP="00396EA9">
      <w:pPr>
        <w:pStyle w:val="NormalWeb"/>
        <w:spacing w:before="60" w:beforeAutospacing="0" w:after="60" w:afterAutospacing="0"/>
        <w:jc w:val="both"/>
        <w:rPr>
          <w:sz w:val="20"/>
          <w:szCs w:val="20"/>
        </w:rPr>
      </w:pPr>
      <w:r w:rsidRPr="00396EA9">
        <w:rPr>
          <w:sz w:val="20"/>
          <w:szCs w:val="20"/>
          <w:shd w:val="clear" w:color="auto" w:fill="FFFFFF"/>
        </w:rPr>
        <w:t xml:space="preserve">ACOSTA, Paola Andrea. </w:t>
      </w:r>
      <w:proofErr w:type="spellStart"/>
      <w:r w:rsidRPr="00396EA9">
        <w:rPr>
          <w:sz w:val="20"/>
          <w:szCs w:val="20"/>
          <w:shd w:val="clear" w:color="auto" w:fill="FFFFFF"/>
        </w:rPr>
        <w:t>Ius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96EA9">
        <w:rPr>
          <w:sz w:val="20"/>
          <w:szCs w:val="20"/>
          <w:shd w:val="clear" w:color="auto" w:fill="FFFFFF"/>
        </w:rPr>
        <w:t>Communeinteramericano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. </w:t>
      </w:r>
      <w:proofErr w:type="spellStart"/>
      <w:r w:rsidRPr="00396EA9">
        <w:rPr>
          <w:b/>
          <w:bCs/>
          <w:sz w:val="20"/>
          <w:szCs w:val="20"/>
          <w:shd w:val="clear" w:color="auto" w:fill="FFFFFF"/>
        </w:rPr>
        <w:t>Brevísimas</w:t>
      </w:r>
      <w:proofErr w:type="spellEnd"/>
      <w:r w:rsidRPr="00396EA9">
        <w:rPr>
          <w:b/>
          <w:bCs/>
          <w:sz w:val="20"/>
          <w:szCs w:val="20"/>
          <w:shd w:val="clear" w:color="auto" w:fill="FFFFFF"/>
        </w:rPr>
        <w:t xml:space="preserve"> notas sobre </w:t>
      </w:r>
      <w:proofErr w:type="spellStart"/>
      <w:r w:rsidRPr="00396EA9">
        <w:rPr>
          <w:b/>
          <w:bCs/>
          <w:sz w:val="20"/>
          <w:szCs w:val="20"/>
          <w:shd w:val="clear" w:color="auto" w:fill="FFFFFF"/>
        </w:rPr>
        <w:t>el</w:t>
      </w:r>
      <w:proofErr w:type="spellEnd"/>
      <w:r w:rsidRPr="00396EA9">
        <w:rPr>
          <w:b/>
          <w:bCs/>
          <w:sz w:val="20"/>
          <w:szCs w:val="20"/>
          <w:shd w:val="clear" w:color="auto" w:fill="FFFFFF"/>
        </w:rPr>
        <w:t xml:space="preserve"> concepto de diálogo</w:t>
      </w:r>
      <w:r w:rsidRPr="00396EA9">
        <w:rPr>
          <w:sz w:val="20"/>
          <w:szCs w:val="20"/>
          <w:shd w:val="clear" w:color="auto" w:fill="FFFFFF"/>
        </w:rPr>
        <w:t xml:space="preserve">. In: VON BOGDANDY, </w:t>
      </w:r>
      <w:proofErr w:type="spellStart"/>
      <w:r w:rsidRPr="00396EA9">
        <w:rPr>
          <w:sz w:val="20"/>
          <w:szCs w:val="20"/>
          <w:shd w:val="clear" w:color="auto" w:fill="FFFFFF"/>
        </w:rPr>
        <w:t>Armin</w:t>
      </w:r>
      <w:proofErr w:type="spellEnd"/>
      <w:r w:rsidRPr="00396EA9">
        <w:rPr>
          <w:sz w:val="20"/>
          <w:szCs w:val="20"/>
          <w:shd w:val="clear" w:color="auto" w:fill="FFFFFF"/>
        </w:rPr>
        <w:t>; MORALES ANTONIAZZI, Mariela; FERRER MAC-GREGOR, Eduardo (coord.)</w:t>
      </w:r>
      <w:r w:rsidRPr="00396EA9">
        <w:rPr>
          <w:b/>
          <w:bCs/>
          <w:sz w:val="20"/>
          <w:szCs w:val="20"/>
          <w:shd w:val="clear" w:color="auto" w:fill="FFFFFF"/>
        </w:rPr>
        <w:t xml:space="preserve">. </w:t>
      </w:r>
      <w:proofErr w:type="spellStart"/>
      <w:r w:rsidRPr="00396EA9">
        <w:rPr>
          <w:sz w:val="20"/>
          <w:szCs w:val="20"/>
          <w:shd w:val="clear" w:color="auto" w:fill="FFFFFF"/>
        </w:rPr>
        <w:t>Ius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96EA9">
        <w:rPr>
          <w:sz w:val="20"/>
          <w:szCs w:val="20"/>
          <w:shd w:val="clear" w:color="auto" w:fill="FFFFFF"/>
        </w:rPr>
        <w:t>Constitutionale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96EA9">
        <w:rPr>
          <w:sz w:val="20"/>
          <w:szCs w:val="20"/>
          <w:shd w:val="clear" w:color="auto" w:fill="FFFFFF"/>
        </w:rPr>
        <w:t>Commune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96EA9">
        <w:rPr>
          <w:sz w:val="20"/>
          <w:szCs w:val="20"/>
          <w:shd w:val="clear" w:color="auto" w:fill="FFFFFF"/>
        </w:rPr>
        <w:t>en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América Latina: Textos básicos para </w:t>
      </w:r>
      <w:proofErr w:type="spellStart"/>
      <w:r w:rsidRPr="00396EA9">
        <w:rPr>
          <w:sz w:val="20"/>
          <w:szCs w:val="20"/>
          <w:shd w:val="clear" w:color="auto" w:fill="FFFFFF"/>
        </w:rPr>
        <w:t>su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96EA9">
        <w:rPr>
          <w:sz w:val="20"/>
          <w:szCs w:val="20"/>
          <w:shd w:val="clear" w:color="auto" w:fill="FFFFFF"/>
        </w:rPr>
        <w:t>comprensión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. 1. ed. Querétaro: Instituto de </w:t>
      </w:r>
      <w:proofErr w:type="spellStart"/>
      <w:r w:rsidRPr="00396EA9">
        <w:rPr>
          <w:sz w:val="20"/>
          <w:szCs w:val="20"/>
          <w:shd w:val="clear" w:color="auto" w:fill="FFFFFF"/>
        </w:rPr>
        <w:t>Estudios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96EA9">
        <w:rPr>
          <w:sz w:val="20"/>
          <w:szCs w:val="20"/>
          <w:shd w:val="clear" w:color="auto" w:fill="FFFFFF"/>
        </w:rPr>
        <w:t>Constitucionales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96EA9">
        <w:rPr>
          <w:sz w:val="20"/>
          <w:szCs w:val="20"/>
          <w:shd w:val="clear" w:color="auto" w:fill="FFFFFF"/>
        </w:rPr>
        <w:t>del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Estado de Querétaro: Max Planck </w:t>
      </w:r>
      <w:proofErr w:type="spellStart"/>
      <w:r w:rsidRPr="00396EA9">
        <w:rPr>
          <w:sz w:val="20"/>
          <w:szCs w:val="20"/>
          <w:shd w:val="clear" w:color="auto" w:fill="FFFFFF"/>
        </w:rPr>
        <w:t>Institute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for </w:t>
      </w:r>
      <w:proofErr w:type="spellStart"/>
      <w:r w:rsidRPr="00396EA9">
        <w:rPr>
          <w:sz w:val="20"/>
          <w:szCs w:val="20"/>
          <w:shd w:val="clear" w:color="auto" w:fill="FFFFFF"/>
        </w:rPr>
        <w:t>Comparative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96EA9">
        <w:rPr>
          <w:sz w:val="20"/>
          <w:szCs w:val="20"/>
          <w:shd w:val="clear" w:color="auto" w:fill="FFFFFF"/>
        </w:rPr>
        <w:t>Public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Law </w:t>
      </w:r>
      <w:proofErr w:type="spellStart"/>
      <w:r w:rsidRPr="00396EA9">
        <w:rPr>
          <w:sz w:val="20"/>
          <w:szCs w:val="20"/>
          <w:shd w:val="clear" w:color="auto" w:fill="FFFFFF"/>
        </w:rPr>
        <w:t>and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96EA9">
        <w:rPr>
          <w:sz w:val="20"/>
          <w:szCs w:val="20"/>
          <w:shd w:val="clear" w:color="auto" w:fill="FFFFFF"/>
        </w:rPr>
        <w:t>International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Law, 2017. p. 371-384</w:t>
      </w:r>
      <w:r>
        <w:rPr>
          <w:sz w:val="20"/>
          <w:szCs w:val="20"/>
          <w:shd w:val="clear" w:color="auto" w:fill="FFFFFF"/>
        </w:rPr>
        <w:t>.</w:t>
      </w:r>
    </w:p>
    <w:p w14:paraId="254D32C7" w14:textId="77777777" w:rsidR="00396EA9" w:rsidRPr="00396EA9" w:rsidRDefault="00396EA9" w:rsidP="00396EA9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96EA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CERQUEIRA, </w:t>
      </w:r>
      <w:proofErr w:type="spellStart"/>
      <w:r w:rsidRPr="00396EA9">
        <w:rPr>
          <w:rFonts w:ascii="Times New Roman" w:hAnsi="Times New Roman" w:cs="Times New Roman"/>
          <w:sz w:val="20"/>
          <w:szCs w:val="20"/>
          <w:shd w:val="clear" w:color="auto" w:fill="FFFFFF"/>
        </w:rPr>
        <w:t>Dhebora</w:t>
      </w:r>
      <w:proofErr w:type="spellEnd"/>
      <w:r w:rsidRPr="00396EA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Mendonça de. </w:t>
      </w:r>
      <w:r w:rsidRPr="00396EA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A perspectiva social dos direitos humanos e o papel da corte interamericana : uma análise do Caso Lagos </w:t>
      </w:r>
      <w:proofErr w:type="spellStart"/>
      <w:r w:rsidRPr="00396EA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del</w:t>
      </w:r>
      <w:proofErr w:type="spellEnd"/>
      <w:r w:rsidRPr="00396EA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Campo vs. Peru</w:t>
      </w:r>
      <w:r w:rsidRPr="00396EA9">
        <w:rPr>
          <w:rFonts w:ascii="Times New Roman" w:hAnsi="Times New Roman" w:cs="Times New Roman"/>
          <w:sz w:val="20"/>
          <w:szCs w:val="20"/>
          <w:shd w:val="clear" w:color="auto" w:fill="FFFFFF"/>
        </w:rPr>
        <w:t>. 2019. 107 f. Dissertação (Mestrado em Direito) - Universidade Federal de Sergipe, São Cristóvão, SE, 2019.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Disponível em: </w:t>
      </w:r>
      <w:r w:rsidRPr="00396EA9">
        <w:rPr>
          <w:rFonts w:ascii="Times New Roman" w:hAnsi="Times New Roman" w:cs="Times New Roman"/>
          <w:sz w:val="20"/>
          <w:szCs w:val="20"/>
          <w:shd w:val="clear" w:color="auto" w:fill="FFFFFF"/>
        </w:rPr>
        <w:t>https://ri.ufs.br/handle/riufs/10998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396EA9">
        <w:rPr>
          <w:rFonts w:ascii="Times New Roman" w:hAnsi="Times New Roman" w:cs="Times New Roman"/>
          <w:sz w:val="20"/>
          <w:szCs w:val="20"/>
          <w:shd w:val="clear" w:color="auto" w:fill="FFFFFF"/>
        </w:rPr>
        <w:t>Acesso em: 15 nov. 2020.</w:t>
      </w:r>
    </w:p>
    <w:p w14:paraId="1DA1B5C4" w14:textId="77777777" w:rsidR="00396EA9" w:rsidRPr="00396EA9" w:rsidRDefault="00396EA9" w:rsidP="00396EA9">
      <w:pPr>
        <w:pStyle w:val="NormalWeb"/>
        <w:spacing w:before="60" w:beforeAutospacing="0" w:after="60" w:afterAutospacing="0"/>
        <w:jc w:val="both"/>
        <w:rPr>
          <w:sz w:val="20"/>
          <w:szCs w:val="20"/>
          <w:shd w:val="clear" w:color="auto" w:fill="FFFFFF"/>
        </w:rPr>
      </w:pPr>
      <w:r w:rsidRPr="00396EA9">
        <w:rPr>
          <w:sz w:val="20"/>
          <w:szCs w:val="20"/>
          <w:shd w:val="clear" w:color="auto" w:fill="FFFFFF"/>
        </w:rPr>
        <w:t xml:space="preserve">CORTE INTERAMERICANA DE DIREITOS HUMANOS. </w:t>
      </w:r>
      <w:r w:rsidRPr="00535EF7">
        <w:rPr>
          <w:b/>
          <w:bCs/>
          <w:sz w:val="20"/>
          <w:szCs w:val="20"/>
          <w:shd w:val="clear" w:color="auto" w:fill="FFFFFF"/>
          <w:lang w:val="es-AR"/>
        </w:rPr>
        <w:t>Sentencia Caso Lagos Del Campo vs. Perú (Excepciones Preliminares, Fondo, Reparaciones y Costas</w:t>
      </w:r>
      <w:r w:rsidRPr="00535EF7">
        <w:rPr>
          <w:sz w:val="20"/>
          <w:szCs w:val="20"/>
          <w:shd w:val="clear" w:color="auto" w:fill="FFFFFF"/>
          <w:lang w:val="es-AR"/>
        </w:rPr>
        <w:t xml:space="preserve">). </w:t>
      </w:r>
      <w:r w:rsidRPr="00396EA9">
        <w:rPr>
          <w:sz w:val="20"/>
          <w:szCs w:val="20"/>
          <w:shd w:val="clear" w:color="auto" w:fill="FFFFFF"/>
        </w:rPr>
        <w:t xml:space="preserve">31 de agosto de 2017. Disponível em: http://www.corteidh.or.cr/docs/casos/articulos/seriec_340_esp.pdf. Acesso em: </w:t>
      </w:r>
      <w:r>
        <w:rPr>
          <w:sz w:val="20"/>
          <w:szCs w:val="20"/>
          <w:shd w:val="clear" w:color="auto" w:fill="FFFFFF"/>
        </w:rPr>
        <w:t>15 nov</w:t>
      </w:r>
      <w:r w:rsidRPr="00396EA9">
        <w:rPr>
          <w:sz w:val="20"/>
          <w:szCs w:val="20"/>
          <w:shd w:val="clear" w:color="auto" w:fill="FFFFFF"/>
        </w:rPr>
        <w:t>. 20</w:t>
      </w:r>
      <w:r>
        <w:rPr>
          <w:sz w:val="20"/>
          <w:szCs w:val="20"/>
          <w:shd w:val="clear" w:color="auto" w:fill="FFFFFF"/>
        </w:rPr>
        <w:t>20</w:t>
      </w:r>
      <w:r w:rsidRPr="00396EA9">
        <w:rPr>
          <w:sz w:val="20"/>
          <w:szCs w:val="20"/>
          <w:shd w:val="clear" w:color="auto" w:fill="FFFFFF"/>
        </w:rPr>
        <w:t>.</w:t>
      </w:r>
    </w:p>
    <w:p w14:paraId="5FC6DFE4" w14:textId="77777777" w:rsidR="00396EA9" w:rsidRPr="00396EA9" w:rsidRDefault="00396EA9" w:rsidP="00396EA9">
      <w:pPr>
        <w:pStyle w:val="NormalWeb"/>
        <w:spacing w:before="60" w:beforeAutospacing="0" w:after="60" w:afterAutospacing="0"/>
        <w:jc w:val="both"/>
        <w:rPr>
          <w:sz w:val="20"/>
          <w:szCs w:val="20"/>
        </w:rPr>
      </w:pPr>
      <w:r w:rsidRPr="00396EA9">
        <w:rPr>
          <w:sz w:val="20"/>
          <w:szCs w:val="20"/>
          <w:shd w:val="clear" w:color="auto" w:fill="FFFFFF"/>
        </w:rPr>
        <w:t xml:space="preserve">CORTE INTERAMERICANA DE DIREITOS HUMANOS. </w:t>
      </w:r>
      <w:r w:rsidRPr="00535EF7">
        <w:rPr>
          <w:b/>
          <w:bCs/>
          <w:sz w:val="20"/>
          <w:szCs w:val="20"/>
          <w:shd w:val="clear" w:color="auto" w:fill="FFFFFF"/>
          <w:lang w:val="es-AR"/>
        </w:rPr>
        <w:t>Sentencia Caso Suárez Peralta vs. Ecuador (Excepciones Preliminares, Fondo, Reparaciones y Costas)</w:t>
      </w:r>
      <w:r w:rsidRPr="00535EF7">
        <w:rPr>
          <w:sz w:val="20"/>
          <w:szCs w:val="20"/>
          <w:shd w:val="clear" w:color="auto" w:fill="FFFFFF"/>
          <w:lang w:val="es-AR"/>
        </w:rPr>
        <w:t xml:space="preserve">. </w:t>
      </w:r>
      <w:r w:rsidRPr="00396EA9">
        <w:rPr>
          <w:sz w:val="20"/>
          <w:szCs w:val="20"/>
          <w:shd w:val="clear" w:color="auto" w:fill="FFFFFF"/>
        </w:rPr>
        <w:t xml:space="preserve">21 de </w:t>
      </w:r>
      <w:proofErr w:type="spellStart"/>
      <w:r w:rsidRPr="00396EA9">
        <w:rPr>
          <w:sz w:val="20"/>
          <w:szCs w:val="20"/>
          <w:shd w:val="clear" w:color="auto" w:fill="FFFFFF"/>
        </w:rPr>
        <w:t>mayo</w:t>
      </w:r>
      <w:proofErr w:type="spellEnd"/>
      <w:r w:rsidRPr="00396EA9">
        <w:rPr>
          <w:sz w:val="20"/>
          <w:szCs w:val="20"/>
          <w:shd w:val="clear" w:color="auto" w:fill="FFFFFF"/>
        </w:rPr>
        <w:t xml:space="preserve"> de 2013. Disponível em: http://www.corteidh.or.cr/docs/casos/articulos/seriec_261_ing.pdf. Acesso em: </w:t>
      </w:r>
      <w:r>
        <w:rPr>
          <w:sz w:val="20"/>
          <w:szCs w:val="20"/>
          <w:shd w:val="clear" w:color="auto" w:fill="FFFFFF"/>
        </w:rPr>
        <w:t>15 nov</w:t>
      </w:r>
      <w:r w:rsidRPr="00396EA9">
        <w:rPr>
          <w:sz w:val="20"/>
          <w:szCs w:val="20"/>
          <w:shd w:val="clear" w:color="auto" w:fill="FFFFFF"/>
        </w:rPr>
        <w:t>. 20</w:t>
      </w:r>
      <w:r>
        <w:rPr>
          <w:sz w:val="20"/>
          <w:szCs w:val="20"/>
          <w:shd w:val="clear" w:color="auto" w:fill="FFFFFF"/>
        </w:rPr>
        <w:t>20</w:t>
      </w:r>
      <w:r w:rsidRPr="00396EA9">
        <w:rPr>
          <w:sz w:val="20"/>
          <w:szCs w:val="20"/>
          <w:shd w:val="clear" w:color="auto" w:fill="FFFFFF"/>
        </w:rPr>
        <w:t>.</w:t>
      </w:r>
    </w:p>
    <w:p w14:paraId="6B8816CD" w14:textId="77777777" w:rsidR="00396EA9" w:rsidRPr="00535EF7" w:rsidRDefault="00396EA9" w:rsidP="00396EA9">
      <w:pPr>
        <w:pStyle w:val="NormalWeb"/>
        <w:spacing w:before="60" w:beforeAutospacing="0" w:after="60" w:afterAutospacing="0"/>
        <w:jc w:val="both"/>
        <w:rPr>
          <w:sz w:val="20"/>
          <w:szCs w:val="20"/>
          <w:shd w:val="clear" w:color="auto" w:fill="FFFFFF"/>
          <w:lang w:val="es-AR"/>
        </w:rPr>
      </w:pPr>
      <w:r w:rsidRPr="00396EA9">
        <w:rPr>
          <w:sz w:val="20"/>
          <w:szCs w:val="20"/>
          <w:shd w:val="clear" w:color="auto" w:fill="FFFFFF"/>
        </w:rPr>
        <w:t xml:space="preserve">PIOVESAN, Flávia. </w:t>
      </w:r>
      <w:proofErr w:type="spellStart"/>
      <w:r w:rsidRPr="00396EA9">
        <w:rPr>
          <w:b/>
          <w:bCs/>
          <w:sz w:val="20"/>
          <w:szCs w:val="20"/>
          <w:shd w:val="clear" w:color="auto" w:fill="FFFFFF"/>
        </w:rPr>
        <w:t>Iusconstitutionale</w:t>
      </w:r>
      <w:proofErr w:type="spellEnd"/>
      <w:r w:rsidRPr="00396EA9">
        <w:rPr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396EA9">
        <w:rPr>
          <w:b/>
          <w:bCs/>
          <w:sz w:val="20"/>
          <w:szCs w:val="20"/>
          <w:shd w:val="clear" w:color="auto" w:fill="FFFFFF"/>
        </w:rPr>
        <w:t>communelatino</w:t>
      </w:r>
      <w:proofErr w:type="spellEnd"/>
      <w:r w:rsidRPr="00396EA9">
        <w:rPr>
          <w:b/>
          <w:bCs/>
          <w:sz w:val="20"/>
          <w:szCs w:val="20"/>
          <w:shd w:val="clear" w:color="auto" w:fill="FFFFFF"/>
        </w:rPr>
        <w:t>-americano em Direitos Humanos e o Sistema Interamericano: perspectivas e desafios</w:t>
      </w:r>
      <w:r w:rsidRPr="00396EA9">
        <w:rPr>
          <w:sz w:val="20"/>
          <w:szCs w:val="20"/>
          <w:shd w:val="clear" w:color="auto" w:fill="FFFFFF"/>
        </w:rPr>
        <w:t xml:space="preserve">. Revista Direito &amp; Práxis. Rio de Janeiro, v. 8, n. 2, p. 1356-1388, 2017. DOI: https://doi.org/10.12957/dep.2017.28029. Disponível em: https://www.e-publicacoes.uerj.br/index.php/revistaceaju/article/view/28029/20617. Acesso em: </w:t>
      </w:r>
      <w:r>
        <w:rPr>
          <w:sz w:val="20"/>
          <w:szCs w:val="20"/>
          <w:shd w:val="clear" w:color="auto" w:fill="FFFFFF"/>
        </w:rPr>
        <w:t>15 nov</w:t>
      </w:r>
      <w:r w:rsidRPr="00396EA9">
        <w:rPr>
          <w:sz w:val="20"/>
          <w:szCs w:val="20"/>
          <w:shd w:val="clear" w:color="auto" w:fill="FFFFFF"/>
        </w:rPr>
        <w:t>. 20</w:t>
      </w:r>
      <w:r>
        <w:rPr>
          <w:sz w:val="20"/>
          <w:szCs w:val="20"/>
          <w:shd w:val="clear" w:color="auto" w:fill="FFFFFF"/>
        </w:rPr>
        <w:t>20</w:t>
      </w:r>
      <w:r w:rsidRPr="00396EA9">
        <w:rPr>
          <w:sz w:val="20"/>
          <w:szCs w:val="20"/>
          <w:shd w:val="clear" w:color="auto" w:fill="FFFFFF"/>
        </w:rPr>
        <w:t>.</w:t>
      </w:r>
      <w:r w:rsidRPr="00396EA9">
        <w:rPr>
          <w:sz w:val="20"/>
          <w:szCs w:val="20"/>
        </w:rPr>
        <w:br/>
      </w:r>
      <w:r w:rsidRPr="00396EA9">
        <w:rPr>
          <w:sz w:val="20"/>
          <w:szCs w:val="20"/>
          <w:shd w:val="clear" w:color="auto" w:fill="FFFFFF"/>
        </w:rPr>
        <w:t xml:space="preserve">NASCIMENTO, L. F. M. ; </w:t>
      </w:r>
      <w:hyperlink r:id="rId7" w:history="1">
        <w:r w:rsidRPr="00396EA9">
          <w:rPr>
            <w:rStyle w:val="Hyperlink"/>
            <w:color w:val="auto"/>
            <w:sz w:val="20"/>
            <w:szCs w:val="20"/>
            <w:shd w:val="clear" w:color="auto" w:fill="FFFFFF"/>
          </w:rPr>
          <w:t>CORRÊA, I. Z. N.</w:t>
        </w:r>
      </w:hyperlink>
      <w:r w:rsidRPr="00396EA9">
        <w:rPr>
          <w:sz w:val="20"/>
          <w:szCs w:val="20"/>
          <w:shd w:val="clear" w:color="auto" w:fill="FFFFFF"/>
        </w:rPr>
        <w:t xml:space="preserve"> ; FERREIRA, A. F. . </w:t>
      </w:r>
      <w:r w:rsidRPr="00396EA9">
        <w:rPr>
          <w:b/>
          <w:bCs/>
          <w:sz w:val="20"/>
          <w:szCs w:val="20"/>
          <w:shd w:val="clear" w:color="auto" w:fill="FFFFFF"/>
        </w:rPr>
        <w:t xml:space="preserve">Caso Lagos </w:t>
      </w:r>
      <w:proofErr w:type="spellStart"/>
      <w:r w:rsidRPr="00396EA9">
        <w:rPr>
          <w:b/>
          <w:bCs/>
          <w:sz w:val="20"/>
          <w:szCs w:val="20"/>
          <w:shd w:val="clear" w:color="auto" w:fill="FFFFFF"/>
        </w:rPr>
        <w:t>del</w:t>
      </w:r>
      <w:proofErr w:type="spellEnd"/>
      <w:r w:rsidRPr="00396EA9">
        <w:rPr>
          <w:b/>
          <w:bCs/>
          <w:sz w:val="20"/>
          <w:szCs w:val="20"/>
          <w:shd w:val="clear" w:color="auto" w:fill="FFFFFF"/>
        </w:rPr>
        <w:t xml:space="preserve"> Campo vs. Peru e seu Duplo Papel Paradigmático na Evolução da </w:t>
      </w:r>
      <w:proofErr w:type="spellStart"/>
      <w:r w:rsidRPr="00396EA9">
        <w:rPr>
          <w:b/>
          <w:bCs/>
          <w:sz w:val="20"/>
          <w:szCs w:val="20"/>
          <w:shd w:val="clear" w:color="auto" w:fill="FFFFFF"/>
        </w:rPr>
        <w:t>Justiciabilidade</w:t>
      </w:r>
      <w:proofErr w:type="spellEnd"/>
      <w:r w:rsidRPr="00396EA9">
        <w:rPr>
          <w:b/>
          <w:bCs/>
          <w:sz w:val="20"/>
          <w:szCs w:val="20"/>
          <w:shd w:val="clear" w:color="auto" w:fill="FFFFFF"/>
        </w:rPr>
        <w:t xml:space="preserve"> de Direitos Sociais perante a Corte Interamericana de Direitos Humanos</w:t>
      </w:r>
      <w:r w:rsidRPr="00396EA9">
        <w:rPr>
          <w:sz w:val="20"/>
          <w:szCs w:val="20"/>
          <w:shd w:val="clear" w:color="auto" w:fill="FFFFFF"/>
        </w:rPr>
        <w:t xml:space="preserve">. PRIM@ FACIE, v. 18, p. 01-31, 2020. Disponível em: https://periodicos.ufrn.br/constituicaoegarantiadedireitos/article/view/12263/8491. </w:t>
      </w:r>
      <w:r w:rsidRPr="00535EF7">
        <w:rPr>
          <w:sz w:val="20"/>
          <w:szCs w:val="20"/>
          <w:shd w:val="clear" w:color="auto" w:fill="FFFFFF"/>
          <w:lang w:val="es-AR"/>
        </w:rPr>
        <w:t>Acesso em: 15 nov. 2020.</w:t>
      </w:r>
    </w:p>
    <w:p w14:paraId="5EDFA2AB" w14:textId="77777777" w:rsidR="00396EA9" w:rsidRPr="00396EA9" w:rsidRDefault="00396EA9" w:rsidP="00396EA9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EF7">
        <w:rPr>
          <w:rFonts w:ascii="Times New Roman" w:hAnsi="Times New Roman" w:cs="Times New Roman"/>
          <w:sz w:val="20"/>
          <w:szCs w:val="20"/>
          <w:lang w:val="es-AR"/>
        </w:rPr>
        <w:t xml:space="preserve">SALAZAR, Elard Ricardo Bolaños. La justiciabilidad de los derechos económicos, sociales y culturales en el Sistema Interamericano a propósito del caso Lagos del Campo vs. Perú. </w:t>
      </w:r>
      <w:r w:rsidRPr="00396EA9">
        <w:rPr>
          <w:rFonts w:ascii="Times New Roman" w:hAnsi="Times New Roman" w:cs="Times New Roman"/>
          <w:sz w:val="20"/>
          <w:szCs w:val="20"/>
        </w:rPr>
        <w:t xml:space="preserve">In: </w:t>
      </w:r>
      <w:proofErr w:type="spellStart"/>
      <w:r w:rsidRPr="00396EA9">
        <w:rPr>
          <w:rFonts w:ascii="Times New Roman" w:hAnsi="Times New Roman" w:cs="Times New Roman"/>
          <w:b/>
          <w:bCs/>
          <w:sz w:val="20"/>
          <w:szCs w:val="20"/>
        </w:rPr>
        <w:t>Gaceta</w:t>
      </w:r>
      <w:proofErr w:type="spellEnd"/>
      <w:r w:rsidRPr="00396EA9">
        <w:rPr>
          <w:rFonts w:ascii="Times New Roman" w:hAnsi="Times New Roman" w:cs="Times New Roman"/>
          <w:b/>
          <w:bCs/>
          <w:sz w:val="20"/>
          <w:szCs w:val="20"/>
        </w:rPr>
        <w:t xml:space="preserve"> Constitucional</w:t>
      </w:r>
      <w:r w:rsidRPr="00396EA9">
        <w:rPr>
          <w:rFonts w:ascii="Times New Roman" w:hAnsi="Times New Roman" w:cs="Times New Roman"/>
          <w:sz w:val="20"/>
          <w:szCs w:val="20"/>
        </w:rPr>
        <w:t>, n. 120, dez/2017, p. 256.</w:t>
      </w:r>
      <w:r>
        <w:rPr>
          <w:rFonts w:ascii="Times New Roman" w:hAnsi="Times New Roman" w:cs="Times New Roman"/>
          <w:sz w:val="20"/>
          <w:szCs w:val="20"/>
        </w:rPr>
        <w:t xml:space="preserve"> Disponível em: </w:t>
      </w:r>
      <w:r w:rsidRPr="00396EA9">
        <w:rPr>
          <w:rFonts w:ascii="Times New Roman" w:hAnsi="Times New Roman" w:cs="Times New Roman"/>
          <w:sz w:val="20"/>
          <w:szCs w:val="20"/>
        </w:rPr>
        <w:t>https://archivos.juridicas.unam.mx/www/bjv/libros/10/4817/6.pdf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396EA9">
        <w:rPr>
          <w:rFonts w:ascii="Times New Roman" w:hAnsi="Times New Roman" w:cs="Times New Roman"/>
          <w:sz w:val="20"/>
          <w:szCs w:val="20"/>
          <w:shd w:val="clear" w:color="auto" w:fill="FFFFFF"/>
        </w:rPr>
        <w:t>Acesso em: 15 nov. 2020.</w:t>
      </w:r>
    </w:p>
    <w:p w14:paraId="44705F0D" w14:textId="77777777" w:rsidR="00396EA9" w:rsidRPr="00396EA9" w:rsidRDefault="00396EA9" w:rsidP="00396EA9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6EA9">
        <w:rPr>
          <w:rFonts w:ascii="Times New Roman" w:hAnsi="Times New Roman" w:cs="Times New Roman"/>
          <w:sz w:val="20"/>
          <w:szCs w:val="20"/>
        </w:rPr>
        <w:t xml:space="preserve">TRINDADE, Antônio Augusto </w:t>
      </w:r>
      <w:proofErr w:type="spellStart"/>
      <w:r w:rsidRPr="00396EA9">
        <w:rPr>
          <w:rFonts w:ascii="Times New Roman" w:hAnsi="Times New Roman" w:cs="Times New Roman"/>
          <w:sz w:val="20"/>
          <w:szCs w:val="20"/>
        </w:rPr>
        <w:t>Cançado</w:t>
      </w:r>
      <w:proofErr w:type="spellEnd"/>
      <w:r w:rsidRPr="00396EA9">
        <w:rPr>
          <w:rFonts w:ascii="Times New Roman" w:hAnsi="Times New Roman" w:cs="Times New Roman"/>
          <w:sz w:val="20"/>
          <w:szCs w:val="20"/>
        </w:rPr>
        <w:t>. Os tribunais internacionais e a realização da justiça. Rio de Janeiro: Renovar, 2015, p. 5.</w:t>
      </w:r>
    </w:p>
    <w:p w14:paraId="66CFC8B2" w14:textId="77777777" w:rsidR="00393486" w:rsidRPr="0004183F" w:rsidRDefault="00393486" w:rsidP="0004183F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sectPr w:rsidR="00393486" w:rsidRPr="0004183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08673" w14:textId="77777777" w:rsidR="00D43229" w:rsidRDefault="00D43229" w:rsidP="00646E7E">
      <w:pPr>
        <w:spacing w:line="240" w:lineRule="auto"/>
      </w:pPr>
      <w:r>
        <w:separator/>
      </w:r>
    </w:p>
  </w:endnote>
  <w:endnote w:type="continuationSeparator" w:id="0">
    <w:p w14:paraId="5D528B22" w14:textId="77777777" w:rsidR="00D43229" w:rsidRDefault="00D43229" w:rsidP="00646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5C687" w14:textId="77777777" w:rsidR="00D43229" w:rsidRDefault="00D43229" w:rsidP="00646E7E">
      <w:pPr>
        <w:spacing w:line="240" w:lineRule="auto"/>
      </w:pPr>
      <w:r>
        <w:separator/>
      </w:r>
    </w:p>
  </w:footnote>
  <w:footnote w:type="continuationSeparator" w:id="0">
    <w:p w14:paraId="2A866AFF" w14:textId="77777777" w:rsidR="00D43229" w:rsidRDefault="00D43229" w:rsidP="00646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B7C80" w14:textId="64CA4EFB" w:rsidR="00646E7E" w:rsidRDefault="00E14A86" w:rsidP="0084416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876E5BE" wp14:editId="3FC8D7A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  <w:p w14:paraId="4044DC4F" w14:textId="2CC49678" w:rsidR="00E14A86" w:rsidRDefault="00E14A86" w:rsidP="00844166">
    <w:pPr>
      <w:pStyle w:val="Header"/>
      <w:rPr>
        <w:noProof/>
      </w:rPr>
    </w:pPr>
  </w:p>
  <w:p w14:paraId="0CCD5649" w14:textId="3C73D615" w:rsidR="00E14A86" w:rsidRDefault="00E14A86" w:rsidP="00844166">
    <w:pPr>
      <w:pStyle w:val="Header"/>
      <w:rPr>
        <w:noProof/>
      </w:rPr>
    </w:pPr>
  </w:p>
  <w:p w14:paraId="42E8B9DF" w14:textId="752F7C78" w:rsidR="00E14A86" w:rsidRDefault="00E14A86" w:rsidP="00844166">
    <w:pPr>
      <w:pStyle w:val="Header"/>
      <w:rPr>
        <w:noProof/>
      </w:rPr>
    </w:pPr>
  </w:p>
  <w:p w14:paraId="516CC3D3" w14:textId="77777777" w:rsidR="00E14A86" w:rsidRPr="00844166" w:rsidRDefault="00E14A86" w:rsidP="00844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6"/>
    <w:rsid w:val="0004183F"/>
    <w:rsid w:val="0020054E"/>
    <w:rsid w:val="00270FDD"/>
    <w:rsid w:val="00393486"/>
    <w:rsid w:val="00396EA9"/>
    <w:rsid w:val="003A0388"/>
    <w:rsid w:val="00485331"/>
    <w:rsid w:val="004A2EB8"/>
    <w:rsid w:val="004B6449"/>
    <w:rsid w:val="004B736A"/>
    <w:rsid w:val="004C430C"/>
    <w:rsid w:val="00535EF7"/>
    <w:rsid w:val="00596825"/>
    <w:rsid w:val="00603CE9"/>
    <w:rsid w:val="00646E7E"/>
    <w:rsid w:val="00715FD9"/>
    <w:rsid w:val="00844166"/>
    <w:rsid w:val="00870E69"/>
    <w:rsid w:val="0099182E"/>
    <w:rsid w:val="009A7209"/>
    <w:rsid w:val="009B16A0"/>
    <w:rsid w:val="00A2683B"/>
    <w:rsid w:val="00B60B9B"/>
    <w:rsid w:val="00BA4DFB"/>
    <w:rsid w:val="00C35757"/>
    <w:rsid w:val="00D43229"/>
    <w:rsid w:val="00D54BF0"/>
    <w:rsid w:val="00E14A86"/>
    <w:rsid w:val="00E35B4F"/>
    <w:rsid w:val="00E55D80"/>
    <w:rsid w:val="00EF1BF7"/>
    <w:rsid w:val="00FD4E10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AE40"/>
  <w15:chartTrackingRefBased/>
  <w15:docId w15:val="{74A3CFC0-BCDB-48C5-AFA6-86A641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FD9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E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E7E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46E7E"/>
  </w:style>
  <w:style w:type="paragraph" w:styleId="Footer">
    <w:name w:val="footer"/>
    <w:basedOn w:val="Normal"/>
    <w:link w:val="FooterChar"/>
    <w:uiPriority w:val="99"/>
    <w:unhideWhenUsed/>
    <w:rsid w:val="00646E7E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6E7E"/>
  </w:style>
  <w:style w:type="character" w:styleId="CommentReference">
    <w:name w:val="annotation reference"/>
    <w:basedOn w:val="DefaultParagraphFont"/>
    <w:uiPriority w:val="99"/>
    <w:semiHidden/>
    <w:unhideWhenUsed/>
    <w:rsid w:val="00844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16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4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A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4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EA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EA9"/>
    <w:rPr>
      <w:rFonts w:ascii="Arial" w:eastAsia="Arial" w:hAnsi="Arial" w:cs="Arial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396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71575467860725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28BB-1325-46C9-8D31-59D2BC5A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Amanda Reis</cp:lastModifiedBy>
  <cp:revision>5</cp:revision>
  <cp:lastPrinted>2020-10-10T20:41:00Z</cp:lastPrinted>
  <dcterms:created xsi:type="dcterms:W3CDTF">2020-11-15T22:15:00Z</dcterms:created>
  <dcterms:modified xsi:type="dcterms:W3CDTF">2020-11-17T19:41:00Z</dcterms:modified>
</cp:coreProperties>
</file>