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2D8" w:rsidRPr="006343FD" w:rsidRDefault="006343FD">
      <w:pPr>
        <w:spacing w:line="276" w:lineRule="auto"/>
        <w:jc w:val="center"/>
        <w:rPr>
          <w:lang w:val="en-US"/>
        </w:rPr>
      </w:pPr>
      <w:bookmarkStart w:id="0" w:name="_GoBack"/>
      <w:bookmarkEnd w:id="0"/>
      <w:r>
        <w:rPr>
          <w:rFonts w:ascii="Times" w:hAnsi="Times"/>
          <w:b/>
          <w:sz w:val="24"/>
          <w:szCs w:val="24"/>
          <w:lang w:val="en-US"/>
        </w:rPr>
        <w:t>A UNIVERSAL PROBE SET FOR TARGET ENRICHMENT SEQUENCING TO RECONSTRUCT THE PHYLOGENY OF FILAMENTOUS ASCOMYCETES (PEZIZOMYCOTINA)</w:t>
      </w:r>
    </w:p>
    <w:p w:rsidR="002C22D8" w:rsidRPr="006343FD" w:rsidRDefault="006343FD">
      <w:pPr>
        <w:spacing w:after="120"/>
        <w:jc w:val="center"/>
        <w:rPr>
          <w:color w:val="000000"/>
          <w:lang w:val="en-US"/>
        </w:rPr>
      </w:pPr>
      <w:r>
        <w:rPr>
          <w:rFonts w:ascii="Times" w:hAnsi="Times"/>
          <w:color w:val="000000"/>
          <w:sz w:val="24"/>
          <w:szCs w:val="24"/>
          <w:lang w:val="en-US"/>
        </w:rPr>
        <w:t>Claudio G. Ametrano</w:t>
      </w:r>
      <w:r>
        <w:rPr>
          <w:rFonts w:ascii="Times" w:hAnsi="Times"/>
          <w:color w:val="000000"/>
          <w:sz w:val="24"/>
          <w:szCs w:val="24"/>
          <w:vertAlign w:val="superscript"/>
          <w:lang w:val="en-US"/>
        </w:rPr>
        <w:t>1*</w:t>
      </w:r>
      <w:r>
        <w:rPr>
          <w:rFonts w:ascii="Times" w:hAnsi="Times"/>
          <w:color w:val="000000"/>
          <w:sz w:val="24"/>
          <w:szCs w:val="24"/>
          <w:lang w:val="en-US"/>
        </w:rPr>
        <w:t>; H Thorsten Lumbsch</w:t>
      </w:r>
      <w:r>
        <w:rPr>
          <w:rFonts w:ascii="Times" w:hAnsi="Times"/>
          <w:color w:val="000000"/>
          <w:sz w:val="24"/>
          <w:szCs w:val="24"/>
          <w:vertAlign w:val="superscript"/>
          <w:lang w:val="en-US"/>
        </w:rPr>
        <w:t>1</w:t>
      </w:r>
      <w:r>
        <w:rPr>
          <w:rFonts w:ascii="Times" w:hAnsi="Times"/>
          <w:color w:val="000000"/>
          <w:sz w:val="24"/>
          <w:szCs w:val="24"/>
          <w:lang w:val="en-US"/>
        </w:rPr>
        <w:t>; Felix Grewe</w:t>
      </w:r>
      <w:r>
        <w:rPr>
          <w:rFonts w:ascii="Times" w:hAnsi="Times"/>
          <w:color w:val="000000"/>
          <w:sz w:val="24"/>
          <w:szCs w:val="24"/>
          <w:vertAlign w:val="superscript"/>
          <w:lang w:val="en-US"/>
        </w:rPr>
        <w:t>1</w:t>
      </w:r>
    </w:p>
    <w:p w:rsidR="002C22D8" w:rsidRPr="006343FD" w:rsidRDefault="006343FD">
      <w:pPr>
        <w:jc w:val="center"/>
        <w:rPr>
          <w:color w:val="000000"/>
          <w:lang w:val="en-US"/>
        </w:rPr>
      </w:pPr>
      <w:r>
        <w:rPr>
          <w:rFonts w:ascii="Times" w:hAnsi="Times"/>
          <w:color w:val="000000"/>
          <w:sz w:val="24"/>
          <w:szCs w:val="24"/>
          <w:vertAlign w:val="superscript"/>
          <w:lang w:val="en-US"/>
        </w:rPr>
        <w:t xml:space="preserve">1 </w:t>
      </w:r>
      <w:r>
        <w:rPr>
          <w:rFonts w:ascii="Times" w:hAnsi="Times"/>
          <w:color w:val="000000" w:themeColor="text1"/>
          <w:sz w:val="24"/>
          <w:szCs w:val="24"/>
          <w:lang w:val="en-US"/>
        </w:rPr>
        <w:t xml:space="preserve">Grainger Bioinformatics Center, The Field Museum, Chicago, </w:t>
      </w:r>
      <w:proofErr w:type="gramStart"/>
      <w:r>
        <w:rPr>
          <w:rFonts w:ascii="Times" w:hAnsi="Times"/>
          <w:color w:val="000000" w:themeColor="text1"/>
          <w:sz w:val="24"/>
          <w:szCs w:val="24"/>
          <w:lang w:val="en-US"/>
        </w:rPr>
        <w:t>IL,USA</w:t>
      </w:r>
      <w:proofErr w:type="gramEnd"/>
      <w:r>
        <w:rPr>
          <w:rFonts w:ascii="Times" w:hAnsi="Times"/>
          <w:color w:val="000000" w:themeColor="text1"/>
          <w:sz w:val="24"/>
          <w:szCs w:val="24"/>
          <w:lang w:val="en-US"/>
        </w:rPr>
        <w:t xml:space="preserve">; </w:t>
      </w:r>
      <w:r>
        <w:rPr>
          <w:rFonts w:ascii="Times" w:hAnsi="Times"/>
          <w:color w:val="000000" w:themeColor="text1"/>
          <w:sz w:val="24"/>
          <w:szCs w:val="24"/>
          <w:vertAlign w:val="superscript"/>
          <w:lang w:val="en-US"/>
        </w:rPr>
        <w:t xml:space="preserve">2 </w:t>
      </w:r>
      <w:r>
        <w:rPr>
          <w:rFonts w:ascii="Times" w:hAnsi="Times"/>
          <w:color w:val="000000"/>
          <w:sz w:val="24"/>
          <w:szCs w:val="24"/>
          <w:lang w:val="en-US"/>
        </w:rPr>
        <w:t xml:space="preserve"> </w:t>
      </w:r>
      <w:r>
        <w:rPr>
          <w:rFonts w:ascii="Times" w:hAnsi="Times"/>
          <w:color w:val="000000" w:themeColor="text1"/>
          <w:sz w:val="24"/>
          <w:szCs w:val="24"/>
          <w:vertAlign w:val="superscript"/>
          <w:lang w:val="en-US"/>
        </w:rPr>
        <w:t xml:space="preserve">* </w:t>
      </w:r>
      <w:r>
        <w:rPr>
          <w:rFonts w:ascii="Times" w:hAnsi="Times"/>
          <w:color w:val="000000"/>
          <w:sz w:val="24"/>
          <w:szCs w:val="24"/>
          <w:lang w:val="en-US"/>
        </w:rPr>
        <w:t xml:space="preserve">E-mail: </w:t>
      </w:r>
      <w:r>
        <w:rPr>
          <w:rFonts w:ascii="Times" w:hAnsi="Times"/>
          <w:color w:val="000000" w:themeColor="text1"/>
          <w:sz w:val="24"/>
          <w:szCs w:val="24"/>
          <w:lang w:val="en-US"/>
        </w:rPr>
        <w:t>cametrano@fieldmuseum.org</w:t>
      </w:r>
    </w:p>
    <w:p w:rsidR="002C22D8" w:rsidRPr="006343FD" w:rsidRDefault="002C22D8">
      <w:pPr>
        <w:rPr>
          <w:rStyle w:val="Hyperlink1"/>
          <w:rFonts w:ascii="Times" w:hAnsi="Times"/>
          <w:sz w:val="24"/>
          <w:szCs w:val="24"/>
          <w:lang w:val="en-US"/>
        </w:rPr>
      </w:pPr>
    </w:p>
    <w:p w:rsidR="002C22D8" w:rsidRPr="006343FD" w:rsidRDefault="006343FD">
      <w:pPr>
        <w:spacing w:line="276" w:lineRule="auto"/>
        <w:jc w:val="both"/>
        <w:rPr>
          <w:lang w:val="en-US"/>
        </w:rPr>
      </w:pPr>
      <w:r>
        <w:rPr>
          <w:rFonts w:ascii="Times" w:hAnsi="Times"/>
          <w:color w:val="000000"/>
          <w:sz w:val="24"/>
          <w:szCs w:val="24"/>
          <w:lang w:val="en-US"/>
        </w:rPr>
        <w:t xml:space="preserve">The sub-phylum </w:t>
      </w:r>
      <w:proofErr w:type="spellStart"/>
      <w:r>
        <w:rPr>
          <w:rFonts w:ascii="Times" w:hAnsi="Times"/>
          <w:color w:val="000000"/>
          <w:sz w:val="24"/>
          <w:szCs w:val="24"/>
          <w:lang w:val="en-US"/>
        </w:rPr>
        <w:t>Pezizomycotina</w:t>
      </w:r>
      <w:proofErr w:type="spellEnd"/>
      <w:r>
        <w:rPr>
          <w:rFonts w:ascii="Times" w:hAnsi="Times"/>
          <w:color w:val="000000"/>
          <w:sz w:val="24"/>
          <w:szCs w:val="24"/>
          <w:lang w:val="en-US"/>
        </w:rPr>
        <w:t xml:space="preserve"> is the largest clade within Ascomycota and includes most lichenized fungi. Despite its importance, with members that are pathogenic, parasitic, or producers of relevant molecules, our un</w:t>
      </w:r>
      <w:r>
        <w:rPr>
          <w:rFonts w:ascii="Times" w:hAnsi="Times"/>
          <w:color w:val="000000"/>
          <w:sz w:val="24"/>
          <w:szCs w:val="24"/>
          <w:lang w:val="en-US"/>
        </w:rPr>
        <w:t>derstanding of the evolution of this group of fungi is still limited by insufficient</w:t>
      </w:r>
      <w:r>
        <w:rPr>
          <w:rFonts w:ascii="Times" w:eastAsia="Cambria" w:hAnsi="Times"/>
          <w:color w:val="000000"/>
          <w:sz w:val="24"/>
          <w:szCs w:val="24"/>
          <w:lang w:val="en-US"/>
        </w:rPr>
        <w:t xml:space="preserve"> </w:t>
      </w:r>
      <w:r>
        <w:rPr>
          <w:rFonts w:ascii="Times" w:hAnsi="Times"/>
          <w:color w:val="000000"/>
          <w:sz w:val="24"/>
          <w:szCs w:val="24"/>
          <w:lang w:val="en-US"/>
        </w:rPr>
        <w:t>taxon sampling. Although next-generation sequencing technology allows us to obtain complete genomes for phylogenetic analyses</w:t>
      </w:r>
      <w:r>
        <w:fldChar w:fldCharType="begin"/>
      </w:r>
      <w:r>
        <w:rPr>
          <w:rFonts w:ascii="Times" w:hAnsi="Times"/>
          <w:color w:val="000000"/>
          <w:sz w:val="24"/>
          <w:szCs w:val="24"/>
          <w:lang w:val="en-US"/>
        </w:rPr>
        <w:instrText>ADDIN CSL_CITATION {"citationItems":[{"id":"IT</w:instrText>
      </w:r>
      <w:r>
        <w:rPr>
          <w:rFonts w:ascii="Times" w:hAnsi="Times"/>
          <w:color w:val="000000"/>
          <w:sz w:val="24"/>
          <w:szCs w:val="24"/>
          <w:lang w:val="en-US"/>
        </w:rPr>
        <w:instrText>EM-1","itemData":{"DOI":"10.1080/10635150802306527","ISSN":"1076836X","abstract":"Phylogenies involving nonmodel species are based on a few genes, mostly chosen following historical or practical criteria. Because gene trees are sometimes incongruent with s</w:instrText>
      </w:r>
      <w:r>
        <w:rPr>
          <w:rFonts w:ascii="Times" w:hAnsi="Times"/>
          <w:color w:val="000000"/>
          <w:sz w:val="24"/>
          <w:szCs w:val="24"/>
          <w:lang w:val="en-US"/>
        </w:rPr>
        <w:instrText xml:space="preserve">pecies trees, the resulting phylogenies may not accurately reflect the evolutionary relationships among species. The increase in availability of genome sequences now provides large numbers of genes that could be used for building phylogenies. However, for </w:instrText>
      </w:r>
      <w:r>
        <w:rPr>
          <w:rFonts w:ascii="Times" w:hAnsi="Times"/>
          <w:color w:val="000000"/>
          <w:sz w:val="24"/>
          <w:szCs w:val="24"/>
          <w:lang w:val="en-US"/>
        </w:rPr>
        <w:instrText>practical reasons only a few genes can be sequenced for a wide range of species. Here we asked whether we can identify a few genes, among the single-copy genes common to most fungal genomes, that are sufficient for recovering accurate and well-supported ph</w:instrText>
      </w:r>
      <w:r>
        <w:rPr>
          <w:rFonts w:ascii="Times" w:hAnsi="Times"/>
          <w:color w:val="000000"/>
          <w:sz w:val="24"/>
          <w:szCs w:val="24"/>
          <w:lang w:val="en-US"/>
        </w:rPr>
        <w:instrText>ylogenies. Fungi represent a model group for phylogenomics because many complete fungal genomes are available. An automated procedure was developed to extract single-copy orthologous genes from complete fungal genomes using a Markov Clustering Algorithm (T</w:instrText>
      </w:r>
      <w:r>
        <w:rPr>
          <w:rFonts w:ascii="Times" w:hAnsi="Times"/>
          <w:color w:val="000000"/>
          <w:sz w:val="24"/>
          <w:szCs w:val="24"/>
          <w:lang w:val="en-US"/>
        </w:rPr>
        <w:instrText>ribe-MCL). Using 21 complete, publicly available fungal genomes with reliable protein predictions, 246 single-copy orthologous gene clusters were identified. We inferred the maximum likelihood trees using the individual orthologous sequences and constructe</w:instrText>
      </w:r>
      <w:r>
        <w:rPr>
          <w:rFonts w:ascii="Times" w:hAnsi="Times"/>
          <w:color w:val="000000"/>
          <w:sz w:val="24"/>
          <w:szCs w:val="24"/>
          <w:lang w:val="en-US"/>
        </w:rPr>
        <w:instrText xml:space="preserve">d a reference tree from concatenated protein alignments. The topologies of the individual gene trees were compared to that of the reference tree using three different methods. The performance of individual genes in recovering the reference tree was highly </w:instrText>
      </w:r>
      <w:r>
        <w:rPr>
          <w:rFonts w:ascii="Times" w:hAnsi="Times"/>
          <w:color w:val="000000"/>
          <w:sz w:val="24"/>
          <w:szCs w:val="24"/>
          <w:lang w:val="en-US"/>
        </w:rPr>
        <w:instrText>variable. Gene size and the number of variable sites were highly correlated and significantly affected the performance of the genes, but the average substitution rate did not. Two genes recovered exactly the same topology as the reference tree, and when co</w:instrText>
      </w:r>
      <w:r>
        <w:rPr>
          <w:rFonts w:ascii="Times" w:hAnsi="Times"/>
          <w:color w:val="000000"/>
          <w:sz w:val="24"/>
          <w:szCs w:val="24"/>
          <w:lang w:val="en-US"/>
        </w:rPr>
        <w:instrText>ncatenated provided high bootstrap values. The genes typically used for fungal phylogenies did not perform well, which suggests that current fungal phylogenies based on these genes may not accurately reflect the evolutionary relationships among species. An</w:instrText>
      </w:r>
      <w:r>
        <w:rPr>
          <w:rFonts w:ascii="Times" w:hAnsi="Times"/>
          <w:color w:val="000000"/>
          <w:sz w:val="24"/>
          <w:szCs w:val="24"/>
          <w:lang w:val="en-US"/>
        </w:rPr>
        <w:instrText>alyses on subsets of species showed that the phylogenetic performance did not seem to depend strongly on the sample. We expect that the best-performing genes identified here will be very useful for phylogenetic studies of fungi, at least at a large taxonom</w:instrText>
      </w:r>
      <w:r>
        <w:rPr>
          <w:rFonts w:ascii="Times" w:hAnsi="Times"/>
          <w:color w:val="000000"/>
          <w:sz w:val="24"/>
          <w:szCs w:val="24"/>
          <w:lang w:val="en-US"/>
        </w:rPr>
        <w:instrText>ic scale. Furthermore, we compare the method developed here for finding genes for building robust phylogenies with previous ones and we advocate that our method could be applied to other groups of organisms when more complete genomes are available.","autho</w:instrText>
      </w:r>
      <w:r>
        <w:rPr>
          <w:rFonts w:ascii="Times" w:hAnsi="Times"/>
          <w:color w:val="000000"/>
          <w:sz w:val="24"/>
          <w:szCs w:val="24"/>
          <w:lang w:val="en-US"/>
        </w:rPr>
        <w:instrText>r":[{"dropping-particle":"","family":"Aguileta","given":"G.","non-dropping-particle":"","parse-names":false,"suffix":""},{"dropping-particle":"","family":"Marthey","given":"S.","non-dropping-particle":"","parse-names":false,"suffix":""},{"dropping-particle</w:instrText>
      </w:r>
      <w:r>
        <w:rPr>
          <w:rFonts w:ascii="Times" w:hAnsi="Times"/>
          <w:color w:val="000000"/>
          <w:sz w:val="24"/>
          <w:szCs w:val="24"/>
          <w:lang w:val="en-US"/>
        </w:rPr>
        <w:instrText>":"","family":"Chiapello","given":"H.","non-dropping-particle":"","parse-names":false,"suffix":""},{"dropping-particle":"","family":"Lebrun","given":"M. H.","non-dropping-particle":"","parse-names":false,"suffix":""},{"dropping-particle":"","family":"Rodol</w:instrText>
      </w:r>
      <w:r>
        <w:rPr>
          <w:rFonts w:ascii="Times" w:hAnsi="Times"/>
          <w:color w:val="000000"/>
          <w:sz w:val="24"/>
          <w:szCs w:val="24"/>
          <w:lang w:val="en-US"/>
        </w:rPr>
        <w:instrText>phe","given":"F.","non-dropping-particle":"","parse-names":false,"suffix":""},{"dropping-particle":"","family":"Fournier","given":"E.","non-dropping-particle":"","parse-names":false,"suffix":""},{"dropping-particle":"","family":"Gendrault-Jacquemard","give</w:instrText>
      </w:r>
      <w:r>
        <w:rPr>
          <w:rFonts w:ascii="Times" w:hAnsi="Times"/>
          <w:color w:val="000000"/>
          <w:sz w:val="24"/>
          <w:szCs w:val="24"/>
          <w:lang w:val="en-US"/>
        </w:rPr>
        <w:instrText>n":"A.","non-dropping-particle":"","parse-names":false,"suffix":""},{"dropping-particle":"","family":"Giraud","given":"T.","non-dropping-particle":"","parse-names":false,"suffix":""}],"container-title":"Systematic biology","id":"ITEM-1","issue":"4","issued</w:instrText>
      </w:r>
      <w:r>
        <w:rPr>
          <w:rFonts w:ascii="Times" w:hAnsi="Times"/>
          <w:color w:val="000000"/>
          <w:sz w:val="24"/>
          <w:szCs w:val="24"/>
          <w:lang w:val="en-US"/>
        </w:rPr>
        <w:instrText>":{"date-parts":[["2008"]]},"page":"613-627","title":"Assessing the performance of single-copy genes for recovering robust phylogenies.","type":"article-journal","volume":"57"},"uris":["http://www.mendeley.com/documents/?uuid=d631cc0e-a9e0-49b5-8885-ca4fd3</w:instrText>
      </w:r>
      <w:r>
        <w:rPr>
          <w:rFonts w:ascii="Times" w:hAnsi="Times"/>
          <w:color w:val="000000"/>
          <w:sz w:val="24"/>
          <w:szCs w:val="24"/>
          <w:lang w:val="en-US"/>
        </w:rPr>
        <w:instrText>f629b2"]}],"mendeley":{"formattedCitation":"(Aguileta et al. 2008)","plainTextFormattedCitation":"(Aguileta et al. 2008)","previouslyFormattedCitation":"(4)"},"properties":{"noteIndex":0},"schema":"https://github.com/citation-style-language/schema/raw/mast</w:instrText>
      </w:r>
      <w:r>
        <w:rPr>
          <w:rFonts w:ascii="Times" w:hAnsi="Times"/>
          <w:color w:val="000000"/>
          <w:sz w:val="24"/>
          <w:szCs w:val="24"/>
          <w:lang w:val="en-US"/>
        </w:rPr>
        <w:instrText>er/csl-citation.json"}</w:instrText>
      </w:r>
      <w:r>
        <w:rPr>
          <w:rFonts w:ascii="Times" w:hAnsi="Times"/>
          <w:color w:val="000000"/>
          <w:sz w:val="24"/>
          <w:szCs w:val="24"/>
          <w:lang w:val="en-US"/>
        </w:rPr>
        <w:fldChar w:fldCharType="end"/>
      </w:r>
      <w:bookmarkStart w:id="1" w:name="__Fieldmark__18_2749891957"/>
      <w:bookmarkStart w:id="2" w:name="__Fieldmark__26_1878307455"/>
      <w:bookmarkStart w:id="3" w:name="__Fieldmark__24_4102097970"/>
      <w:bookmarkStart w:id="4" w:name="__Fieldmark__26_3455473440"/>
      <w:bookmarkStart w:id="5" w:name="__Fieldmark__37_2106308250"/>
      <w:bookmarkStart w:id="6" w:name="__Fieldmark__341_3100580620"/>
      <w:bookmarkStart w:id="7" w:name="__Fieldmark__26_1032506466"/>
      <w:bookmarkStart w:id="8" w:name="__Fieldmark__26_634914677"/>
      <w:bookmarkStart w:id="9" w:name="__Fieldmark__76_3531866160"/>
      <w:bookmarkEnd w:id="1"/>
      <w:bookmarkEnd w:id="2"/>
      <w:bookmarkEnd w:id="3"/>
      <w:bookmarkEnd w:id="4"/>
      <w:bookmarkEnd w:id="5"/>
      <w:bookmarkEnd w:id="6"/>
      <w:bookmarkEnd w:id="7"/>
      <w:bookmarkEnd w:id="8"/>
      <w:bookmarkEnd w:id="9"/>
      <w:r>
        <w:rPr>
          <w:rFonts w:ascii="Times" w:hAnsi="Times"/>
          <w:color w:val="000000"/>
          <w:sz w:val="24"/>
          <w:szCs w:val="24"/>
          <w:lang w:val="en-US"/>
        </w:rPr>
        <w:t>, generating complete genomes of fungal species can be challenging when the fungi occur in symbiotic relationships and/or when the DNA of rare herbarium specimens is degraded. In addition, assembly, annotation, and gene extraction o</w:t>
      </w:r>
      <w:r>
        <w:rPr>
          <w:rFonts w:ascii="Times" w:hAnsi="Times"/>
          <w:color w:val="000000"/>
          <w:sz w:val="24"/>
          <w:szCs w:val="24"/>
          <w:lang w:val="en-US"/>
        </w:rPr>
        <w:t xml:space="preserve">f whole-genome sequencing data requires elevated bioinformatics skills and computational power. To overcome these obstacles, we designed a universal target enrichment probe set to reconstruct phylogenetic relationships of all filamentous ascomycetes. From </w:t>
      </w:r>
      <w:r>
        <w:rPr>
          <w:rFonts w:ascii="Times" w:hAnsi="Times"/>
          <w:color w:val="000000"/>
          <w:sz w:val="24"/>
          <w:szCs w:val="24"/>
          <w:lang w:val="en-US"/>
        </w:rPr>
        <w:t xml:space="preserve">a pool of orthologous genes extracted from available </w:t>
      </w:r>
      <w:proofErr w:type="spellStart"/>
      <w:r>
        <w:rPr>
          <w:rFonts w:ascii="Times" w:hAnsi="Times"/>
          <w:color w:val="000000"/>
          <w:sz w:val="24"/>
          <w:szCs w:val="24"/>
          <w:lang w:val="en-US"/>
        </w:rPr>
        <w:t>Pezizomycotina</w:t>
      </w:r>
      <w:proofErr w:type="spellEnd"/>
      <w:r>
        <w:rPr>
          <w:rFonts w:ascii="Times" w:hAnsi="Times"/>
          <w:color w:val="000000"/>
          <w:sz w:val="24"/>
          <w:szCs w:val="24"/>
          <w:lang w:val="en-US"/>
        </w:rPr>
        <w:t xml:space="preserve"> genomes, we identified the smallest subset of genetic markers which can reliably reconstruct a robust phylogeny. Based on the selected markers we used a machine learning approach to identi</w:t>
      </w:r>
      <w:r>
        <w:rPr>
          <w:rFonts w:ascii="Times" w:hAnsi="Times"/>
          <w:color w:val="000000"/>
          <w:sz w:val="24"/>
          <w:szCs w:val="24"/>
          <w:lang w:val="en-US"/>
        </w:rPr>
        <w:t xml:space="preserve">fy </w:t>
      </w:r>
      <w:r>
        <w:rPr>
          <w:rFonts w:ascii="Times" w:eastAsia="Cambria" w:hAnsi="Times"/>
          <w:color w:val="000000"/>
          <w:sz w:val="24"/>
          <w:szCs w:val="24"/>
          <w:lang w:val="en-US"/>
        </w:rPr>
        <w:t>a</w:t>
      </w:r>
      <w:r>
        <w:rPr>
          <w:rFonts w:ascii="Times" w:hAnsi="Times"/>
          <w:color w:val="000000"/>
          <w:sz w:val="24"/>
          <w:szCs w:val="24"/>
          <w:lang w:val="en-US"/>
        </w:rPr>
        <w:t xml:space="preserve"> sequences set able to provide a good trade-off between missing data, and the probe set cost. We designed the probe set </w:t>
      </w:r>
      <w:r>
        <w:rPr>
          <w:rFonts w:ascii="Times" w:eastAsia="Cambria" w:hAnsi="Times"/>
          <w:color w:val="000000"/>
          <w:sz w:val="24"/>
          <w:szCs w:val="24"/>
          <w:lang w:val="en-US"/>
        </w:rPr>
        <w:t>and</w:t>
      </w:r>
      <w:r>
        <w:rPr>
          <w:rFonts w:ascii="Times" w:hAnsi="Times"/>
          <w:color w:val="000000"/>
          <w:sz w:val="24"/>
          <w:szCs w:val="24"/>
          <w:lang w:val="en-US"/>
        </w:rPr>
        <w:t xml:space="preserve"> tested the effectiveness and universality of the markers both</w:t>
      </w:r>
      <w:r>
        <w:rPr>
          <w:rFonts w:ascii="Times" w:hAnsi="Times"/>
          <w:i/>
          <w:iCs/>
          <w:color w:val="000000"/>
          <w:sz w:val="24"/>
          <w:szCs w:val="24"/>
          <w:lang w:val="en-US"/>
        </w:rPr>
        <w:t xml:space="preserve"> </w:t>
      </w:r>
      <w:r>
        <w:rPr>
          <w:rFonts w:ascii="Times" w:hAnsi="Times"/>
          <w:color w:val="000000"/>
          <w:sz w:val="24"/>
          <w:szCs w:val="24"/>
          <w:lang w:val="en-US"/>
        </w:rPr>
        <w:t xml:space="preserve">on existing </w:t>
      </w:r>
      <w:proofErr w:type="spellStart"/>
      <w:r>
        <w:rPr>
          <w:rFonts w:ascii="Times" w:hAnsi="Times"/>
          <w:color w:val="000000"/>
          <w:sz w:val="24"/>
          <w:szCs w:val="24"/>
          <w:lang w:val="en-US"/>
        </w:rPr>
        <w:t>phylogenomic</w:t>
      </w:r>
      <w:proofErr w:type="spellEnd"/>
      <w:r>
        <w:rPr>
          <w:rFonts w:ascii="Times" w:hAnsi="Times"/>
          <w:color w:val="000000"/>
          <w:sz w:val="24"/>
          <w:szCs w:val="24"/>
          <w:lang w:val="en-US"/>
        </w:rPr>
        <w:t xml:space="preserve"> datasets</w:t>
      </w:r>
      <w:r>
        <w:rPr>
          <w:rFonts w:ascii="Times" w:hAnsi="Times"/>
          <w:color w:val="000000"/>
          <w:sz w:val="24"/>
          <w:szCs w:val="24"/>
          <w:lang w:val="en-US"/>
        </w:rPr>
        <w:t xml:space="preserve"> and </w:t>
      </w:r>
      <w:r>
        <w:rPr>
          <w:rFonts w:ascii="Times" w:eastAsia="Cambria" w:hAnsi="Times"/>
          <w:color w:val="000000"/>
          <w:sz w:val="24"/>
          <w:szCs w:val="24"/>
          <w:lang w:val="en-US"/>
        </w:rPr>
        <w:t>on</w:t>
      </w:r>
      <w:r>
        <w:rPr>
          <w:rFonts w:ascii="Times" w:hAnsi="Times"/>
          <w:color w:val="000000"/>
          <w:sz w:val="24"/>
          <w:szCs w:val="24"/>
          <w:lang w:val="en-US"/>
        </w:rPr>
        <w:t xml:space="preserve"> fresh material and herbarium specimens. The probe set and a user-friendly wrapper script named Universal Filamentous Ascomycete Target Enrichment (</w:t>
      </w:r>
      <w:proofErr w:type="spellStart"/>
      <w:r>
        <w:rPr>
          <w:rFonts w:ascii="Times" w:hAnsi="Times"/>
          <w:color w:val="000000"/>
          <w:sz w:val="24"/>
          <w:szCs w:val="24"/>
          <w:lang w:val="en-US"/>
        </w:rPr>
        <w:t>UnFATE</w:t>
      </w:r>
      <w:proofErr w:type="spellEnd"/>
      <w:r>
        <w:rPr>
          <w:rFonts w:ascii="Times" w:hAnsi="Times"/>
          <w:color w:val="000000"/>
          <w:sz w:val="24"/>
          <w:szCs w:val="24"/>
          <w:lang w:val="en-US"/>
        </w:rPr>
        <w:t xml:space="preserve">) </w:t>
      </w:r>
      <w:r>
        <w:rPr>
          <w:rFonts w:ascii="Times" w:eastAsia="Cambria" w:hAnsi="Times"/>
          <w:color w:val="000000"/>
          <w:sz w:val="24"/>
          <w:szCs w:val="24"/>
          <w:lang w:val="en-US"/>
        </w:rPr>
        <w:t>are</w:t>
      </w:r>
      <w:r>
        <w:rPr>
          <w:rFonts w:ascii="Times" w:hAnsi="Times"/>
          <w:color w:val="000000"/>
          <w:sz w:val="24"/>
          <w:szCs w:val="24"/>
          <w:lang w:val="en-US"/>
        </w:rPr>
        <w:t xml:space="preserve"> available to the public and will allow </w:t>
      </w:r>
      <w:proofErr w:type="spellStart"/>
      <w:r>
        <w:rPr>
          <w:rFonts w:ascii="Times" w:hAnsi="Times"/>
          <w:color w:val="000000"/>
          <w:sz w:val="24"/>
          <w:szCs w:val="24"/>
          <w:lang w:val="en-US"/>
        </w:rPr>
        <w:t>phylogenomic</w:t>
      </w:r>
      <w:proofErr w:type="spellEnd"/>
      <w:r>
        <w:rPr>
          <w:rFonts w:ascii="Times" w:hAnsi="Times"/>
          <w:color w:val="000000"/>
          <w:sz w:val="24"/>
          <w:szCs w:val="24"/>
          <w:lang w:val="en-US"/>
        </w:rPr>
        <w:t xml:space="preserve"> inferences, without expert bioinformatics kn</w:t>
      </w:r>
      <w:r>
        <w:rPr>
          <w:rFonts w:ascii="Times" w:hAnsi="Times"/>
          <w:color w:val="000000"/>
          <w:sz w:val="24"/>
          <w:szCs w:val="24"/>
          <w:lang w:val="en-US"/>
        </w:rPr>
        <w:t xml:space="preserve">owledge. In addition, our software solution will integrate a periodically updated database of available </w:t>
      </w:r>
      <w:proofErr w:type="spellStart"/>
      <w:r>
        <w:rPr>
          <w:rFonts w:ascii="Times" w:hAnsi="Times"/>
          <w:color w:val="000000"/>
          <w:sz w:val="24"/>
          <w:szCs w:val="24"/>
          <w:lang w:val="en-US"/>
        </w:rPr>
        <w:t>Pezizomycotina</w:t>
      </w:r>
      <w:proofErr w:type="spellEnd"/>
      <w:r>
        <w:rPr>
          <w:rFonts w:ascii="Times" w:hAnsi="Times"/>
          <w:color w:val="000000"/>
          <w:sz w:val="24"/>
          <w:szCs w:val="24"/>
          <w:lang w:val="en-US"/>
        </w:rPr>
        <w:t xml:space="preserve"> genomes, already processed to extract the markers of interest. This way, we aim at providing a framework for a collaborative approach to </w:t>
      </w:r>
      <w:r>
        <w:rPr>
          <w:rFonts w:ascii="Times" w:hAnsi="Times"/>
          <w:color w:val="000000"/>
          <w:sz w:val="24"/>
          <w:szCs w:val="24"/>
          <w:lang w:val="en-US"/>
        </w:rPr>
        <w:t>build robust, conclusive phylogenies of this important fungal clade.</w:t>
      </w:r>
    </w:p>
    <w:sectPr w:rsidR="002C22D8" w:rsidRPr="006343FD">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2D8"/>
    <w:rsid w:val="002C22D8"/>
    <w:rsid w:val="006343FD"/>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C9CD12-CC92-4614-A0FD-0AF75FE33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4"/>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A2A"/>
    <w:pPr>
      <w:spacing w:after="160" w:line="259" w:lineRule="auto"/>
    </w:pPr>
    <w:rPr>
      <w:rFonts w:ascii="Cambria" w:eastAsiaTheme="minorHAnsi" w:hAnsi="Cambria"/>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yperlink1">
    <w:name w:val="Hyperlink1"/>
    <w:rsid w:val="00D22A2A"/>
    <w:rPr>
      <w:color w:val="0000FF"/>
      <w:u w:val="single"/>
    </w:rPr>
  </w:style>
  <w:style w:type="character" w:customStyle="1" w:styleId="UnresolvedMention1">
    <w:name w:val="Unresolved Mention1"/>
    <w:basedOn w:val="Fontepargpadro"/>
    <w:uiPriority w:val="99"/>
    <w:semiHidden/>
    <w:unhideWhenUsed/>
    <w:qFormat/>
    <w:rsid w:val="00BD2764"/>
    <w:rPr>
      <w:color w:val="605E5C"/>
      <w:shd w:val="clear" w:color="auto" w:fill="E1DFDD"/>
    </w:rPr>
  </w:style>
  <w:style w:type="character" w:customStyle="1" w:styleId="TextodebaloChar">
    <w:name w:val="Texto de balão Char"/>
    <w:basedOn w:val="Fontepargpadro"/>
    <w:link w:val="Textodebalo"/>
    <w:uiPriority w:val="99"/>
    <w:semiHidden/>
    <w:qFormat/>
    <w:rsid w:val="002B12C7"/>
    <w:rPr>
      <w:rFonts w:ascii="Segoe UI" w:eastAsiaTheme="minorHAnsi" w:hAnsi="Segoe UI" w:cs="Segoe UI"/>
      <w:sz w:val="18"/>
      <w:szCs w:val="18"/>
      <w:lang w:val="pt-BR"/>
    </w:rPr>
  </w:style>
  <w:style w:type="character" w:styleId="Refdecomentrio">
    <w:name w:val="annotation reference"/>
    <w:basedOn w:val="Fontepargpadro"/>
    <w:uiPriority w:val="99"/>
    <w:semiHidden/>
    <w:unhideWhenUsed/>
    <w:qFormat/>
    <w:rsid w:val="002B12C7"/>
    <w:rPr>
      <w:sz w:val="18"/>
      <w:szCs w:val="18"/>
    </w:rPr>
  </w:style>
  <w:style w:type="character" w:customStyle="1" w:styleId="TextodecomentrioChar">
    <w:name w:val="Texto de comentário Char"/>
    <w:basedOn w:val="Fontepargpadro"/>
    <w:link w:val="Textodecomentrio"/>
    <w:uiPriority w:val="99"/>
    <w:semiHidden/>
    <w:qFormat/>
    <w:rsid w:val="002B12C7"/>
    <w:rPr>
      <w:rFonts w:ascii="Cambria" w:eastAsiaTheme="minorHAnsi" w:hAnsi="Cambria"/>
      <w:sz w:val="24"/>
      <w:lang w:val="pt-BR"/>
    </w:rPr>
  </w:style>
  <w:style w:type="character" w:customStyle="1" w:styleId="AssuntodocomentrioChar">
    <w:name w:val="Assunto do comentário Char"/>
    <w:basedOn w:val="TextodecomentrioChar"/>
    <w:link w:val="Assuntodocomentrio"/>
    <w:uiPriority w:val="99"/>
    <w:semiHidden/>
    <w:qFormat/>
    <w:rsid w:val="002B12C7"/>
    <w:rPr>
      <w:rFonts w:ascii="Cambria" w:eastAsiaTheme="minorHAnsi" w:hAnsi="Cambria"/>
      <w:b/>
      <w:bCs/>
      <w:sz w:val="24"/>
      <w:szCs w:val="20"/>
      <w:lang w:val="pt-BR"/>
    </w:rPr>
  </w:style>
  <w:style w:type="paragraph" w:customStyle="1" w:styleId="Heading">
    <w:name w:val="Heading"/>
    <w:basedOn w:val="Normal"/>
    <w:next w:val="Corpodetexto"/>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extodebalo">
    <w:name w:val="Balloon Text"/>
    <w:basedOn w:val="Normal"/>
    <w:link w:val="TextodebaloChar"/>
    <w:uiPriority w:val="99"/>
    <w:semiHidden/>
    <w:unhideWhenUsed/>
    <w:qFormat/>
    <w:rsid w:val="002B12C7"/>
    <w:pPr>
      <w:spacing w:after="0" w:line="240" w:lineRule="auto"/>
    </w:pPr>
    <w:rPr>
      <w:rFonts w:ascii="Segoe UI" w:hAnsi="Segoe UI" w:cs="Segoe UI"/>
      <w:sz w:val="18"/>
      <w:szCs w:val="18"/>
    </w:rPr>
  </w:style>
  <w:style w:type="paragraph" w:styleId="Textodecomentrio">
    <w:name w:val="annotation text"/>
    <w:basedOn w:val="Normal"/>
    <w:link w:val="TextodecomentrioChar"/>
    <w:uiPriority w:val="99"/>
    <w:semiHidden/>
    <w:unhideWhenUsed/>
    <w:qFormat/>
    <w:rsid w:val="002B12C7"/>
    <w:pPr>
      <w:spacing w:line="240" w:lineRule="auto"/>
    </w:pPr>
    <w:rPr>
      <w:sz w:val="24"/>
      <w:szCs w:val="24"/>
    </w:rPr>
  </w:style>
  <w:style w:type="paragraph" w:styleId="Assuntodocomentrio">
    <w:name w:val="annotation subject"/>
    <w:basedOn w:val="Textodecomentrio"/>
    <w:link w:val="AssuntodocomentrioChar"/>
    <w:uiPriority w:val="99"/>
    <w:semiHidden/>
    <w:unhideWhenUsed/>
    <w:qFormat/>
    <w:rsid w:val="002B12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AE4DFB7-126C-42F3-92ED-1A11A76A3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1006</Words>
  <Characters>5435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NMNH</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Dal Forno</dc:creator>
  <dc:description/>
  <cp:lastModifiedBy>Adm</cp:lastModifiedBy>
  <cp:revision>2</cp:revision>
  <dcterms:created xsi:type="dcterms:W3CDTF">2021-06-11T21:45:00Z</dcterms:created>
  <dcterms:modified xsi:type="dcterms:W3CDTF">2021-06-11T21:45:00Z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NMNH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