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CCC5C" w14:textId="6B773663" w:rsidR="00054025" w:rsidRPr="004B63C2" w:rsidRDefault="00E42AA0" w:rsidP="00054025">
      <w:pPr>
        <w:widowControl/>
        <w:jc w:val="center"/>
        <w:rPr>
          <w:b/>
          <w:bCs/>
          <w:sz w:val="24"/>
          <w:szCs w:val="24"/>
        </w:rPr>
      </w:pPr>
      <w:bookmarkStart w:id="0" w:name="_Hlk198719977"/>
      <w:r w:rsidRPr="004B63C2">
        <w:rPr>
          <w:b/>
          <w:bCs/>
          <w:sz w:val="24"/>
          <w:szCs w:val="24"/>
        </w:rPr>
        <w:t>A ADUBAÇÃO COM MICRONUTRIENTES MELHORA O DESEMPENHO FISIOLÓGICO DE MUDAS DE SABIÁ?</w:t>
      </w:r>
    </w:p>
    <w:p w14:paraId="13E5202A" w14:textId="77777777" w:rsidR="00E42AA0" w:rsidRPr="004B63C2" w:rsidRDefault="00E42AA0" w:rsidP="00054025">
      <w:pPr>
        <w:widowControl/>
        <w:jc w:val="center"/>
        <w:rPr>
          <w:b/>
          <w:sz w:val="24"/>
          <w:szCs w:val="24"/>
        </w:rPr>
      </w:pPr>
    </w:p>
    <w:p w14:paraId="30D8935B" w14:textId="1FA0BB66" w:rsidR="00054025" w:rsidRPr="004B63C2" w:rsidRDefault="00054025" w:rsidP="00054025">
      <w:pPr>
        <w:spacing w:line="276" w:lineRule="auto"/>
        <w:ind w:left="221" w:right="214"/>
        <w:jc w:val="center"/>
        <w:rPr>
          <w:b/>
          <w:sz w:val="20"/>
          <w:szCs w:val="20"/>
        </w:rPr>
      </w:pPr>
      <w:r w:rsidRPr="004B63C2">
        <w:rPr>
          <w:b/>
          <w:sz w:val="20"/>
          <w:szCs w:val="20"/>
        </w:rPr>
        <w:t>Vitória da Silva</w:t>
      </w:r>
      <w:r w:rsidRPr="004B63C2">
        <w:rPr>
          <w:b/>
          <w:sz w:val="20"/>
          <w:szCs w:val="20"/>
          <w:vertAlign w:val="superscript"/>
        </w:rPr>
        <w:t>1*</w:t>
      </w:r>
      <w:r w:rsidRPr="004B63C2">
        <w:rPr>
          <w:b/>
          <w:sz w:val="20"/>
          <w:szCs w:val="20"/>
        </w:rPr>
        <w:t>, Bruno dos Santos Barboza</w:t>
      </w:r>
      <w:r w:rsidRPr="004B63C2">
        <w:rPr>
          <w:b/>
          <w:sz w:val="20"/>
          <w:szCs w:val="20"/>
          <w:vertAlign w:val="superscript"/>
        </w:rPr>
        <w:t>2</w:t>
      </w:r>
      <w:r w:rsidRPr="004B63C2">
        <w:rPr>
          <w:b/>
          <w:sz w:val="20"/>
          <w:szCs w:val="20"/>
        </w:rPr>
        <w:t>, Franc</w:t>
      </w:r>
      <w:r w:rsidR="00297C87" w:rsidRPr="004B63C2">
        <w:rPr>
          <w:b/>
          <w:sz w:val="20"/>
          <w:szCs w:val="20"/>
        </w:rPr>
        <w:t>ielly</w:t>
      </w:r>
      <w:r w:rsidR="001E3EBD" w:rsidRPr="004B63C2">
        <w:rPr>
          <w:b/>
          <w:sz w:val="20"/>
          <w:szCs w:val="20"/>
        </w:rPr>
        <w:t xml:space="preserve"> da Guirra Bernardo</w:t>
      </w:r>
      <w:r w:rsidRPr="004B63C2">
        <w:rPr>
          <w:b/>
          <w:sz w:val="20"/>
          <w:szCs w:val="20"/>
          <w:vertAlign w:val="superscript"/>
        </w:rPr>
        <w:t>3</w:t>
      </w:r>
      <w:r w:rsidRPr="004B63C2">
        <w:rPr>
          <w:b/>
          <w:sz w:val="20"/>
          <w:szCs w:val="20"/>
        </w:rPr>
        <w:t>, Mariana de Souza Santos</w:t>
      </w:r>
      <w:r w:rsidRPr="004B63C2">
        <w:rPr>
          <w:b/>
          <w:sz w:val="20"/>
          <w:szCs w:val="20"/>
          <w:vertAlign w:val="superscript"/>
        </w:rPr>
        <w:t>4</w:t>
      </w:r>
      <w:r w:rsidRPr="004B63C2">
        <w:rPr>
          <w:b/>
          <w:sz w:val="20"/>
          <w:szCs w:val="20"/>
        </w:rPr>
        <w:t>,</w:t>
      </w:r>
      <w:r w:rsidR="00D57A31" w:rsidRPr="004B63C2">
        <w:rPr>
          <w:b/>
          <w:sz w:val="20"/>
          <w:szCs w:val="20"/>
        </w:rPr>
        <w:t xml:space="preserve"> Bruno Dario</w:t>
      </w:r>
      <w:r w:rsidR="00D57A31" w:rsidRPr="004B63C2">
        <w:rPr>
          <w:sz w:val="24"/>
        </w:rPr>
        <w:t xml:space="preserve"> </w:t>
      </w:r>
      <w:r w:rsidR="00D57A31" w:rsidRPr="004B63C2">
        <w:rPr>
          <w:b/>
          <w:bCs/>
          <w:sz w:val="20"/>
          <w:szCs w:val="20"/>
        </w:rPr>
        <w:t>L.</w:t>
      </w:r>
      <w:r w:rsidR="00D57A31" w:rsidRPr="004B63C2">
        <w:rPr>
          <w:b/>
          <w:bCs/>
          <w:spacing w:val="-3"/>
          <w:sz w:val="20"/>
          <w:szCs w:val="20"/>
        </w:rPr>
        <w:t xml:space="preserve"> </w:t>
      </w:r>
      <w:r w:rsidR="00D57A31" w:rsidRPr="004B63C2">
        <w:rPr>
          <w:b/>
          <w:bCs/>
          <w:sz w:val="20"/>
          <w:szCs w:val="20"/>
        </w:rPr>
        <w:t>de</w:t>
      </w:r>
      <w:r w:rsidR="00D57A31" w:rsidRPr="004B63C2">
        <w:rPr>
          <w:b/>
          <w:bCs/>
          <w:spacing w:val="-4"/>
          <w:sz w:val="20"/>
          <w:szCs w:val="20"/>
        </w:rPr>
        <w:t xml:space="preserve"> </w:t>
      </w:r>
      <w:r w:rsidR="00D57A31" w:rsidRPr="004B63C2">
        <w:rPr>
          <w:b/>
          <w:bCs/>
          <w:sz w:val="20"/>
          <w:szCs w:val="20"/>
        </w:rPr>
        <w:t>O.S.S.</w:t>
      </w:r>
      <w:r w:rsidR="00D57A31" w:rsidRPr="004B63C2">
        <w:rPr>
          <w:b/>
          <w:bCs/>
          <w:spacing w:val="-3"/>
          <w:sz w:val="20"/>
          <w:szCs w:val="20"/>
        </w:rPr>
        <w:t xml:space="preserve"> </w:t>
      </w:r>
      <w:r w:rsidR="00D57A31" w:rsidRPr="004B63C2">
        <w:rPr>
          <w:b/>
          <w:bCs/>
          <w:sz w:val="20"/>
          <w:szCs w:val="20"/>
        </w:rPr>
        <w:t>F.</w:t>
      </w:r>
      <w:r w:rsidR="00D57A31" w:rsidRPr="004B63C2">
        <w:rPr>
          <w:b/>
          <w:bCs/>
          <w:spacing w:val="-8"/>
          <w:sz w:val="20"/>
          <w:szCs w:val="20"/>
        </w:rPr>
        <w:t xml:space="preserve"> </w:t>
      </w:r>
      <w:r w:rsidR="00D57A31" w:rsidRPr="004B63C2">
        <w:rPr>
          <w:b/>
          <w:bCs/>
          <w:sz w:val="20"/>
          <w:szCs w:val="20"/>
        </w:rPr>
        <w:t>e</w:t>
      </w:r>
      <w:r w:rsidR="00D57A31" w:rsidRPr="004B63C2">
        <w:rPr>
          <w:b/>
          <w:bCs/>
          <w:spacing w:val="-8"/>
          <w:sz w:val="20"/>
          <w:szCs w:val="20"/>
        </w:rPr>
        <w:t xml:space="preserve"> </w:t>
      </w:r>
      <w:r w:rsidR="00D57A31" w:rsidRPr="004B63C2">
        <w:rPr>
          <w:b/>
          <w:bCs/>
          <w:sz w:val="20"/>
          <w:szCs w:val="20"/>
        </w:rPr>
        <w:t>Sobrinho</w:t>
      </w:r>
      <w:r w:rsidR="00D57A31" w:rsidRPr="004B63C2">
        <w:rPr>
          <w:b/>
          <w:bCs/>
          <w:sz w:val="20"/>
          <w:szCs w:val="20"/>
          <w:vertAlign w:val="superscript"/>
        </w:rPr>
        <w:t>5</w:t>
      </w:r>
      <w:r w:rsidR="00D57A31" w:rsidRPr="004B63C2">
        <w:rPr>
          <w:b/>
          <w:sz w:val="20"/>
          <w:szCs w:val="20"/>
        </w:rPr>
        <w:t>, Isa</w:t>
      </w:r>
      <w:r w:rsidR="002B6DA3">
        <w:rPr>
          <w:b/>
          <w:sz w:val="20"/>
          <w:szCs w:val="20"/>
        </w:rPr>
        <w:t>í</w:t>
      </w:r>
      <w:r w:rsidR="00D57A31" w:rsidRPr="004B63C2">
        <w:rPr>
          <w:b/>
          <w:sz w:val="20"/>
          <w:szCs w:val="20"/>
        </w:rPr>
        <w:t>as Tolentino Araújo de Souza</w:t>
      </w:r>
      <w:r w:rsidR="00D57A31" w:rsidRPr="004B63C2">
        <w:rPr>
          <w:b/>
          <w:sz w:val="20"/>
          <w:szCs w:val="20"/>
          <w:vertAlign w:val="superscript"/>
        </w:rPr>
        <w:t>6</w:t>
      </w:r>
      <w:r w:rsidR="00D57A31" w:rsidRPr="004B63C2">
        <w:rPr>
          <w:b/>
          <w:sz w:val="20"/>
          <w:szCs w:val="20"/>
        </w:rPr>
        <w:t xml:space="preserve">, </w:t>
      </w:r>
      <w:r w:rsidR="00E42AA0" w:rsidRPr="004B63C2">
        <w:rPr>
          <w:b/>
          <w:sz w:val="20"/>
          <w:szCs w:val="20"/>
        </w:rPr>
        <w:t>Marcio Vinicius da Silva Santos</w:t>
      </w:r>
      <w:r w:rsidR="00E42AA0" w:rsidRPr="004B63C2">
        <w:rPr>
          <w:b/>
          <w:sz w:val="20"/>
          <w:szCs w:val="20"/>
          <w:vertAlign w:val="superscript"/>
        </w:rPr>
        <w:t>7</w:t>
      </w:r>
      <w:r w:rsidR="00E42AA0" w:rsidRPr="004B63C2">
        <w:rPr>
          <w:b/>
          <w:sz w:val="20"/>
          <w:szCs w:val="20"/>
        </w:rPr>
        <w:t>, Augusto de Lima Barbosa</w:t>
      </w:r>
      <w:r w:rsidR="00E42AA0" w:rsidRPr="004B63C2">
        <w:rPr>
          <w:b/>
          <w:sz w:val="20"/>
          <w:szCs w:val="20"/>
          <w:vertAlign w:val="superscript"/>
        </w:rPr>
        <w:t>8</w:t>
      </w:r>
      <w:r w:rsidR="00E42AA0" w:rsidRPr="004B63C2">
        <w:rPr>
          <w:b/>
          <w:sz w:val="20"/>
          <w:szCs w:val="20"/>
        </w:rPr>
        <w:t>, Joana Carla de Farias</w:t>
      </w:r>
      <w:r w:rsidR="00E42AA0" w:rsidRPr="004B63C2">
        <w:rPr>
          <w:b/>
          <w:sz w:val="20"/>
          <w:szCs w:val="20"/>
          <w:vertAlign w:val="superscript"/>
        </w:rPr>
        <w:t>9</w:t>
      </w:r>
      <w:r w:rsidR="00E42AA0" w:rsidRPr="004B63C2">
        <w:rPr>
          <w:b/>
          <w:sz w:val="20"/>
          <w:szCs w:val="20"/>
        </w:rPr>
        <w:t xml:space="preserve">, </w:t>
      </w:r>
      <w:r w:rsidRPr="004B63C2">
        <w:rPr>
          <w:b/>
          <w:sz w:val="20"/>
          <w:szCs w:val="20"/>
        </w:rPr>
        <w:t>Hugo Henrique Costa do Nascimento</w:t>
      </w:r>
      <w:r w:rsidR="00E42AA0" w:rsidRPr="004B63C2">
        <w:rPr>
          <w:b/>
          <w:sz w:val="20"/>
          <w:szCs w:val="20"/>
          <w:vertAlign w:val="superscript"/>
        </w:rPr>
        <w:t>10</w:t>
      </w:r>
    </w:p>
    <w:p w14:paraId="15416447" w14:textId="77777777" w:rsidR="00E42AA0" w:rsidRPr="004B63C2" w:rsidRDefault="00E42AA0" w:rsidP="00E42AA0">
      <w:pPr>
        <w:spacing w:line="276" w:lineRule="auto"/>
        <w:ind w:left="221" w:right="214"/>
        <w:jc w:val="center"/>
        <w:rPr>
          <w:sz w:val="20"/>
          <w:szCs w:val="20"/>
          <w:vertAlign w:val="superscript"/>
        </w:rPr>
      </w:pPr>
      <w:bookmarkStart w:id="1" w:name="_abkty6gs88mf" w:colFirst="0" w:colLast="0"/>
      <w:bookmarkEnd w:id="1"/>
      <w:r w:rsidRPr="004B63C2">
        <w:rPr>
          <w:sz w:val="20"/>
          <w:szCs w:val="20"/>
        </w:rPr>
        <w:t>Universidade Federal de Alagoas</w:t>
      </w:r>
      <w:r w:rsidRPr="004B63C2">
        <w:rPr>
          <w:sz w:val="20"/>
          <w:szCs w:val="20"/>
          <w:vertAlign w:val="superscript"/>
        </w:rPr>
        <w:t>1,2,3,4,5,6,7,8,9,10</w:t>
      </w:r>
    </w:p>
    <w:p w14:paraId="4A05CB8D" w14:textId="267463C2" w:rsidR="00054025" w:rsidRPr="004B63C2" w:rsidRDefault="00054025" w:rsidP="00054025">
      <w:pPr>
        <w:spacing w:line="276" w:lineRule="auto"/>
        <w:ind w:left="221" w:right="214"/>
        <w:jc w:val="center"/>
        <w:rPr>
          <w:sz w:val="20"/>
          <w:szCs w:val="20"/>
        </w:rPr>
      </w:pPr>
      <w:r w:rsidRPr="004B63C2">
        <w:rPr>
          <w:sz w:val="20"/>
          <w:szCs w:val="20"/>
        </w:rPr>
        <w:t>*</w:t>
      </w:r>
      <w:r w:rsidR="006E4739" w:rsidRPr="004B63C2">
        <w:rPr>
          <w:sz w:val="20"/>
          <w:szCs w:val="20"/>
        </w:rPr>
        <w:t xml:space="preserve"> </w:t>
      </w:r>
      <w:r w:rsidRPr="004B63C2">
        <w:rPr>
          <w:sz w:val="20"/>
          <w:szCs w:val="20"/>
        </w:rPr>
        <w:t>vitoria.silva1@ceca.ufal.br</w:t>
      </w:r>
    </w:p>
    <w:p w14:paraId="5B5EB929" w14:textId="77777777" w:rsidR="00054025" w:rsidRPr="004B63C2" w:rsidRDefault="00054025" w:rsidP="00054025">
      <w:pPr>
        <w:jc w:val="center"/>
        <w:rPr>
          <w:sz w:val="20"/>
          <w:szCs w:val="20"/>
        </w:rPr>
      </w:pPr>
      <w:r w:rsidRPr="004B63C2">
        <w:rPr>
          <w:sz w:val="20"/>
          <w:szCs w:val="20"/>
        </w:rPr>
        <w:t>__________________________________________________________________________________________</w:t>
      </w:r>
    </w:p>
    <w:p w14:paraId="5BF24B09" w14:textId="77777777" w:rsidR="00054025" w:rsidRPr="004B63C2" w:rsidRDefault="00054025" w:rsidP="00054025">
      <w:pPr>
        <w:jc w:val="both"/>
        <w:rPr>
          <w:sz w:val="20"/>
          <w:szCs w:val="20"/>
        </w:rPr>
      </w:pPr>
    </w:p>
    <w:p w14:paraId="2118C91D" w14:textId="157105C9" w:rsidR="00E42AA0" w:rsidRPr="004B63C2" w:rsidRDefault="00054025" w:rsidP="00E42AA0">
      <w:pPr>
        <w:ind w:right="567"/>
        <w:jc w:val="both"/>
        <w:rPr>
          <w:sz w:val="20"/>
          <w:szCs w:val="20"/>
        </w:rPr>
      </w:pPr>
      <w:r w:rsidRPr="004B63C2">
        <w:rPr>
          <w:b/>
          <w:sz w:val="20"/>
          <w:szCs w:val="20"/>
        </w:rPr>
        <w:t>RESUMO</w:t>
      </w:r>
    </w:p>
    <w:p w14:paraId="6E9FCEAA" w14:textId="2B34E3AD" w:rsidR="00383E87" w:rsidRPr="004B63C2" w:rsidRDefault="00EC0633" w:rsidP="0002082C">
      <w:pPr>
        <w:widowControl/>
        <w:ind w:left="567" w:right="567"/>
        <w:jc w:val="both"/>
        <w:rPr>
          <w:bCs/>
          <w:sz w:val="20"/>
          <w:szCs w:val="20"/>
        </w:rPr>
      </w:pPr>
      <w:r w:rsidRPr="004B63C2">
        <w:rPr>
          <w:sz w:val="20"/>
          <w:szCs w:val="20"/>
        </w:rPr>
        <w:t xml:space="preserve">A </w:t>
      </w:r>
      <w:r w:rsidRPr="004B63C2">
        <w:rPr>
          <w:bCs/>
          <w:i/>
          <w:iCs/>
          <w:sz w:val="20"/>
          <w:szCs w:val="20"/>
        </w:rPr>
        <w:t xml:space="preserve">Mimosa caesalpiniifolia </w:t>
      </w:r>
      <w:r w:rsidRPr="004B63C2">
        <w:rPr>
          <w:bCs/>
          <w:sz w:val="20"/>
          <w:szCs w:val="20"/>
        </w:rPr>
        <w:t>Benth</w:t>
      </w:r>
      <w:r w:rsidRPr="004B63C2">
        <w:rPr>
          <w:sz w:val="20"/>
          <w:szCs w:val="20"/>
        </w:rPr>
        <w:t xml:space="preserve">, conhecida como Sabiá, é uma espécie arbórea nativa brasileira de importância socioeconômica e ambiental, mas pouco utilizada em plantios </w:t>
      </w:r>
      <w:r w:rsidR="00383E87" w:rsidRPr="004B63C2">
        <w:rPr>
          <w:sz w:val="20"/>
          <w:szCs w:val="20"/>
        </w:rPr>
        <w:t>comerciais</w:t>
      </w:r>
      <w:r w:rsidRPr="004B63C2">
        <w:rPr>
          <w:sz w:val="20"/>
          <w:szCs w:val="20"/>
        </w:rPr>
        <w:t xml:space="preserve">. Diante da necessidade de produção de mudas nativas para recuperação de áreas degradadas, é essencial avaliar os fatores que influenciam seu desenvolvimento, incluindo a adubação com micronutrientes. Sendo assim, </w:t>
      </w:r>
      <w:r w:rsidR="00365635" w:rsidRPr="004B63C2">
        <w:rPr>
          <w:sz w:val="20"/>
          <w:szCs w:val="20"/>
        </w:rPr>
        <w:t>estudo avaliou os efeitos de doses crescente</w:t>
      </w:r>
      <w:r w:rsidRPr="004B63C2">
        <w:rPr>
          <w:sz w:val="20"/>
          <w:szCs w:val="20"/>
        </w:rPr>
        <w:t>s</w:t>
      </w:r>
      <w:r w:rsidR="00365635" w:rsidRPr="004B63C2">
        <w:rPr>
          <w:sz w:val="20"/>
          <w:szCs w:val="20"/>
        </w:rPr>
        <w:t xml:space="preserve"> de </w:t>
      </w:r>
      <w:r w:rsidR="009946C7" w:rsidRPr="004B63C2">
        <w:rPr>
          <w:sz w:val="20"/>
          <w:szCs w:val="20"/>
        </w:rPr>
        <w:t>micronutrientes n</w:t>
      </w:r>
      <w:r w:rsidR="00365635" w:rsidRPr="004B63C2">
        <w:rPr>
          <w:sz w:val="20"/>
          <w:szCs w:val="20"/>
        </w:rPr>
        <w:t>o crescimento de mudas de Sabiá</w:t>
      </w:r>
      <w:r w:rsidR="00E815B4" w:rsidRPr="004B63C2">
        <w:rPr>
          <w:sz w:val="20"/>
          <w:szCs w:val="20"/>
        </w:rPr>
        <w:t xml:space="preserve">, </w:t>
      </w:r>
      <w:r w:rsidR="009946C7" w:rsidRPr="004B63C2">
        <w:rPr>
          <w:sz w:val="20"/>
          <w:szCs w:val="20"/>
        </w:rPr>
        <w:t>submetidas a cinco doses (0g, 5g, 10g, 15g, 20g) de FTE BR12 e monitoradas semanalmente quanto à altura, diâmetro e números de folha</w:t>
      </w:r>
      <w:r w:rsidR="00EE21EA" w:rsidRPr="004B63C2">
        <w:rPr>
          <w:sz w:val="20"/>
          <w:szCs w:val="20"/>
        </w:rPr>
        <w:t>s</w:t>
      </w:r>
      <w:r w:rsidR="009946C7" w:rsidRPr="004B63C2">
        <w:rPr>
          <w:sz w:val="20"/>
          <w:szCs w:val="20"/>
        </w:rPr>
        <w:t xml:space="preserve">, ao final do experimento foi realizada a separação de frações para determinação de alocação de biomassa. </w:t>
      </w:r>
      <w:r w:rsidR="00383E87" w:rsidRPr="004B63C2">
        <w:rPr>
          <w:bCs/>
          <w:sz w:val="20"/>
          <w:szCs w:val="20"/>
        </w:rPr>
        <w:t xml:space="preserve">As diferentes doses de FTE BR-12 influenciaram o desenvolvimento inicial de mudas de </w:t>
      </w:r>
      <w:r w:rsidR="00383E87" w:rsidRPr="004B63C2">
        <w:rPr>
          <w:bCs/>
          <w:i/>
          <w:iCs/>
          <w:sz w:val="20"/>
          <w:szCs w:val="20"/>
        </w:rPr>
        <w:t>Mimosa caesalpinifolia</w:t>
      </w:r>
      <w:r w:rsidR="00383E87" w:rsidRPr="004B63C2">
        <w:rPr>
          <w:bCs/>
          <w:sz w:val="20"/>
          <w:szCs w:val="20"/>
        </w:rPr>
        <w:t xml:space="preserve"> L., com destaque para as doses de 15 e 20 g, que proporcionaram incrementos biométricos e na produção e alocação de matéria seca. Doses mais elevadas não mantiveram esse padrão, sugerindo que o excesso de micronutrientes pode comprometer o crescimento. Assim, doses moderadas de FTE BR-12 são mais adequadas para a produção de mudas dessa espécie.</w:t>
      </w:r>
    </w:p>
    <w:p w14:paraId="13FF9B7C" w14:textId="03C84F5D" w:rsidR="00054025" w:rsidRPr="004B63C2" w:rsidRDefault="00054025" w:rsidP="003A3F6B">
      <w:pPr>
        <w:ind w:right="567"/>
        <w:jc w:val="both"/>
        <w:rPr>
          <w:b/>
          <w:sz w:val="20"/>
          <w:szCs w:val="20"/>
        </w:rPr>
      </w:pPr>
    </w:p>
    <w:p w14:paraId="4FFC8D55" w14:textId="7D0C2094" w:rsidR="00054025" w:rsidRPr="004B63C2" w:rsidRDefault="00766597" w:rsidP="00E42AA0">
      <w:pPr>
        <w:widowControl/>
        <w:ind w:right="567"/>
        <w:jc w:val="both"/>
        <w:rPr>
          <w:sz w:val="20"/>
          <w:szCs w:val="20"/>
        </w:rPr>
      </w:pPr>
      <w:r w:rsidRPr="004B63C2">
        <w:rPr>
          <w:bCs/>
          <w:i/>
          <w:iCs/>
          <w:sz w:val="20"/>
          <w:szCs w:val="20"/>
        </w:rPr>
        <w:t>Palavras-chave</w:t>
      </w:r>
      <w:r w:rsidR="00054025" w:rsidRPr="004B63C2">
        <w:rPr>
          <w:sz w:val="20"/>
          <w:szCs w:val="20"/>
        </w:rPr>
        <w:t>: FTE BR12</w:t>
      </w:r>
      <w:r w:rsidR="0095340F" w:rsidRPr="004B63C2">
        <w:rPr>
          <w:sz w:val="20"/>
          <w:szCs w:val="20"/>
        </w:rPr>
        <w:t xml:space="preserve">; </w:t>
      </w:r>
      <w:r w:rsidR="005A06CD">
        <w:rPr>
          <w:sz w:val="20"/>
          <w:szCs w:val="20"/>
        </w:rPr>
        <w:t>c</w:t>
      </w:r>
      <w:r w:rsidR="00F804E9" w:rsidRPr="004B63C2">
        <w:rPr>
          <w:sz w:val="20"/>
          <w:szCs w:val="20"/>
        </w:rPr>
        <w:t>oquetel de nutrientes</w:t>
      </w:r>
      <w:r w:rsidR="0095340F" w:rsidRPr="004B63C2">
        <w:rPr>
          <w:sz w:val="20"/>
          <w:szCs w:val="20"/>
        </w:rPr>
        <w:t>;</w:t>
      </w:r>
      <w:r w:rsidR="00153B65">
        <w:rPr>
          <w:sz w:val="20"/>
          <w:szCs w:val="20"/>
        </w:rPr>
        <w:t xml:space="preserve"> </w:t>
      </w:r>
      <w:r w:rsidR="00E42AA0" w:rsidRPr="004B63C2">
        <w:rPr>
          <w:sz w:val="20"/>
          <w:szCs w:val="20"/>
        </w:rPr>
        <w:t>crescimento vegetal</w:t>
      </w:r>
      <w:r w:rsidR="00153B65">
        <w:rPr>
          <w:sz w:val="20"/>
          <w:szCs w:val="20"/>
        </w:rPr>
        <w:t xml:space="preserve">; </w:t>
      </w:r>
      <w:r w:rsidR="00E42AA0" w:rsidRPr="004B63C2">
        <w:rPr>
          <w:sz w:val="20"/>
          <w:szCs w:val="20"/>
        </w:rPr>
        <w:t>produção de mudas</w:t>
      </w:r>
      <w:r w:rsidR="00851D80" w:rsidRPr="004B63C2">
        <w:rPr>
          <w:sz w:val="20"/>
          <w:szCs w:val="20"/>
        </w:rPr>
        <w:t>.</w:t>
      </w:r>
    </w:p>
    <w:p w14:paraId="26C6D2F1" w14:textId="77777777" w:rsidR="00054025" w:rsidRPr="004B63C2" w:rsidRDefault="00054025" w:rsidP="00054025">
      <w:pPr>
        <w:widowControl/>
        <w:jc w:val="both"/>
        <w:rPr>
          <w:b/>
          <w:sz w:val="20"/>
          <w:szCs w:val="20"/>
        </w:rPr>
      </w:pPr>
    </w:p>
    <w:p w14:paraId="4B1089F5" w14:textId="194402D8" w:rsidR="00E42AA0" w:rsidRPr="00923F78" w:rsidRDefault="00054025" w:rsidP="00923F78">
      <w:pPr>
        <w:widowControl/>
        <w:jc w:val="both"/>
        <w:rPr>
          <w:b/>
          <w:sz w:val="20"/>
          <w:szCs w:val="20"/>
        </w:rPr>
      </w:pPr>
      <w:r w:rsidRPr="004B63C2">
        <w:rPr>
          <w:b/>
          <w:sz w:val="20"/>
          <w:szCs w:val="20"/>
        </w:rPr>
        <w:t xml:space="preserve">INTRODUÇÃO </w:t>
      </w:r>
    </w:p>
    <w:p w14:paraId="297D2135" w14:textId="23F36258" w:rsidR="00440108" w:rsidRPr="004B63C2" w:rsidRDefault="00186D54" w:rsidP="00DA37A7">
      <w:pPr>
        <w:widowControl/>
        <w:ind w:firstLine="709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 xml:space="preserve">A </w:t>
      </w:r>
      <w:r w:rsidRPr="004B63C2">
        <w:rPr>
          <w:bCs/>
          <w:i/>
          <w:iCs/>
          <w:sz w:val="20"/>
          <w:szCs w:val="20"/>
        </w:rPr>
        <w:t>Mimosa caesalpiniifolia</w:t>
      </w:r>
      <w:bookmarkStart w:id="2" w:name="_Hlk200465104"/>
      <w:r w:rsidRPr="004B63C2">
        <w:rPr>
          <w:bCs/>
          <w:i/>
          <w:iCs/>
          <w:sz w:val="20"/>
          <w:szCs w:val="20"/>
        </w:rPr>
        <w:t xml:space="preserve"> </w:t>
      </w:r>
      <w:r w:rsidRPr="004B63C2">
        <w:rPr>
          <w:bCs/>
          <w:sz w:val="20"/>
          <w:szCs w:val="20"/>
        </w:rPr>
        <w:t>Benth</w:t>
      </w:r>
      <w:bookmarkEnd w:id="2"/>
      <w:r w:rsidRPr="004B63C2">
        <w:rPr>
          <w:bCs/>
          <w:sz w:val="20"/>
          <w:szCs w:val="20"/>
        </w:rPr>
        <w:t>, popularmente conhecida como S</w:t>
      </w:r>
      <w:r w:rsidR="00634763" w:rsidRPr="004B63C2">
        <w:rPr>
          <w:bCs/>
          <w:sz w:val="20"/>
          <w:szCs w:val="20"/>
        </w:rPr>
        <w:t>a</w:t>
      </w:r>
      <w:r w:rsidRPr="004B63C2">
        <w:rPr>
          <w:bCs/>
          <w:sz w:val="20"/>
          <w:szCs w:val="20"/>
        </w:rPr>
        <w:t>bi</w:t>
      </w:r>
      <w:r w:rsidR="00634763" w:rsidRPr="004B63C2">
        <w:rPr>
          <w:bCs/>
          <w:sz w:val="20"/>
          <w:szCs w:val="20"/>
        </w:rPr>
        <w:t>á</w:t>
      </w:r>
      <w:r w:rsidRPr="004B63C2">
        <w:rPr>
          <w:bCs/>
          <w:sz w:val="20"/>
          <w:szCs w:val="20"/>
        </w:rPr>
        <w:t>, Sansão-do-campo, Unha-de-gato e Angiquinho-s</w:t>
      </w:r>
      <w:r w:rsidR="002E3203" w:rsidRPr="004B63C2">
        <w:rPr>
          <w:bCs/>
          <w:sz w:val="20"/>
          <w:szCs w:val="20"/>
        </w:rPr>
        <w:t>a</w:t>
      </w:r>
      <w:r w:rsidRPr="004B63C2">
        <w:rPr>
          <w:bCs/>
          <w:sz w:val="20"/>
          <w:szCs w:val="20"/>
        </w:rPr>
        <w:t>bi</w:t>
      </w:r>
      <w:r w:rsidR="002E3203" w:rsidRPr="004B63C2">
        <w:rPr>
          <w:bCs/>
          <w:sz w:val="20"/>
          <w:szCs w:val="20"/>
        </w:rPr>
        <w:t>á</w:t>
      </w:r>
      <w:r w:rsidRPr="004B63C2">
        <w:rPr>
          <w:bCs/>
          <w:sz w:val="20"/>
          <w:szCs w:val="20"/>
        </w:rPr>
        <w:t>, é uma espécie arbórea nativa brasileira, classificada como pioneira,</w:t>
      </w:r>
      <w:r w:rsidR="00576C9A" w:rsidRPr="004B63C2">
        <w:rPr>
          <w:bCs/>
          <w:sz w:val="20"/>
          <w:szCs w:val="20"/>
        </w:rPr>
        <w:t xml:space="preserve"> de</w:t>
      </w:r>
      <w:r w:rsidRPr="004B63C2">
        <w:rPr>
          <w:bCs/>
          <w:sz w:val="20"/>
          <w:szCs w:val="20"/>
        </w:rPr>
        <w:t xml:space="preserve"> crescimento rápido e</w:t>
      </w:r>
      <w:r w:rsidR="00841288" w:rsidRPr="004B63C2">
        <w:rPr>
          <w:bCs/>
          <w:sz w:val="20"/>
          <w:szCs w:val="20"/>
        </w:rPr>
        <w:t xml:space="preserve"> </w:t>
      </w:r>
      <w:r w:rsidRPr="004B63C2">
        <w:rPr>
          <w:bCs/>
          <w:sz w:val="20"/>
          <w:szCs w:val="20"/>
        </w:rPr>
        <w:t>baixa exigência por nutrientes e umidade (CARVALHO, 2006).</w:t>
      </w:r>
      <w:r w:rsidR="00576C9A" w:rsidRPr="004B63C2">
        <w:rPr>
          <w:bCs/>
          <w:sz w:val="20"/>
          <w:szCs w:val="20"/>
        </w:rPr>
        <w:t xml:space="preserve"> </w:t>
      </w:r>
      <w:r w:rsidR="00AF32AF" w:rsidRPr="004B63C2">
        <w:rPr>
          <w:bCs/>
          <w:sz w:val="20"/>
          <w:szCs w:val="20"/>
        </w:rPr>
        <w:t xml:space="preserve">Segundo o autor, a espécie apresenta ocorrência em formações primárias e secundárias, </w:t>
      </w:r>
      <w:r w:rsidR="0045306C" w:rsidRPr="004B63C2">
        <w:rPr>
          <w:bCs/>
          <w:sz w:val="20"/>
          <w:szCs w:val="20"/>
        </w:rPr>
        <w:t xml:space="preserve">e </w:t>
      </w:r>
      <w:r w:rsidR="00AF32AF" w:rsidRPr="004B63C2">
        <w:rPr>
          <w:bCs/>
          <w:sz w:val="20"/>
          <w:szCs w:val="20"/>
        </w:rPr>
        <w:t>devido suas características consegue se desenvolver mesmo em áreas degradadas.</w:t>
      </w:r>
    </w:p>
    <w:p w14:paraId="3D4FCE54" w14:textId="0DD7A27A" w:rsidR="00BB348C" w:rsidRPr="004B63C2" w:rsidRDefault="00E31F1E" w:rsidP="00D95884">
      <w:pPr>
        <w:widowControl/>
        <w:ind w:firstLine="709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>A madeira do Sabiá apresenta</w:t>
      </w:r>
      <w:r w:rsidR="006F0F86" w:rsidRPr="004B63C2">
        <w:rPr>
          <w:bCs/>
          <w:sz w:val="20"/>
          <w:szCs w:val="20"/>
        </w:rPr>
        <w:t xml:space="preserve"> </w:t>
      </w:r>
      <w:r w:rsidR="00CE23FF" w:rsidRPr="004B63C2">
        <w:rPr>
          <w:bCs/>
          <w:sz w:val="20"/>
          <w:szCs w:val="20"/>
        </w:rPr>
        <w:t>características físic</w:t>
      </w:r>
      <w:r w:rsidR="00D3423A" w:rsidRPr="004B63C2">
        <w:rPr>
          <w:bCs/>
          <w:sz w:val="20"/>
          <w:szCs w:val="20"/>
        </w:rPr>
        <w:t xml:space="preserve">as e </w:t>
      </w:r>
      <w:r w:rsidR="00CE23FF" w:rsidRPr="004B63C2">
        <w:rPr>
          <w:bCs/>
          <w:sz w:val="20"/>
          <w:szCs w:val="20"/>
        </w:rPr>
        <w:t xml:space="preserve">químicas </w:t>
      </w:r>
      <w:r w:rsidR="006F0F86" w:rsidRPr="004B63C2">
        <w:rPr>
          <w:bCs/>
          <w:sz w:val="20"/>
          <w:szCs w:val="20"/>
        </w:rPr>
        <w:t>que possibilitam sua utilização na produção de carvão</w:t>
      </w:r>
      <w:r w:rsidR="00D3423A" w:rsidRPr="004B63C2">
        <w:rPr>
          <w:bCs/>
          <w:sz w:val="20"/>
          <w:szCs w:val="20"/>
        </w:rPr>
        <w:t xml:space="preserve"> e lenha </w:t>
      </w:r>
      <w:r w:rsidR="00CE23FF" w:rsidRPr="004B63C2">
        <w:rPr>
          <w:bCs/>
          <w:sz w:val="20"/>
          <w:szCs w:val="20"/>
        </w:rPr>
        <w:t>(CARVALHO, 2006; MUNIZ, 2024)</w:t>
      </w:r>
      <w:r w:rsidR="0025761A" w:rsidRPr="004B63C2">
        <w:rPr>
          <w:bCs/>
          <w:sz w:val="20"/>
          <w:szCs w:val="20"/>
        </w:rPr>
        <w:t xml:space="preserve">. </w:t>
      </w:r>
      <w:r w:rsidR="00D95884" w:rsidRPr="004B63C2">
        <w:rPr>
          <w:bCs/>
          <w:sz w:val="20"/>
          <w:szCs w:val="20"/>
        </w:rPr>
        <w:t xml:space="preserve"> </w:t>
      </w:r>
      <w:r w:rsidR="0025761A" w:rsidRPr="004B63C2">
        <w:rPr>
          <w:bCs/>
          <w:sz w:val="20"/>
          <w:szCs w:val="20"/>
        </w:rPr>
        <w:t xml:space="preserve">De acordo com </w:t>
      </w:r>
      <w:r w:rsidR="00797AC8" w:rsidRPr="004B63C2">
        <w:rPr>
          <w:bCs/>
          <w:sz w:val="20"/>
          <w:szCs w:val="20"/>
        </w:rPr>
        <w:t>Silva</w:t>
      </w:r>
      <w:r w:rsidR="00D95884" w:rsidRPr="004B63C2">
        <w:rPr>
          <w:bCs/>
          <w:sz w:val="20"/>
          <w:szCs w:val="20"/>
        </w:rPr>
        <w:t xml:space="preserve"> (</w:t>
      </w:r>
      <w:r w:rsidR="0025761A" w:rsidRPr="004B63C2">
        <w:rPr>
          <w:bCs/>
          <w:sz w:val="20"/>
          <w:szCs w:val="20"/>
        </w:rPr>
        <w:t xml:space="preserve">2016) </w:t>
      </w:r>
      <w:r w:rsidR="00D95884" w:rsidRPr="004B63C2">
        <w:rPr>
          <w:bCs/>
          <w:sz w:val="20"/>
          <w:szCs w:val="20"/>
        </w:rPr>
        <w:t xml:space="preserve">espécies </w:t>
      </w:r>
      <w:r w:rsidR="0025761A" w:rsidRPr="004B63C2">
        <w:rPr>
          <w:bCs/>
          <w:sz w:val="20"/>
          <w:szCs w:val="20"/>
        </w:rPr>
        <w:t xml:space="preserve">nativas costumam se destacar em qualidade e resistência quando comparada a espécie exóticas, mas apesar disso ainda não são muito utilizadas em plantios </w:t>
      </w:r>
      <w:r w:rsidR="00383E87" w:rsidRPr="004B63C2">
        <w:rPr>
          <w:bCs/>
          <w:sz w:val="20"/>
          <w:szCs w:val="20"/>
        </w:rPr>
        <w:t>comerciais</w:t>
      </w:r>
      <w:r w:rsidR="00D95884" w:rsidRPr="004B63C2">
        <w:rPr>
          <w:bCs/>
          <w:sz w:val="20"/>
          <w:szCs w:val="20"/>
        </w:rPr>
        <w:t xml:space="preserve">, por serem consideradas de crescimento lento. </w:t>
      </w:r>
    </w:p>
    <w:p w14:paraId="720A3ED3" w14:textId="0BD5F217" w:rsidR="006F0F86" w:rsidRPr="004B63C2" w:rsidRDefault="00C802A8" w:rsidP="001101F4">
      <w:pPr>
        <w:widowControl/>
        <w:ind w:firstLine="709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 xml:space="preserve">Considerando a crescente necessidade da produção de mudas nativas para recuperação de áreas degradadas e produção de biomassa florestal, é imprescindível levar em consideração os fatores </w:t>
      </w:r>
      <w:r w:rsidR="007E5867" w:rsidRPr="004B63C2">
        <w:rPr>
          <w:bCs/>
          <w:sz w:val="20"/>
          <w:szCs w:val="20"/>
        </w:rPr>
        <w:t>determinantes de crescimento e desenvolvimento das planta</w:t>
      </w:r>
      <w:r w:rsidR="00E6215F" w:rsidRPr="004B63C2">
        <w:rPr>
          <w:bCs/>
          <w:sz w:val="20"/>
          <w:szCs w:val="20"/>
        </w:rPr>
        <w:t>s</w:t>
      </w:r>
      <w:r w:rsidR="007E5867" w:rsidRPr="004B63C2">
        <w:rPr>
          <w:bCs/>
          <w:sz w:val="20"/>
          <w:szCs w:val="20"/>
        </w:rPr>
        <w:t xml:space="preserve">. </w:t>
      </w:r>
      <w:r w:rsidR="001101F4" w:rsidRPr="004B63C2">
        <w:rPr>
          <w:bCs/>
          <w:sz w:val="20"/>
          <w:szCs w:val="20"/>
        </w:rPr>
        <w:t>D</w:t>
      </w:r>
      <w:r w:rsidR="002C3D00" w:rsidRPr="004B63C2">
        <w:rPr>
          <w:bCs/>
          <w:sz w:val="20"/>
          <w:szCs w:val="20"/>
        </w:rPr>
        <w:t>ias</w:t>
      </w:r>
      <w:r w:rsidR="00E97C44" w:rsidRPr="004B63C2">
        <w:rPr>
          <w:bCs/>
          <w:sz w:val="20"/>
          <w:szCs w:val="20"/>
        </w:rPr>
        <w:t xml:space="preserve"> </w:t>
      </w:r>
      <w:r w:rsidR="00E97C44" w:rsidRPr="004B63C2">
        <w:rPr>
          <w:bCs/>
          <w:i/>
          <w:iCs/>
          <w:sz w:val="20"/>
          <w:szCs w:val="20"/>
        </w:rPr>
        <w:t>et al</w:t>
      </w:r>
      <w:r w:rsidR="00E97C44" w:rsidRPr="004B63C2">
        <w:rPr>
          <w:bCs/>
          <w:sz w:val="20"/>
          <w:szCs w:val="20"/>
        </w:rPr>
        <w:t>. (2016) destaca a importância da disponibilização de nutrientes</w:t>
      </w:r>
      <w:r w:rsidR="001101F4" w:rsidRPr="004B63C2">
        <w:rPr>
          <w:bCs/>
          <w:sz w:val="20"/>
          <w:szCs w:val="20"/>
        </w:rPr>
        <w:t xml:space="preserve"> por meio de adubação</w:t>
      </w:r>
      <w:r w:rsidR="00E97C44" w:rsidRPr="004B63C2">
        <w:rPr>
          <w:bCs/>
          <w:sz w:val="20"/>
          <w:szCs w:val="20"/>
        </w:rPr>
        <w:t xml:space="preserve"> na fase de crescimento inicial, </w:t>
      </w:r>
      <w:r w:rsidR="00162733" w:rsidRPr="004B63C2">
        <w:rPr>
          <w:bCs/>
          <w:sz w:val="20"/>
          <w:szCs w:val="20"/>
        </w:rPr>
        <w:t>possibilitando maior sucesso em campo.</w:t>
      </w:r>
    </w:p>
    <w:p w14:paraId="177AD72B" w14:textId="45BC4528" w:rsidR="002005B5" w:rsidRPr="004B63C2" w:rsidRDefault="002005B5" w:rsidP="00276668">
      <w:pPr>
        <w:widowControl/>
        <w:ind w:firstLine="709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>A adubação pode ser feita por meio de fertilizantes e corretivos agrícolas, sendo uma forma eficiente de suprir a deficiência de nutrientes no solo. Os nutrientes podem ser divididos em macronutrientes e micronutrientes</w:t>
      </w:r>
      <w:r w:rsidR="00FA7F3C" w:rsidRPr="004B63C2">
        <w:rPr>
          <w:bCs/>
          <w:sz w:val="20"/>
          <w:szCs w:val="20"/>
        </w:rPr>
        <w:t>, segundo C</w:t>
      </w:r>
      <w:r w:rsidR="00B23F62" w:rsidRPr="004B63C2">
        <w:rPr>
          <w:bCs/>
          <w:sz w:val="20"/>
          <w:szCs w:val="20"/>
        </w:rPr>
        <w:t>unha</w:t>
      </w:r>
      <w:r w:rsidR="00FA7F3C" w:rsidRPr="004B63C2">
        <w:rPr>
          <w:bCs/>
          <w:sz w:val="20"/>
          <w:szCs w:val="20"/>
        </w:rPr>
        <w:t xml:space="preserve"> </w:t>
      </w:r>
      <w:r w:rsidR="00FA7F3C" w:rsidRPr="004B63C2">
        <w:rPr>
          <w:bCs/>
          <w:i/>
          <w:iCs/>
          <w:sz w:val="20"/>
          <w:szCs w:val="20"/>
        </w:rPr>
        <w:t>et al</w:t>
      </w:r>
      <w:r w:rsidR="00FA7F3C" w:rsidRPr="004B63C2">
        <w:rPr>
          <w:bCs/>
          <w:sz w:val="20"/>
          <w:szCs w:val="20"/>
        </w:rPr>
        <w:t>. (2017) as pesquisas sobre recomendação de dosagens de micronutrientes é muito escassa, sendo muitas vezes aplicados de forma preventiva.</w:t>
      </w:r>
      <w:r w:rsidR="004B63C2" w:rsidRPr="004B63C2">
        <w:rPr>
          <w:bCs/>
          <w:sz w:val="20"/>
          <w:szCs w:val="20"/>
        </w:rPr>
        <w:t xml:space="preserve"> </w:t>
      </w:r>
    </w:p>
    <w:p w14:paraId="19EFBE83" w14:textId="7C1662CF" w:rsidR="00B2799A" w:rsidRPr="004B63C2" w:rsidRDefault="00FC17A7" w:rsidP="00B2799A">
      <w:pPr>
        <w:ind w:firstLine="709"/>
        <w:jc w:val="both"/>
        <w:rPr>
          <w:sz w:val="20"/>
          <w:szCs w:val="20"/>
        </w:rPr>
      </w:pPr>
      <w:r w:rsidRPr="004B63C2">
        <w:rPr>
          <w:sz w:val="20"/>
          <w:szCs w:val="20"/>
        </w:rPr>
        <w:t>Sendo assim, e</w:t>
      </w:r>
      <w:r w:rsidR="004A3CDD" w:rsidRPr="004B63C2">
        <w:rPr>
          <w:sz w:val="20"/>
          <w:szCs w:val="20"/>
        </w:rPr>
        <w:t xml:space="preserve">ste </w:t>
      </w:r>
      <w:r w:rsidR="00054025" w:rsidRPr="004B63C2">
        <w:rPr>
          <w:sz w:val="20"/>
          <w:szCs w:val="20"/>
        </w:rPr>
        <w:t>estudo</w:t>
      </w:r>
      <w:r w:rsidR="004A3CDD" w:rsidRPr="004B63C2">
        <w:rPr>
          <w:sz w:val="20"/>
          <w:szCs w:val="20"/>
        </w:rPr>
        <w:t xml:space="preserve"> te</w:t>
      </w:r>
      <w:r w:rsidR="00D917D6" w:rsidRPr="004B63C2">
        <w:rPr>
          <w:sz w:val="20"/>
          <w:szCs w:val="20"/>
        </w:rPr>
        <w:t>ve</w:t>
      </w:r>
      <w:r w:rsidR="004A3CDD" w:rsidRPr="004B63C2">
        <w:rPr>
          <w:sz w:val="20"/>
          <w:szCs w:val="20"/>
        </w:rPr>
        <w:t xml:space="preserve"> como objetivo</w:t>
      </w:r>
      <w:r w:rsidR="00054025" w:rsidRPr="004B63C2">
        <w:rPr>
          <w:sz w:val="20"/>
          <w:szCs w:val="20"/>
        </w:rPr>
        <w:t xml:space="preserve"> avaliar o crescimento de mudas de Sabiá (</w:t>
      </w:r>
      <w:r w:rsidR="00054025" w:rsidRPr="004B63C2">
        <w:rPr>
          <w:i/>
          <w:iCs/>
          <w:sz w:val="20"/>
          <w:szCs w:val="20"/>
        </w:rPr>
        <w:t xml:space="preserve">Mimosa caesalpiniifolia </w:t>
      </w:r>
      <w:r w:rsidR="00054025" w:rsidRPr="004B63C2">
        <w:rPr>
          <w:sz w:val="20"/>
          <w:szCs w:val="20"/>
        </w:rPr>
        <w:t xml:space="preserve">Benth) </w:t>
      </w:r>
      <w:r w:rsidR="00510D46" w:rsidRPr="004B63C2">
        <w:rPr>
          <w:sz w:val="20"/>
          <w:szCs w:val="20"/>
        </w:rPr>
        <w:t>sob</w:t>
      </w:r>
      <w:r w:rsidR="00054025" w:rsidRPr="004B63C2">
        <w:rPr>
          <w:sz w:val="20"/>
          <w:szCs w:val="20"/>
        </w:rPr>
        <w:t xml:space="preserve"> doses crescentes de micronutrientes</w:t>
      </w:r>
      <w:r w:rsidR="00E42AA0" w:rsidRPr="004B63C2">
        <w:rPr>
          <w:sz w:val="20"/>
          <w:szCs w:val="20"/>
        </w:rPr>
        <w:t>.</w:t>
      </w:r>
    </w:p>
    <w:p w14:paraId="77585BCF" w14:textId="77777777" w:rsidR="00186161" w:rsidRPr="004B63C2" w:rsidRDefault="00186161" w:rsidP="00054025">
      <w:pPr>
        <w:widowControl/>
        <w:jc w:val="both"/>
        <w:rPr>
          <w:b/>
          <w:sz w:val="20"/>
          <w:szCs w:val="20"/>
        </w:rPr>
      </w:pPr>
    </w:p>
    <w:p w14:paraId="2851A1CE" w14:textId="288ED199" w:rsidR="006279CE" w:rsidRPr="004B63C2" w:rsidRDefault="00054025" w:rsidP="00054025">
      <w:pPr>
        <w:widowControl/>
        <w:jc w:val="both"/>
        <w:rPr>
          <w:b/>
          <w:sz w:val="20"/>
          <w:szCs w:val="20"/>
        </w:rPr>
      </w:pPr>
      <w:r w:rsidRPr="004B63C2">
        <w:rPr>
          <w:b/>
          <w:sz w:val="20"/>
          <w:szCs w:val="20"/>
        </w:rPr>
        <w:t xml:space="preserve">MATERIAL E MÉTODOS </w:t>
      </w:r>
    </w:p>
    <w:p w14:paraId="754E096E" w14:textId="6504E57A" w:rsidR="00E45832" w:rsidRPr="004B63C2" w:rsidRDefault="006279CE" w:rsidP="004616E8">
      <w:pPr>
        <w:widowControl/>
        <w:ind w:firstLine="709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 xml:space="preserve">O experimento foi realizado no Laboratório de Tecnologia </w:t>
      </w:r>
      <w:r w:rsidR="00D213EA" w:rsidRPr="004B63C2">
        <w:rPr>
          <w:bCs/>
          <w:sz w:val="20"/>
          <w:szCs w:val="20"/>
        </w:rPr>
        <w:t>da</w:t>
      </w:r>
      <w:r w:rsidRPr="004B63C2">
        <w:rPr>
          <w:bCs/>
          <w:sz w:val="20"/>
          <w:szCs w:val="20"/>
        </w:rPr>
        <w:t xml:space="preserve"> Produção (LATEP) no Campus de Engenharias e Ciências Agrárias</w:t>
      </w:r>
      <w:r w:rsidR="005D01BB" w:rsidRPr="004B63C2">
        <w:rPr>
          <w:bCs/>
          <w:sz w:val="20"/>
          <w:szCs w:val="20"/>
        </w:rPr>
        <w:t xml:space="preserve"> (CECA/</w:t>
      </w:r>
      <w:r w:rsidR="00162811" w:rsidRPr="004B63C2">
        <w:rPr>
          <w:bCs/>
          <w:sz w:val="20"/>
          <w:szCs w:val="20"/>
        </w:rPr>
        <w:t>UFAL</w:t>
      </w:r>
      <w:r w:rsidR="005D01BB" w:rsidRPr="004B63C2">
        <w:rPr>
          <w:bCs/>
          <w:sz w:val="20"/>
          <w:szCs w:val="20"/>
        </w:rPr>
        <w:t>)</w:t>
      </w:r>
      <w:r w:rsidR="00162811" w:rsidRPr="004B63C2">
        <w:rPr>
          <w:bCs/>
          <w:sz w:val="20"/>
          <w:szCs w:val="20"/>
        </w:rPr>
        <w:t>,</w:t>
      </w:r>
      <w:r w:rsidR="004B346B" w:rsidRPr="004B63C2">
        <w:rPr>
          <w:bCs/>
          <w:sz w:val="20"/>
          <w:szCs w:val="20"/>
        </w:rPr>
        <w:t xml:space="preserve"> </w:t>
      </w:r>
      <w:r w:rsidR="00162811" w:rsidRPr="004B63C2">
        <w:rPr>
          <w:bCs/>
          <w:sz w:val="20"/>
          <w:szCs w:val="20"/>
        </w:rPr>
        <w:t>no município de Rio Largo, Alagoas.</w:t>
      </w:r>
      <w:r w:rsidR="004B346B" w:rsidRPr="004B63C2">
        <w:rPr>
          <w:bCs/>
          <w:sz w:val="20"/>
          <w:szCs w:val="20"/>
        </w:rPr>
        <w:t xml:space="preserve"> A pesquisa </w:t>
      </w:r>
      <w:r w:rsidR="00162811" w:rsidRPr="004B63C2">
        <w:rPr>
          <w:bCs/>
          <w:sz w:val="20"/>
          <w:szCs w:val="20"/>
        </w:rPr>
        <w:t>foi conduzid</w:t>
      </w:r>
      <w:r w:rsidR="004B346B" w:rsidRPr="004B63C2">
        <w:rPr>
          <w:bCs/>
          <w:sz w:val="20"/>
          <w:szCs w:val="20"/>
        </w:rPr>
        <w:t>a</w:t>
      </w:r>
      <w:r w:rsidR="00162811" w:rsidRPr="004B63C2">
        <w:rPr>
          <w:bCs/>
          <w:sz w:val="20"/>
          <w:szCs w:val="20"/>
        </w:rPr>
        <w:t xml:space="preserve"> </w:t>
      </w:r>
      <w:r w:rsidR="00162811" w:rsidRPr="004B63C2">
        <w:rPr>
          <w:bCs/>
          <w:sz w:val="20"/>
          <w:szCs w:val="20"/>
        </w:rPr>
        <w:lastRenderedPageBreak/>
        <w:t>no período de ju</w:t>
      </w:r>
      <w:r w:rsidR="00AF1259" w:rsidRPr="004B63C2">
        <w:rPr>
          <w:bCs/>
          <w:sz w:val="20"/>
          <w:szCs w:val="20"/>
        </w:rPr>
        <w:t>n</w:t>
      </w:r>
      <w:r w:rsidR="00162811" w:rsidRPr="004B63C2">
        <w:rPr>
          <w:bCs/>
          <w:sz w:val="20"/>
          <w:szCs w:val="20"/>
        </w:rPr>
        <w:t>ho a outubro de 2023.</w:t>
      </w:r>
      <w:r w:rsidR="004616E8" w:rsidRPr="004B63C2">
        <w:rPr>
          <w:bCs/>
          <w:sz w:val="20"/>
          <w:szCs w:val="20"/>
        </w:rPr>
        <w:t xml:space="preserve"> </w:t>
      </w:r>
      <w:r w:rsidR="00E45832" w:rsidRPr="004B63C2">
        <w:rPr>
          <w:sz w:val="20"/>
          <w:szCs w:val="20"/>
        </w:rPr>
        <w:t xml:space="preserve">O delineamento experimental utilizado foi </w:t>
      </w:r>
      <w:r w:rsidR="00AF1259" w:rsidRPr="004B63C2">
        <w:rPr>
          <w:sz w:val="20"/>
          <w:szCs w:val="20"/>
        </w:rPr>
        <w:t xml:space="preserve">blocos casualizados </w:t>
      </w:r>
      <w:r w:rsidR="008B47E6" w:rsidRPr="004B63C2">
        <w:rPr>
          <w:sz w:val="20"/>
          <w:szCs w:val="20"/>
        </w:rPr>
        <w:t>(D</w:t>
      </w:r>
      <w:r w:rsidR="00AF1259" w:rsidRPr="004B63C2">
        <w:rPr>
          <w:sz w:val="20"/>
          <w:szCs w:val="20"/>
        </w:rPr>
        <w:t>B</w:t>
      </w:r>
      <w:r w:rsidR="008B47E6" w:rsidRPr="004B63C2">
        <w:rPr>
          <w:sz w:val="20"/>
          <w:szCs w:val="20"/>
        </w:rPr>
        <w:t>C)</w:t>
      </w:r>
      <w:r w:rsidR="00E45832" w:rsidRPr="004B63C2">
        <w:rPr>
          <w:sz w:val="20"/>
          <w:szCs w:val="20"/>
        </w:rPr>
        <w:t xml:space="preserve">, com </w:t>
      </w:r>
      <w:r w:rsidR="006F5F9A" w:rsidRPr="004B63C2">
        <w:rPr>
          <w:sz w:val="20"/>
          <w:szCs w:val="20"/>
        </w:rPr>
        <w:t>cinco</w:t>
      </w:r>
      <w:r w:rsidR="00E45832" w:rsidRPr="004B63C2">
        <w:rPr>
          <w:sz w:val="20"/>
          <w:szCs w:val="20"/>
        </w:rPr>
        <w:t xml:space="preserve"> tratamento</w:t>
      </w:r>
      <w:r w:rsidR="00036EBB" w:rsidRPr="004B63C2">
        <w:rPr>
          <w:sz w:val="20"/>
          <w:szCs w:val="20"/>
        </w:rPr>
        <w:t>s</w:t>
      </w:r>
      <w:r w:rsidR="00E45832" w:rsidRPr="004B63C2">
        <w:rPr>
          <w:sz w:val="20"/>
          <w:szCs w:val="20"/>
        </w:rPr>
        <w:t xml:space="preserve"> e </w:t>
      </w:r>
      <w:r w:rsidR="006F5F9A" w:rsidRPr="004B63C2">
        <w:rPr>
          <w:sz w:val="20"/>
          <w:szCs w:val="20"/>
        </w:rPr>
        <w:t>quatro</w:t>
      </w:r>
      <w:r w:rsidR="00E45832" w:rsidRPr="004B63C2">
        <w:rPr>
          <w:sz w:val="20"/>
          <w:szCs w:val="20"/>
        </w:rPr>
        <w:t xml:space="preserve"> repetições, </w:t>
      </w:r>
      <w:r w:rsidR="006F5F9A" w:rsidRPr="004B63C2">
        <w:rPr>
          <w:sz w:val="20"/>
          <w:szCs w:val="20"/>
        </w:rPr>
        <w:t xml:space="preserve">totalizando </w:t>
      </w:r>
      <w:r w:rsidR="00E45832" w:rsidRPr="004B63C2">
        <w:rPr>
          <w:sz w:val="20"/>
          <w:szCs w:val="20"/>
        </w:rPr>
        <w:t>20 parcelas</w:t>
      </w:r>
      <w:r w:rsidR="001E2BF0" w:rsidRPr="004B63C2">
        <w:rPr>
          <w:sz w:val="20"/>
          <w:szCs w:val="20"/>
        </w:rPr>
        <w:t xml:space="preserve">. Os tratamentos </w:t>
      </w:r>
      <w:r w:rsidR="006F5F9A" w:rsidRPr="004B63C2">
        <w:rPr>
          <w:sz w:val="20"/>
          <w:szCs w:val="20"/>
        </w:rPr>
        <w:t xml:space="preserve">consistiram na aplicação de doses crescentes de </w:t>
      </w:r>
      <w:r w:rsidR="00F30183" w:rsidRPr="004B63C2">
        <w:rPr>
          <w:sz w:val="20"/>
          <w:szCs w:val="20"/>
        </w:rPr>
        <w:t>micronutrientes</w:t>
      </w:r>
      <w:r w:rsidR="006F5F9A" w:rsidRPr="004B63C2">
        <w:rPr>
          <w:sz w:val="20"/>
          <w:szCs w:val="20"/>
        </w:rPr>
        <w:t>:</w:t>
      </w:r>
      <w:r w:rsidR="002354AA" w:rsidRPr="004B63C2">
        <w:rPr>
          <w:sz w:val="20"/>
          <w:szCs w:val="20"/>
        </w:rPr>
        <w:t xml:space="preserve"> T1 – 0g, T2 – 5g, T3 – 10g, T4 – 15g e T5 – 20g.</w:t>
      </w:r>
    </w:p>
    <w:p w14:paraId="0BD48A44" w14:textId="77777777" w:rsidR="00AF1259" w:rsidRPr="004B63C2" w:rsidRDefault="001E434A" w:rsidP="001E434A">
      <w:pPr>
        <w:widowControl/>
        <w:ind w:firstLine="709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 xml:space="preserve">A adubação foi realizada por meio </w:t>
      </w:r>
      <w:r w:rsidR="00E74AE1" w:rsidRPr="004B63C2">
        <w:rPr>
          <w:bCs/>
          <w:sz w:val="20"/>
          <w:szCs w:val="20"/>
        </w:rPr>
        <w:t xml:space="preserve">da aplicação </w:t>
      </w:r>
      <w:r w:rsidR="009263E1" w:rsidRPr="004B63C2">
        <w:rPr>
          <w:bCs/>
          <w:sz w:val="20"/>
          <w:szCs w:val="20"/>
        </w:rPr>
        <w:t xml:space="preserve">micronutrientes </w:t>
      </w:r>
      <w:r w:rsidR="00E74AE1" w:rsidRPr="004B63C2">
        <w:rPr>
          <w:bCs/>
          <w:sz w:val="20"/>
          <w:szCs w:val="20"/>
        </w:rPr>
        <w:t>de um fertilizante mineral</w:t>
      </w:r>
      <w:r w:rsidR="001B03C6" w:rsidRPr="004B63C2">
        <w:rPr>
          <w:bCs/>
          <w:sz w:val="20"/>
          <w:szCs w:val="20"/>
        </w:rPr>
        <w:t xml:space="preserve"> complexo FTE BR12</w:t>
      </w:r>
      <w:r w:rsidR="00AF1259" w:rsidRPr="004B63C2">
        <w:rPr>
          <w:bCs/>
          <w:sz w:val="20"/>
          <w:szCs w:val="20"/>
        </w:rPr>
        <w:t>©</w:t>
      </w:r>
      <w:r w:rsidR="00E74AE1" w:rsidRPr="004B63C2">
        <w:rPr>
          <w:bCs/>
          <w:sz w:val="20"/>
          <w:szCs w:val="20"/>
        </w:rPr>
        <w:t xml:space="preserve">, o produto apresentava as </w:t>
      </w:r>
      <w:r w:rsidR="004D6648" w:rsidRPr="004B63C2">
        <w:rPr>
          <w:bCs/>
          <w:sz w:val="20"/>
          <w:szCs w:val="20"/>
        </w:rPr>
        <w:t xml:space="preserve">seguintes </w:t>
      </w:r>
      <w:r w:rsidR="00E74AE1" w:rsidRPr="004B63C2">
        <w:rPr>
          <w:bCs/>
          <w:sz w:val="20"/>
          <w:szCs w:val="20"/>
        </w:rPr>
        <w:t>garantias: S 3,00%</w:t>
      </w:r>
      <w:r w:rsidR="004D6648" w:rsidRPr="004B63C2">
        <w:rPr>
          <w:bCs/>
          <w:sz w:val="20"/>
          <w:szCs w:val="20"/>
        </w:rPr>
        <w:t>,</w:t>
      </w:r>
      <w:r w:rsidR="00E74AE1" w:rsidRPr="004B63C2">
        <w:rPr>
          <w:bCs/>
          <w:sz w:val="20"/>
          <w:szCs w:val="20"/>
        </w:rPr>
        <w:t xml:space="preserve"> B 1,80%</w:t>
      </w:r>
      <w:r w:rsidR="004D6648" w:rsidRPr="004B63C2">
        <w:rPr>
          <w:bCs/>
          <w:sz w:val="20"/>
          <w:szCs w:val="20"/>
        </w:rPr>
        <w:t>,</w:t>
      </w:r>
      <w:r w:rsidR="00E74AE1" w:rsidRPr="004B63C2">
        <w:rPr>
          <w:bCs/>
          <w:sz w:val="20"/>
          <w:szCs w:val="20"/>
        </w:rPr>
        <w:t xml:space="preserve"> Cu 0,80%</w:t>
      </w:r>
      <w:r w:rsidR="004D6648" w:rsidRPr="004B63C2">
        <w:rPr>
          <w:bCs/>
          <w:sz w:val="20"/>
          <w:szCs w:val="20"/>
        </w:rPr>
        <w:t>,</w:t>
      </w:r>
      <w:r w:rsidR="00E74AE1" w:rsidRPr="004B63C2">
        <w:rPr>
          <w:bCs/>
          <w:sz w:val="20"/>
          <w:szCs w:val="20"/>
        </w:rPr>
        <w:t xml:space="preserve"> Mn 2,00%</w:t>
      </w:r>
      <w:r w:rsidR="004D6648" w:rsidRPr="004B63C2">
        <w:rPr>
          <w:bCs/>
          <w:sz w:val="20"/>
          <w:szCs w:val="20"/>
        </w:rPr>
        <w:t>,</w:t>
      </w:r>
      <w:r w:rsidR="00E74AE1" w:rsidRPr="004B63C2">
        <w:rPr>
          <w:bCs/>
          <w:sz w:val="20"/>
          <w:szCs w:val="20"/>
        </w:rPr>
        <w:t xml:space="preserve"> Zn 9,0%.</w:t>
      </w:r>
      <w:r w:rsidR="00303301" w:rsidRPr="004B63C2">
        <w:rPr>
          <w:bCs/>
          <w:sz w:val="20"/>
          <w:szCs w:val="20"/>
        </w:rPr>
        <w:t xml:space="preserve"> Após aplicação foi feito o acompanhamento,</w:t>
      </w:r>
      <w:r w:rsidR="003A3DFA" w:rsidRPr="004B63C2">
        <w:rPr>
          <w:bCs/>
          <w:sz w:val="20"/>
          <w:szCs w:val="20"/>
        </w:rPr>
        <w:t xml:space="preserve"> com duas regas diárias</w:t>
      </w:r>
      <w:r w:rsidR="00D34EBA" w:rsidRPr="004B63C2">
        <w:rPr>
          <w:bCs/>
          <w:sz w:val="20"/>
          <w:szCs w:val="20"/>
        </w:rPr>
        <w:t xml:space="preserve">. </w:t>
      </w:r>
    </w:p>
    <w:p w14:paraId="557BFC6F" w14:textId="77777777" w:rsidR="00AF1259" w:rsidRPr="004B63C2" w:rsidRDefault="00AF1259" w:rsidP="00AF1259">
      <w:pPr>
        <w:ind w:firstLine="720"/>
        <w:jc w:val="both"/>
        <w:rPr>
          <w:color w:val="000000"/>
          <w:sz w:val="20"/>
          <w:szCs w:val="20"/>
        </w:rPr>
      </w:pPr>
      <w:r w:rsidRPr="004B63C2">
        <w:rPr>
          <w:color w:val="000000"/>
          <w:sz w:val="20"/>
          <w:szCs w:val="20"/>
        </w:rPr>
        <w:t>Durante o período experimental foram mensuradas, semanalmente, a altura das plantas (cm), com auxílio de uma trena, medida da base previamente marcada até a gema apical, o diâmetro do caule (mm), com um paquímetro digital, e a contagem do número de folhas completamente expandidas.</w:t>
      </w:r>
    </w:p>
    <w:p w14:paraId="2D42B839" w14:textId="77777777" w:rsidR="00AF1259" w:rsidRPr="004B63C2" w:rsidRDefault="00AF1259" w:rsidP="00AF1259">
      <w:pPr>
        <w:ind w:firstLine="720"/>
        <w:jc w:val="both"/>
        <w:rPr>
          <w:color w:val="000000"/>
          <w:sz w:val="20"/>
          <w:szCs w:val="20"/>
        </w:rPr>
      </w:pPr>
      <w:r w:rsidRPr="004B63C2">
        <w:rPr>
          <w:color w:val="000000"/>
          <w:sz w:val="20"/>
          <w:szCs w:val="20"/>
        </w:rPr>
        <w:t>No final do experimento, os órgãos das plantas foram separados em folha, caule e raiz, sendo guardados em sacos em sacos de papel e levados à estufa de circulação de ar a 65°C até alcançar peso constante, realizando a pesagem após esse período e assim obtendo a matéria seca das folhas (MSF), dos caules (MSC), das raízes (MSR) e de posse desses valores foi calculada a biomassa seca total (MST). Através destes dados, foi possível calcular a alocação de biomassa para as folhas (ABF), caule (ABC) e raízes (ABR) e determinada à relação raiz/parte aérea (R/Pa), sendo aplicadas as fórmulas propostas pela metodologia de BENINCASA (1988).</w:t>
      </w:r>
    </w:p>
    <w:p w14:paraId="52A77FCE" w14:textId="77777777" w:rsidR="00AF1259" w:rsidRPr="004B63C2" w:rsidRDefault="00AF1259" w:rsidP="00AF1259">
      <w:pPr>
        <w:widowControl/>
        <w:ind w:firstLine="709"/>
        <w:jc w:val="both"/>
        <w:rPr>
          <w:sz w:val="20"/>
          <w:szCs w:val="20"/>
        </w:rPr>
      </w:pPr>
      <w:r w:rsidRPr="004B63C2">
        <w:rPr>
          <w:sz w:val="20"/>
          <w:szCs w:val="20"/>
        </w:rPr>
        <w:t xml:space="preserve">Os dados obtidos foram levados à Análise de Variância (ANAVA) e as médias adquiridas foram comparadas entre elas pelo teste de Tukey (5%) com o auxílio do software SISVAR versão 5.8, e para realização de gráficos foi utilizado o aplicativo </w:t>
      </w:r>
      <w:r w:rsidRPr="004B63C2">
        <w:rPr>
          <w:i/>
          <w:iCs/>
          <w:sz w:val="20"/>
          <w:szCs w:val="20"/>
        </w:rPr>
        <w:t>SigmaPlot</w:t>
      </w:r>
      <w:r w:rsidRPr="004B63C2">
        <w:rPr>
          <w:sz w:val="20"/>
          <w:szCs w:val="20"/>
        </w:rPr>
        <w:t xml:space="preserve"> versão 11.</w:t>
      </w:r>
    </w:p>
    <w:p w14:paraId="52402DD7" w14:textId="77777777" w:rsidR="006E702D" w:rsidRPr="004B63C2" w:rsidRDefault="006E702D" w:rsidP="00054025">
      <w:pPr>
        <w:widowControl/>
        <w:jc w:val="both"/>
        <w:rPr>
          <w:b/>
          <w:sz w:val="20"/>
          <w:szCs w:val="20"/>
        </w:rPr>
      </w:pPr>
    </w:p>
    <w:p w14:paraId="4B6708B8" w14:textId="0110FB3F" w:rsidR="00EE1578" w:rsidRPr="004B63C2" w:rsidRDefault="00054025" w:rsidP="00EE1578">
      <w:pPr>
        <w:widowControl/>
        <w:jc w:val="both"/>
        <w:rPr>
          <w:b/>
          <w:sz w:val="20"/>
          <w:szCs w:val="20"/>
        </w:rPr>
      </w:pPr>
      <w:r w:rsidRPr="004B63C2">
        <w:rPr>
          <w:b/>
          <w:sz w:val="20"/>
          <w:szCs w:val="20"/>
        </w:rPr>
        <w:t>RESULTADOS E DISCUSSÃO</w:t>
      </w:r>
    </w:p>
    <w:p w14:paraId="55684318" w14:textId="77777777" w:rsidR="00AF1259" w:rsidRPr="004B63C2" w:rsidRDefault="00AF1259" w:rsidP="00AF1259">
      <w:pPr>
        <w:widowControl/>
        <w:ind w:firstLine="709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 xml:space="preserve">Observou-se que, para variável altura da planta (Figura 1A) os tratamentos de doses 0g, 10g, 15g e 20g não apresentaram diferença significativa entre si no crescimento vertical ao longo das semanas. As doses de 5g e 20g diferiram significativamente entre si na segunda semana, sendo que a dose de 20g apresentou maior altura. Ademais após a segunda semana ocorreu a estabilização do crescimento entre todos os tratamentos, não apresentando diferença significativa na variação de altura das plantas ao final do experimento. Dentro dos tratamentos, apenas as doses de 5g e 15g evidenciaram diferença, com a primeira diferindo da última semana em ambos, mas apenas em 5g a última semana diferiu da primeira, segunda e terceira semanas. </w:t>
      </w:r>
    </w:p>
    <w:p w14:paraId="1BE2CD62" w14:textId="77777777" w:rsidR="00AF1259" w:rsidRPr="004B63C2" w:rsidRDefault="00AF1259" w:rsidP="00AF1259">
      <w:pPr>
        <w:widowControl/>
        <w:ind w:firstLine="709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>No estudo conduzido por Mendes (2013), mudas de sabiá foram submetidas a distintos tratamentos envolvendo rizóbios e micorrizas. A avaliação de crescimento de altura e diâmetro do caule, revelou que não houve diferença significativa entre as mudas que receberam microrganismos e as do grupo controle.</w:t>
      </w:r>
    </w:p>
    <w:p w14:paraId="66EDDE06" w14:textId="77777777" w:rsidR="00AF1259" w:rsidRPr="004B63C2" w:rsidRDefault="00AF1259" w:rsidP="00AF1259">
      <w:pPr>
        <w:widowControl/>
        <w:ind w:firstLine="709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>Para a variável diâmetro (Figura 1B), a pesquisa demostrou que todas as doses de FTE provocaram diferença estatística significativa quando comparado a primeira semana com as duas últimas (8</w:t>
      </w:r>
      <w:r w:rsidRPr="004B63C2">
        <w:rPr>
          <w:bCs/>
          <w:sz w:val="20"/>
          <w:szCs w:val="20"/>
          <w:vertAlign w:val="superscript"/>
        </w:rPr>
        <w:t>a</w:t>
      </w:r>
      <w:r w:rsidRPr="004B63C2">
        <w:rPr>
          <w:bCs/>
          <w:sz w:val="20"/>
          <w:szCs w:val="20"/>
        </w:rPr>
        <w:t xml:space="preserve"> e 9</w:t>
      </w:r>
      <w:r w:rsidRPr="004B63C2">
        <w:rPr>
          <w:bCs/>
          <w:sz w:val="20"/>
          <w:szCs w:val="20"/>
          <w:vertAlign w:val="superscript"/>
        </w:rPr>
        <w:t>a</w:t>
      </w:r>
      <w:r w:rsidRPr="004B63C2">
        <w:rPr>
          <w:bCs/>
          <w:sz w:val="20"/>
          <w:szCs w:val="20"/>
        </w:rPr>
        <w:t>), as últimas semanas apresentaram médias de diâmetro do caule superior as médias iniciais. A dose de 5g demonstrou médias de crescimento significativas a partir da sexta semana, quando comparada à média da primeira semana. Na primeira semana foram identificadas diferenças significativas apenas entre os tratamentos de doses 15g e 20g, tendo 15g médias de diâmetros do caule superior. Ademais no final do estudo (9</w:t>
      </w:r>
      <w:r w:rsidRPr="004B63C2">
        <w:rPr>
          <w:bCs/>
          <w:sz w:val="20"/>
          <w:szCs w:val="20"/>
          <w:vertAlign w:val="superscript"/>
        </w:rPr>
        <w:t xml:space="preserve">a </w:t>
      </w:r>
      <w:r w:rsidRPr="004B63C2">
        <w:rPr>
          <w:bCs/>
          <w:sz w:val="20"/>
          <w:szCs w:val="20"/>
        </w:rPr>
        <w:t>semana), o tratamento de dose 20g diferiu dos demais, apresentando médias significativamente inferior.</w:t>
      </w:r>
    </w:p>
    <w:p w14:paraId="4E6B7993" w14:textId="77777777" w:rsidR="00AF1259" w:rsidRPr="004B63C2" w:rsidRDefault="00AF1259" w:rsidP="00AF1259">
      <w:pPr>
        <w:widowControl/>
        <w:ind w:firstLine="709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>A variável número de folhas (Figura 1C), demonstrou que entre as doses de 0g, 5g e 10g não houve diferença significativas quando comparadas no decorrer das semanas. A dose de 20g apresentou diferença significativa na quinta semana onde diferiu da dose de 10g, na sexta semana diferiu de todos os tratamentos e na oitava semana apresentou médias semelhantes ao tratamento de dose 15g. Já para o tratamento de dose 15g, na oitava semana apresentou diferença estatística significativa quando comparada ao tratamento 5g, na última semana a dose apresentou resultados semelhantes a dose de 20g. Dentro dos tratamentos, apenas o de 20g apresentou variação no crescimento entre as semanas, sendo que, a sétima semana diferiu da segunda e terceira semanas.</w:t>
      </w:r>
    </w:p>
    <w:p w14:paraId="1C48B6D4" w14:textId="0C60483E" w:rsidR="00383E87" w:rsidRPr="004B63C2" w:rsidRDefault="00383E87" w:rsidP="00AF1259">
      <w:pPr>
        <w:widowControl/>
        <w:ind w:firstLine="709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>Nesses termos verificou-se que as diferentes doses de FTE BR-12 influenciaram positivamente o crescimento biométrico das mudas de sabiá, especialmente nas variáveis altura e diâmetro do coleto. As doses de 15 e 20 g destacaram-se por promoverem os maiores valores de crescimento ao longo das semanas, evidenciando que a suplementação com micronutrientes pode estimular o desenvolvimento inicial da espécie. Contudo, não houve diferenças marcantes no número de folhas, indicando que essa variável pode não ser sensível aos efeitos do FTE BR-12 no curto prazo.</w:t>
      </w:r>
    </w:p>
    <w:p w14:paraId="471D6ECD" w14:textId="77777777" w:rsidR="00AF1259" w:rsidRPr="004B63C2" w:rsidRDefault="00AF1259" w:rsidP="00AF1259">
      <w:pPr>
        <w:widowControl/>
        <w:jc w:val="center"/>
        <w:rPr>
          <w:b/>
          <w:sz w:val="20"/>
          <w:szCs w:val="20"/>
        </w:rPr>
      </w:pPr>
      <w:r w:rsidRPr="004B63C2">
        <w:rPr>
          <w:b/>
          <w:noProof/>
          <w:sz w:val="20"/>
        </w:rPr>
        <w:lastRenderedPageBreak/>
        <w:drawing>
          <wp:inline distT="0" distB="0" distL="0" distR="0" wp14:anchorId="15D8A07E" wp14:editId="4F0DFC57">
            <wp:extent cx="1823363" cy="3695820"/>
            <wp:effectExtent l="0" t="0" r="5715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42" cy="370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09533" w14:textId="11F7D643" w:rsidR="00AF1259" w:rsidRPr="004B63C2" w:rsidRDefault="00AF1259" w:rsidP="00AF1259">
      <w:pPr>
        <w:widowControl/>
        <w:ind w:left="851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 xml:space="preserve">Figura 1. Valores médios da Altura da Planta (A), Diâmetro do Caule (B) e Número de Folhas (C). </w:t>
      </w:r>
      <w:r w:rsidR="00383E87" w:rsidRPr="004B63C2">
        <w:rPr>
          <w:sz w:val="20"/>
          <w:szCs w:val="20"/>
        </w:rPr>
        <w:t xml:space="preserve">Médias seguidas de mesma letra não diferem entre si pelo teste de Tukey a 5% de probabilidade. </w:t>
      </w:r>
      <w:r w:rsidRPr="004B63C2">
        <w:rPr>
          <w:bCs/>
          <w:sz w:val="20"/>
          <w:szCs w:val="20"/>
        </w:rPr>
        <w:t>As letras maiúsculas indicam as diferenças ao longo das semanas dentro de cada tratamento, enquanto as minúsculas representam as diferenças entre os tratamentos em cada semana.</w:t>
      </w:r>
    </w:p>
    <w:p w14:paraId="09F04AD5" w14:textId="77777777" w:rsidR="004B63C2" w:rsidRPr="004B63C2" w:rsidRDefault="004B63C2" w:rsidP="004B63C2">
      <w:pPr>
        <w:widowControl/>
        <w:ind w:firstLine="709"/>
        <w:jc w:val="both"/>
        <w:rPr>
          <w:bCs/>
          <w:sz w:val="20"/>
          <w:szCs w:val="20"/>
        </w:rPr>
      </w:pPr>
    </w:p>
    <w:p w14:paraId="67950849" w14:textId="4FA34A76" w:rsidR="004B63C2" w:rsidRPr="004B63C2" w:rsidRDefault="004B63C2" w:rsidP="004B63C2">
      <w:pPr>
        <w:widowControl/>
        <w:ind w:firstLine="709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>A análise dos dados obtidos demonstra que a aplicação de FTE BR-12 influenciou o acúmulo de biomassa em diferentes partes das mudas de sabiá. Com relação à matéria seca das folhas (Figura 2A), foi observada diferença significativa apenas entre algumas doses, destacando-se a de 15 g, que superou os tratamentos de 0 g e 10 g. Entretanto, para a matéria seca do caule (Figura 2B) e da raiz (Figura 2C), as maiores doses (15 g e 20 g) resultaram em menor acúmulo quando comparadas à dose de 0 g, sugerindo que o excesso de micronutrientes pode limitar o crescimento das partes estruturais da planta.</w:t>
      </w:r>
    </w:p>
    <w:p w14:paraId="4F04F551" w14:textId="31230523" w:rsidR="004B63C2" w:rsidRPr="004B63C2" w:rsidRDefault="004B63C2" w:rsidP="004B63C2">
      <w:pPr>
        <w:widowControl/>
        <w:ind w:firstLine="709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>A matéria seca total (MST – Figura 2D) também foi afetada negativamente pelas doses mais elevadas. As doses de 10 g, 15 g e 20 g diferiram significativamente da de 0 g, sendo que o acúmulo total foi inferior nas doses mais altas. Esses resultados indicam que a aplicação em excesso de FTE BR-12 pode promover desequilíbrios nutricionais que prejudicam o desenvolvimento das mudas, provavelmente por toxidez causada pelo excesso de micronutrientes como boro, zinco e cobre presentes no produto.</w:t>
      </w:r>
    </w:p>
    <w:p w14:paraId="26D1D023" w14:textId="371F458F" w:rsidR="004B63C2" w:rsidRPr="004B63C2" w:rsidRDefault="004B63C2" w:rsidP="004B63C2">
      <w:pPr>
        <w:widowControl/>
        <w:ind w:firstLine="709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>A relação entre raiz e parte aérea (R/PA – Figura 2E)) permaneceu estável, independentemente da dose aplicada, o que demonstra que, apesar das diferenças no acúmulo de matéria seca, a planta manteve proporções de crescimento relativamente constantes entre suas estruturas. No entanto, a alocação de biomassa (Figura 2F) foi alterada conforme a dose, com redução significativa da biomassa alocada às folhas nas doses de 15 g e 20 g, indicando que o crescimento foliar foi mais sensível ao excesso de nutrientes.</w:t>
      </w:r>
    </w:p>
    <w:p w14:paraId="0C23DDBD" w14:textId="2E4F86C4" w:rsidR="00AF1259" w:rsidRPr="004B63C2" w:rsidRDefault="004B63C2" w:rsidP="004B63C2">
      <w:pPr>
        <w:widowControl/>
        <w:ind w:firstLine="709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>Diante desses resultados, conclui-se que a aplicação de FTE BR-12 em doses moderadas, especialmente a de 10 g, é mais adequada para favorecer o desenvolvimento das mudas de sabiá. Essa dose proporcionou maior acúmulo de biomassa total e bom equilíbrio entre as estruturas da planta, sem causar efeitos negativos observados em doses mais elevadas. Dessa forma, o uso racional de micronutrientes é essencial para evitar estresse fisiológico e garantir o bom desempenho das mudas em programas de revegetação ou produção comercial.</w:t>
      </w:r>
    </w:p>
    <w:p w14:paraId="03685A9B" w14:textId="77777777" w:rsidR="00550790" w:rsidRPr="004B63C2" w:rsidRDefault="00550790" w:rsidP="00AF1259">
      <w:pPr>
        <w:widowControl/>
        <w:jc w:val="center"/>
        <w:rPr>
          <w:bCs/>
          <w:sz w:val="20"/>
          <w:szCs w:val="20"/>
        </w:rPr>
      </w:pPr>
      <w:r w:rsidRPr="004B63C2">
        <w:rPr>
          <w:noProof/>
        </w:rPr>
        <w:lastRenderedPageBreak/>
        <w:drawing>
          <wp:inline distT="0" distB="0" distL="0" distR="0" wp14:anchorId="53D62F70" wp14:editId="3CC66344">
            <wp:extent cx="2251358" cy="225086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67" t="20580" r="22973" b="20620"/>
                    <a:stretch/>
                  </pic:blipFill>
                  <pic:spPr bwMode="auto">
                    <a:xfrm>
                      <a:off x="0" y="0"/>
                      <a:ext cx="2254373" cy="225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4E7AD" w14:textId="357B63A3" w:rsidR="00550790" w:rsidRPr="004B63C2" w:rsidRDefault="00550790" w:rsidP="00550790">
      <w:pPr>
        <w:widowControl/>
        <w:ind w:left="851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 xml:space="preserve">Figura 2. </w:t>
      </w:r>
      <w:r w:rsidR="00752DDA" w:rsidRPr="004B63C2">
        <w:rPr>
          <w:bCs/>
          <w:sz w:val="20"/>
          <w:szCs w:val="20"/>
        </w:rPr>
        <w:t xml:space="preserve">Valores médios </w:t>
      </w:r>
      <w:r w:rsidRPr="004B63C2">
        <w:rPr>
          <w:bCs/>
          <w:sz w:val="20"/>
          <w:szCs w:val="20"/>
        </w:rPr>
        <w:t>de matéria seca da folha (MSF), caule (MSC), raiz (MSR)</w:t>
      </w:r>
      <w:r w:rsidR="00383E87" w:rsidRPr="004B63C2">
        <w:rPr>
          <w:bCs/>
          <w:sz w:val="20"/>
          <w:szCs w:val="20"/>
        </w:rPr>
        <w:t>,</w:t>
      </w:r>
      <w:r w:rsidRPr="004B63C2">
        <w:rPr>
          <w:bCs/>
          <w:sz w:val="20"/>
          <w:szCs w:val="20"/>
        </w:rPr>
        <w:t xml:space="preserve"> total (MST), relação raiz/parte aérea (R/PA) e Alocação de biomassa (AB). </w:t>
      </w:r>
      <w:r w:rsidR="00383E87" w:rsidRPr="004B63C2">
        <w:rPr>
          <w:sz w:val="20"/>
          <w:szCs w:val="20"/>
        </w:rPr>
        <w:t xml:space="preserve">Médias seguidas de mesma letra não diferem entre si pelo teste de Tukey a 5% de probabilidade. </w:t>
      </w:r>
      <w:r w:rsidRPr="004B63C2">
        <w:rPr>
          <w:bCs/>
          <w:sz w:val="20"/>
          <w:szCs w:val="20"/>
        </w:rPr>
        <w:t>As letras maiúsculas indicam as diferenças dentro dos tratamentos, enquanto as minúsculas representam as diferenças entre os tratamentos.</w:t>
      </w:r>
    </w:p>
    <w:p w14:paraId="447F7267" w14:textId="77777777" w:rsidR="00550790" w:rsidRPr="004B63C2" w:rsidRDefault="00550790" w:rsidP="00EE1578">
      <w:pPr>
        <w:widowControl/>
        <w:jc w:val="both"/>
        <w:rPr>
          <w:b/>
          <w:sz w:val="20"/>
          <w:szCs w:val="20"/>
        </w:rPr>
      </w:pPr>
    </w:p>
    <w:p w14:paraId="159D055E" w14:textId="0AE34D3A" w:rsidR="005A3E52" w:rsidRPr="004B63C2" w:rsidRDefault="0057235E" w:rsidP="005A3E52">
      <w:pPr>
        <w:widowControl/>
        <w:jc w:val="both"/>
        <w:rPr>
          <w:b/>
          <w:sz w:val="20"/>
          <w:szCs w:val="20"/>
        </w:rPr>
      </w:pPr>
      <w:r w:rsidRPr="004B63C2">
        <w:rPr>
          <w:b/>
          <w:sz w:val="20"/>
          <w:szCs w:val="20"/>
        </w:rPr>
        <w:t xml:space="preserve">CONCLUSÕES </w:t>
      </w:r>
    </w:p>
    <w:p w14:paraId="4DC73F04" w14:textId="309DA366" w:rsidR="00054025" w:rsidRPr="004B63C2" w:rsidRDefault="00383E87" w:rsidP="00383E87">
      <w:pPr>
        <w:widowControl/>
        <w:ind w:firstLine="708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 xml:space="preserve">As diferentes doses de FTE BR-12 influenciaram o desenvolvimento inicial de mudas de </w:t>
      </w:r>
      <w:r w:rsidRPr="004B63C2">
        <w:rPr>
          <w:bCs/>
          <w:i/>
          <w:iCs/>
          <w:sz w:val="20"/>
          <w:szCs w:val="20"/>
        </w:rPr>
        <w:t>Mimosa caesalpinifolia</w:t>
      </w:r>
      <w:r w:rsidRPr="004B63C2">
        <w:rPr>
          <w:bCs/>
          <w:sz w:val="20"/>
          <w:szCs w:val="20"/>
        </w:rPr>
        <w:t xml:space="preserve"> Benth., com destaque para as doses de 15 e 20 g, que proporcionaram incrementos biométricos e na produção e alocação de matéria seca. Doses mais elevadas não mantiveram esse padrão, sugerindo que o excesso de micronutrientes pode comprometer o crescimento. Assim, doses moderadas de FTE BR-12 são mais adequadas para a produção de mudas dessa espécie.</w:t>
      </w:r>
    </w:p>
    <w:p w14:paraId="7D66809E" w14:textId="77777777" w:rsidR="00383E87" w:rsidRPr="004B63C2" w:rsidRDefault="00383E87" w:rsidP="00054025">
      <w:pPr>
        <w:widowControl/>
        <w:jc w:val="both"/>
        <w:rPr>
          <w:b/>
          <w:sz w:val="20"/>
          <w:szCs w:val="20"/>
        </w:rPr>
      </w:pPr>
    </w:p>
    <w:p w14:paraId="6FC94ECC" w14:textId="43402DF7" w:rsidR="00054025" w:rsidRPr="004B63C2" w:rsidRDefault="00054025" w:rsidP="00054025">
      <w:pPr>
        <w:widowControl/>
        <w:jc w:val="both"/>
        <w:rPr>
          <w:b/>
          <w:sz w:val="20"/>
          <w:szCs w:val="20"/>
        </w:rPr>
      </w:pPr>
      <w:r w:rsidRPr="004B63C2">
        <w:rPr>
          <w:b/>
          <w:sz w:val="20"/>
          <w:szCs w:val="20"/>
        </w:rPr>
        <w:t xml:space="preserve">REFERÊNCIAS </w:t>
      </w:r>
    </w:p>
    <w:p w14:paraId="02596ABC" w14:textId="6F54E3AC" w:rsidR="00971CA2" w:rsidRPr="004B63C2" w:rsidRDefault="00F93AF9" w:rsidP="00971CA2">
      <w:pPr>
        <w:spacing w:after="120"/>
        <w:jc w:val="both"/>
        <w:rPr>
          <w:sz w:val="20"/>
          <w:szCs w:val="20"/>
        </w:rPr>
      </w:pPr>
      <w:r w:rsidRPr="004B63C2">
        <w:rPr>
          <w:sz w:val="20"/>
          <w:szCs w:val="20"/>
        </w:rPr>
        <w:t>CARVALHO, P.</w:t>
      </w:r>
      <w:r w:rsidR="009409D9" w:rsidRPr="004B63C2">
        <w:rPr>
          <w:sz w:val="20"/>
          <w:szCs w:val="20"/>
        </w:rPr>
        <w:t xml:space="preserve"> </w:t>
      </w:r>
      <w:r w:rsidRPr="004B63C2">
        <w:rPr>
          <w:sz w:val="20"/>
          <w:szCs w:val="20"/>
        </w:rPr>
        <w:t>E.</w:t>
      </w:r>
      <w:r w:rsidR="009409D9" w:rsidRPr="004B63C2">
        <w:rPr>
          <w:sz w:val="20"/>
          <w:szCs w:val="20"/>
        </w:rPr>
        <w:t xml:space="preserve"> </w:t>
      </w:r>
      <w:r w:rsidRPr="004B63C2">
        <w:rPr>
          <w:sz w:val="20"/>
          <w:szCs w:val="20"/>
        </w:rPr>
        <w:t xml:space="preserve">R. </w:t>
      </w:r>
      <w:r w:rsidR="00AF0890" w:rsidRPr="004B63C2">
        <w:rPr>
          <w:sz w:val="20"/>
          <w:szCs w:val="20"/>
        </w:rPr>
        <w:t xml:space="preserve">Sabiá </w:t>
      </w:r>
      <w:r w:rsidR="00AF0890" w:rsidRPr="004B63C2">
        <w:rPr>
          <w:i/>
          <w:iCs/>
          <w:sz w:val="20"/>
          <w:szCs w:val="20"/>
        </w:rPr>
        <w:t>Mimosa</w:t>
      </w:r>
      <w:r w:rsidR="00AF0890" w:rsidRPr="004B63C2">
        <w:rPr>
          <w:sz w:val="20"/>
          <w:szCs w:val="20"/>
        </w:rPr>
        <w:t xml:space="preserve"> </w:t>
      </w:r>
      <w:r w:rsidR="00AF0890" w:rsidRPr="004B63C2">
        <w:rPr>
          <w:bCs/>
          <w:i/>
          <w:iCs/>
          <w:sz w:val="20"/>
          <w:szCs w:val="20"/>
        </w:rPr>
        <w:t>caesalpiniifolia</w:t>
      </w:r>
      <w:r w:rsidR="00705F75" w:rsidRPr="004B63C2">
        <w:rPr>
          <w:sz w:val="20"/>
          <w:szCs w:val="20"/>
        </w:rPr>
        <w:t xml:space="preserve">. </w:t>
      </w:r>
      <w:r w:rsidR="00AF0890" w:rsidRPr="004B63C2">
        <w:rPr>
          <w:sz w:val="20"/>
          <w:szCs w:val="20"/>
        </w:rPr>
        <w:t xml:space="preserve">In: CARVALHO, P. E. R. </w:t>
      </w:r>
      <w:r w:rsidRPr="004B63C2">
        <w:rPr>
          <w:b/>
          <w:bCs/>
          <w:sz w:val="20"/>
          <w:szCs w:val="20"/>
        </w:rPr>
        <w:t xml:space="preserve">Espécies Arbóreas </w:t>
      </w:r>
      <w:r w:rsidR="00EA05CA" w:rsidRPr="004B63C2">
        <w:rPr>
          <w:b/>
          <w:bCs/>
          <w:sz w:val="20"/>
          <w:szCs w:val="20"/>
        </w:rPr>
        <w:t>B</w:t>
      </w:r>
      <w:r w:rsidRPr="004B63C2">
        <w:rPr>
          <w:b/>
          <w:bCs/>
          <w:sz w:val="20"/>
          <w:szCs w:val="20"/>
        </w:rPr>
        <w:t>rasileiras</w:t>
      </w:r>
      <w:r w:rsidRPr="004B63C2">
        <w:rPr>
          <w:sz w:val="20"/>
          <w:szCs w:val="20"/>
        </w:rPr>
        <w:t>.</w:t>
      </w:r>
      <w:r w:rsidR="002B3C12" w:rsidRPr="004B63C2">
        <w:rPr>
          <w:sz w:val="20"/>
          <w:szCs w:val="20"/>
        </w:rPr>
        <w:t xml:space="preserve"> Brasília, DF: Embrapa Informação Tecnológica; Colombo, PR: Embrapa Floresta, v. 2. 2006, 629 p.</w:t>
      </w:r>
    </w:p>
    <w:p w14:paraId="26AF3F30" w14:textId="29CA11BF" w:rsidR="00971CA2" w:rsidRPr="004B63C2" w:rsidRDefault="00971CA2" w:rsidP="00971CA2">
      <w:pPr>
        <w:widowControl/>
        <w:spacing w:after="120"/>
        <w:jc w:val="both"/>
        <w:rPr>
          <w:sz w:val="20"/>
          <w:szCs w:val="20"/>
        </w:rPr>
      </w:pPr>
      <w:r w:rsidRPr="004B63C2">
        <w:rPr>
          <w:sz w:val="20"/>
          <w:szCs w:val="20"/>
        </w:rPr>
        <w:t xml:space="preserve">CUNHA, M. K.; FRANCO, M. S. </w:t>
      </w:r>
      <w:r w:rsidRPr="004B63C2">
        <w:rPr>
          <w:b/>
          <w:bCs/>
          <w:sz w:val="20"/>
          <w:szCs w:val="20"/>
        </w:rPr>
        <w:t xml:space="preserve">Efeito do FTE BR12 na produtividade inicial de </w:t>
      </w:r>
      <w:r w:rsidRPr="004B63C2">
        <w:rPr>
          <w:b/>
          <w:bCs/>
          <w:i/>
          <w:iCs/>
          <w:sz w:val="20"/>
          <w:szCs w:val="20"/>
        </w:rPr>
        <w:t>Brachiaria brizantha</w:t>
      </w:r>
      <w:r w:rsidRPr="004B63C2">
        <w:rPr>
          <w:b/>
          <w:bCs/>
          <w:sz w:val="20"/>
          <w:szCs w:val="20"/>
        </w:rPr>
        <w:t xml:space="preserve"> cv</w:t>
      </w:r>
      <w:r w:rsidRPr="004B63C2">
        <w:rPr>
          <w:sz w:val="20"/>
          <w:szCs w:val="20"/>
        </w:rPr>
        <w:t>. Xaraés. Palmas, TO: Embrapa Pesca e Aquicultura, 2017. (Boletim de Pesquisa e Desenvolvimento, 16).</w:t>
      </w:r>
    </w:p>
    <w:p w14:paraId="0B5940DA" w14:textId="6DE842D9" w:rsidR="00971CA2" w:rsidRPr="004B63C2" w:rsidRDefault="00F20105" w:rsidP="00971CA2">
      <w:pPr>
        <w:widowControl/>
        <w:spacing w:after="120"/>
        <w:jc w:val="both"/>
        <w:rPr>
          <w:sz w:val="20"/>
          <w:szCs w:val="20"/>
        </w:rPr>
      </w:pPr>
      <w:r w:rsidRPr="004B63C2">
        <w:rPr>
          <w:sz w:val="20"/>
          <w:szCs w:val="20"/>
        </w:rPr>
        <w:t xml:space="preserve">DIAS, I. M.; BARRETO, I. D. C.; FERREIRA, R. A. </w:t>
      </w:r>
      <w:r w:rsidRPr="004B63C2">
        <w:rPr>
          <w:b/>
          <w:bCs/>
          <w:sz w:val="20"/>
          <w:szCs w:val="20"/>
        </w:rPr>
        <w:t>Efeito de dosagens</w:t>
      </w:r>
      <w:r w:rsidR="00BD394A" w:rsidRPr="004B63C2">
        <w:rPr>
          <w:b/>
          <w:bCs/>
          <w:sz w:val="20"/>
          <w:szCs w:val="20"/>
        </w:rPr>
        <w:t xml:space="preserve"> de fertilizante fosfatado na determinação de volume ótimo de produção de mudas de espécies florestais nativas</w:t>
      </w:r>
      <w:r w:rsidR="00BD394A" w:rsidRPr="004B63C2">
        <w:rPr>
          <w:sz w:val="20"/>
          <w:szCs w:val="20"/>
        </w:rPr>
        <w:t>. Scientia Agraria Paranaensis, v. 15, n. 4, p.  471 – 475, 2016.</w:t>
      </w:r>
      <w:r w:rsidRPr="004B63C2">
        <w:rPr>
          <w:sz w:val="20"/>
          <w:szCs w:val="20"/>
        </w:rPr>
        <w:t xml:space="preserve"> </w:t>
      </w:r>
    </w:p>
    <w:p w14:paraId="658ED050" w14:textId="66D4A5D3" w:rsidR="006A04A1" w:rsidRPr="004B63C2" w:rsidRDefault="004B2580" w:rsidP="00971CA2">
      <w:pPr>
        <w:spacing w:after="120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>FREITAS</w:t>
      </w:r>
      <w:r w:rsidR="007D4DEA" w:rsidRPr="004B63C2">
        <w:rPr>
          <w:bCs/>
          <w:sz w:val="20"/>
          <w:szCs w:val="20"/>
        </w:rPr>
        <w:t>, E. C. S.; PAIVA, H. N.; LEITE, H. G.; OLIVEIRA NETO, S. N.</w:t>
      </w:r>
      <w:r w:rsidRPr="004B63C2">
        <w:rPr>
          <w:bCs/>
          <w:sz w:val="20"/>
          <w:szCs w:val="20"/>
        </w:rPr>
        <w:t xml:space="preserve"> </w:t>
      </w:r>
      <w:r w:rsidRPr="004B63C2">
        <w:rPr>
          <w:b/>
          <w:sz w:val="20"/>
          <w:szCs w:val="20"/>
        </w:rPr>
        <w:t xml:space="preserve">Crescimento e qualidade de mudas de </w:t>
      </w:r>
      <w:r w:rsidRPr="004B63C2">
        <w:rPr>
          <w:b/>
          <w:i/>
          <w:iCs/>
          <w:sz w:val="20"/>
          <w:szCs w:val="20"/>
        </w:rPr>
        <w:t>Cassia grandis</w:t>
      </w:r>
      <w:r w:rsidRPr="004B63C2">
        <w:rPr>
          <w:b/>
          <w:sz w:val="20"/>
          <w:szCs w:val="20"/>
        </w:rPr>
        <w:t xml:space="preserve"> Linnaeus f. em resposta à adubação fosfatada e calagem</w:t>
      </w:r>
      <w:r w:rsidRPr="004B63C2">
        <w:rPr>
          <w:bCs/>
          <w:sz w:val="20"/>
          <w:szCs w:val="20"/>
        </w:rPr>
        <w:t xml:space="preserve">. Ciência Florestal, Santa Maria, v. 27, n. 2, p. 509 – 519, 2017. </w:t>
      </w:r>
    </w:p>
    <w:p w14:paraId="58A0F33E" w14:textId="1F80F0BC" w:rsidR="000A1803" w:rsidRDefault="000A1803" w:rsidP="00971CA2">
      <w:pPr>
        <w:spacing w:after="120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>MELO</w:t>
      </w:r>
      <w:r w:rsidR="002A5336" w:rsidRPr="004B63C2">
        <w:rPr>
          <w:bCs/>
          <w:sz w:val="20"/>
          <w:szCs w:val="20"/>
        </w:rPr>
        <w:t>, L. A.; ABREU, A. H. M</w:t>
      </w:r>
      <w:r w:rsidRPr="004B63C2">
        <w:rPr>
          <w:bCs/>
          <w:sz w:val="20"/>
          <w:szCs w:val="20"/>
        </w:rPr>
        <w:t>.</w:t>
      </w:r>
      <w:r w:rsidR="002A5336" w:rsidRPr="004B63C2">
        <w:rPr>
          <w:bCs/>
          <w:sz w:val="20"/>
          <w:szCs w:val="20"/>
        </w:rPr>
        <w:t>; LELES, P. S. S.; OLIVEIRA, R. R.; SILVA. D. T.</w:t>
      </w:r>
      <w:r w:rsidRPr="004B63C2">
        <w:rPr>
          <w:bCs/>
          <w:sz w:val="20"/>
          <w:szCs w:val="20"/>
        </w:rPr>
        <w:t xml:space="preserve"> </w:t>
      </w:r>
      <w:r w:rsidRPr="004B63C2">
        <w:rPr>
          <w:b/>
          <w:sz w:val="20"/>
          <w:szCs w:val="20"/>
        </w:rPr>
        <w:t xml:space="preserve">Qualidade e crescimento inicial de mudas de </w:t>
      </w:r>
      <w:r w:rsidRPr="004B63C2">
        <w:rPr>
          <w:b/>
          <w:i/>
          <w:iCs/>
          <w:sz w:val="20"/>
          <w:szCs w:val="20"/>
        </w:rPr>
        <w:t>Mimosa</w:t>
      </w:r>
      <w:r w:rsidRPr="004B63C2">
        <w:rPr>
          <w:b/>
          <w:sz w:val="20"/>
          <w:szCs w:val="20"/>
        </w:rPr>
        <w:t xml:space="preserve"> </w:t>
      </w:r>
      <w:r w:rsidRPr="004B63C2">
        <w:rPr>
          <w:b/>
          <w:i/>
          <w:iCs/>
          <w:sz w:val="20"/>
          <w:szCs w:val="20"/>
        </w:rPr>
        <w:t xml:space="preserve">caesalpiniifolia </w:t>
      </w:r>
      <w:r w:rsidRPr="004B63C2">
        <w:rPr>
          <w:b/>
          <w:sz w:val="20"/>
          <w:szCs w:val="20"/>
        </w:rPr>
        <w:t>Benth. Produzida em diferentes volumes de recipientes</w:t>
      </w:r>
      <w:r w:rsidRPr="004B63C2">
        <w:rPr>
          <w:bCs/>
          <w:sz w:val="20"/>
          <w:szCs w:val="20"/>
        </w:rPr>
        <w:t xml:space="preserve">. Ciência Florestal, Santa Maria, v. 28, n. 1, p. 47 – 55, 2018. </w:t>
      </w:r>
    </w:p>
    <w:p w14:paraId="30A02E0B" w14:textId="2484486C" w:rsidR="005C67A6" w:rsidRPr="005C67A6" w:rsidRDefault="005C67A6" w:rsidP="00971CA2">
      <w:pPr>
        <w:spacing w:after="1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MENDES, M. M. C.; CHAVES, L. F. C.; PONTES NETO, T. P.; SILVA, J. A. A.; FIGUEIREDO, M. V. B. </w:t>
      </w:r>
      <w:r w:rsidRPr="006C5651">
        <w:rPr>
          <w:b/>
          <w:sz w:val="20"/>
          <w:szCs w:val="20"/>
        </w:rPr>
        <w:t>Crescimento e Sobrevivência de mudas de sabiá</w:t>
      </w:r>
      <w:r>
        <w:rPr>
          <w:bCs/>
          <w:sz w:val="20"/>
          <w:szCs w:val="20"/>
        </w:rPr>
        <w:t xml:space="preserve"> (</w:t>
      </w:r>
      <w:r w:rsidRPr="00A26B2C">
        <w:rPr>
          <w:b/>
          <w:i/>
          <w:iCs/>
          <w:sz w:val="20"/>
          <w:szCs w:val="20"/>
        </w:rPr>
        <w:t>Mimosa</w:t>
      </w:r>
      <w:r w:rsidRPr="00A26B2C">
        <w:rPr>
          <w:b/>
          <w:sz w:val="20"/>
          <w:szCs w:val="20"/>
        </w:rPr>
        <w:t xml:space="preserve"> </w:t>
      </w:r>
      <w:r w:rsidRPr="00A26B2C">
        <w:rPr>
          <w:b/>
          <w:i/>
          <w:iCs/>
          <w:sz w:val="20"/>
          <w:szCs w:val="20"/>
        </w:rPr>
        <w:t xml:space="preserve">caesalpiniifolia </w:t>
      </w:r>
      <w:r w:rsidRPr="00A26B2C">
        <w:rPr>
          <w:b/>
          <w:sz w:val="20"/>
          <w:szCs w:val="20"/>
        </w:rPr>
        <w:t>Benth</w:t>
      </w:r>
      <w:r>
        <w:rPr>
          <w:b/>
          <w:sz w:val="20"/>
          <w:szCs w:val="20"/>
        </w:rPr>
        <w:t xml:space="preserve">.) inoculadas com micro-organismos simbiontes em condições de campo. </w:t>
      </w:r>
      <w:r>
        <w:rPr>
          <w:bCs/>
          <w:sz w:val="20"/>
          <w:szCs w:val="20"/>
        </w:rPr>
        <w:t xml:space="preserve">Ciência Florestal, Santa Maria, v. 23, n. 2, p. 309 – 320, 2013. Disponível em: </w:t>
      </w:r>
      <w:r>
        <w:rPr>
          <w:rFonts w:ascii="Calibri" w:hAnsi="Calibri" w:cs="Calibri"/>
          <w:bCs/>
          <w:sz w:val="20"/>
          <w:szCs w:val="20"/>
        </w:rPr>
        <w:t>&lt;</w:t>
      </w:r>
      <w:r w:rsidRPr="006C5651">
        <w:rPr>
          <w:bCs/>
          <w:sz w:val="20"/>
          <w:szCs w:val="20"/>
        </w:rPr>
        <w:t>https://periodicos.ufsm.br/cienciaflorestal/article/view/9277/pdf</w:t>
      </w:r>
      <w:r>
        <w:rPr>
          <w:rFonts w:ascii="Calibri" w:hAnsi="Calibri" w:cs="Calibri"/>
          <w:bCs/>
          <w:sz w:val="20"/>
          <w:szCs w:val="20"/>
        </w:rPr>
        <w:t xml:space="preserve">&gt;. </w:t>
      </w:r>
      <w:r w:rsidRPr="006C5651">
        <w:rPr>
          <w:bCs/>
          <w:sz w:val="20"/>
          <w:szCs w:val="20"/>
        </w:rPr>
        <w:t>Acesso em 01 jun. 2025.</w:t>
      </w:r>
    </w:p>
    <w:p w14:paraId="3DDB4DA3" w14:textId="59F081E8" w:rsidR="00F403EA" w:rsidRPr="004B63C2" w:rsidRDefault="00B37228" w:rsidP="00971CA2">
      <w:pPr>
        <w:spacing w:after="120"/>
        <w:jc w:val="both"/>
        <w:rPr>
          <w:bCs/>
          <w:sz w:val="20"/>
          <w:szCs w:val="20"/>
        </w:rPr>
      </w:pPr>
      <w:r w:rsidRPr="004B63C2">
        <w:rPr>
          <w:sz w:val="20"/>
          <w:szCs w:val="20"/>
        </w:rPr>
        <w:t>MUNIZ</w:t>
      </w:r>
      <w:r w:rsidR="000419C9" w:rsidRPr="004B63C2">
        <w:rPr>
          <w:sz w:val="20"/>
          <w:szCs w:val="20"/>
        </w:rPr>
        <w:t>; S. P.; FELIX, J. L.; SILVA, J. A. S</w:t>
      </w:r>
      <w:r w:rsidRPr="004B63C2">
        <w:rPr>
          <w:sz w:val="20"/>
          <w:szCs w:val="20"/>
        </w:rPr>
        <w:t>.</w:t>
      </w:r>
      <w:r w:rsidR="004C66C6" w:rsidRPr="004B63C2">
        <w:rPr>
          <w:sz w:val="20"/>
          <w:szCs w:val="20"/>
        </w:rPr>
        <w:t xml:space="preserve"> </w:t>
      </w:r>
      <w:r w:rsidR="004C66C6" w:rsidRPr="004B63C2">
        <w:rPr>
          <w:b/>
          <w:bCs/>
          <w:sz w:val="20"/>
          <w:szCs w:val="20"/>
        </w:rPr>
        <w:t xml:space="preserve">Recuperação de áreas degradadas das margens do rio carius utilizando espécies </w:t>
      </w:r>
      <w:r w:rsidR="008C588F" w:rsidRPr="004B63C2">
        <w:rPr>
          <w:b/>
          <w:bCs/>
          <w:i/>
          <w:iCs/>
          <w:sz w:val="20"/>
          <w:szCs w:val="20"/>
        </w:rPr>
        <w:t>Mi</w:t>
      </w:r>
      <w:r w:rsidR="004C66C6" w:rsidRPr="004B63C2">
        <w:rPr>
          <w:b/>
          <w:bCs/>
          <w:i/>
          <w:iCs/>
          <w:sz w:val="20"/>
          <w:szCs w:val="20"/>
        </w:rPr>
        <w:t>mosa</w:t>
      </w:r>
      <w:r w:rsidR="004C66C6" w:rsidRPr="004B63C2">
        <w:rPr>
          <w:b/>
          <w:bCs/>
          <w:sz w:val="20"/>
          <w:szCs w:val="20"/>
        </w:rPr>
        <w:t xml:space="preserve"> </w:t>
      </w:r>
      <w:r w:rsidR="004C66C6" w:rsidRPr="004B63C2">
        <w:rPr>
          <w:b/>
          <w:bCs/>
          <w:i/>
          <w:iCs/>
          <w:sz w:val="20"/>
          <w:szCs w:val="20"/>
        </w:rPr>
        <w:t xml:space="preserve">caesalpiniifolia </w:t>
      </w:r>
      <w:r w:rsidR="004C66C6" w:rsidRPr="004B63C2">
        <w:rPr>
          <w:b/>
          <w:bCs/>
          <w:sz w:val="20"/>
          <w:szCs w:val="20"/>
        </w:rPr>
        <w:t>Benth nativa da caatinga</w:t>
      </w:r>
      <w:r w:rsidR="004C66C6" w:rsidRPr="004B63C2">
        <w:rPr>
          <w:bCs/>
          <w:sz w:val="20"/>
          <w:szCs w:val="20"/>
        </w:rPr>
        <w:t xml:space="preserve"> – </w:t>
      </w:r>
      <w:r w:rsidR="004C66C6" w:rsidRPr="004B63C2">
        <w:rPr>
          <w:b/>
          <w:sz w:val="20"/>
          <w:szCs w:val="20"/>
        </w:rPr>
        <w:t>planta sabiá, no município de Nova Olinda – CE</w:t>
      </w:r>
      <w:r w:rsidR="004C66C6" w:rsidRPr="004B63C2">
        <w:rPr>
          <w:bCs/>
          <w:sz w:val="20"/>
          <w:szCs w:val="20"/>
        </w:rPr>
        <w:t>.</w:t>
      </w:r>
      <w:r w:rsidR="00675D76" w:rsidRPr="004B63C2">
        <w:rPr>
          <w:bCs/>
          <w:sz w:val="20"/>
          <w:szCs w:val="20"/>
        </w:rPr>
        <w:t xml:space="preserve"> Revista Multidisciplinar de </w:t>
      </w:r>
      <w:r w:rsidR="00C16581" w:rsidRPr="004B63C2">
        <w:rPr>
          <w:bCs/>
          <w:sz w:val="20"/>
          <w:szCs w:val="20"/>
        </w:rPr>
        <w:t>E</w:t>
      </w:r>
      <w:r w:rsidR="00675D76" w:rsidRPr="004B63C2">
        <w:rPr>
          <w:bCs/>
          <w:sz w:val="20"/>
          <w:szCs w:val="20"/>
        </w:rPr>
        <w:t>ducação e Meio Ambiente, v. 5, n. 3, 2024.</w:t>
      </w:r>
      <w:r w:rsidR="00041CFE" w:rsidRPr="004B63C2">
        <w:rPr>
          <w:bCs/>
          <w:sz w:val="20"/>
          <w:szCs w:val="20"/>
        </w:rPr>
        <w:t xml:space="preserve"> </w:t>
      </w:r>
    </w:p>
    <w:bookmarkEnd w:id="0"/>
    <w:p w14:paraId="17C0BA43" w14:textId="2B2ACB04" w:rsidR="005F18CC" w:rsidRDefault="00A668C1" w:rsidP="00E42AA0">
      <w:pPr>
        <w:spacing w:after="120"/>
        <w:jc w:val="both"/>
        <w:rPr>
          <w:bCs/>
          <w:sz w:val="20"/>
          <w:szCs w:val="20"/>
        </w:rPr>
      </w:pPr>
      <w:r w:rsidRPr="004B63C2">
        <w:rPr>
          <w:bCs/>
          <w:sz w:val="20"/>
          <w:szCs w:val="20"/>
        </w:rPr>
        <w:t xml:space="preserve">SILVA, C. F. R. </w:t>
      </w:r>
      <w:r w:rsidRPr="004B63C2">
        <w:rPr>
          <w:b/>
          <w:sz w:val="20"/>
          <w:szCs w:val="20"/>
        </w:rPr>
        <w:t>Crescimento inicial de espécies florestais nativas em adensamento de plantio</w:t>
      </w:r>
      <w:r w:rsidRPr="004B63C2">
        <w:rPr>
          <w:bCs/>
          <w:sz w:val="20"/>
          <w:szCs w:val="20"/>
        </w:rPr>
        <w:t>. 2016. 34</w:t>
      </w:r>
      <w:r w:rsidR="005F18CC" w:rsidRPr="004B63C2">
        <w:rPr>
          <w:bCs/>
          <w:sz w:val="20"/>
          <w:szCs w:val="20"/>
        </w:rPr>
        <w:t xml:space="preserve"> </w:t>
      </w:r>
      <w:r w:rsidRPr="004B63C2">
        <w:rPr>
          <w:bCs/>
          <w:sz w:val="20"/>
          <w:szCs w:val="20"/>
        </w:rPr>
        <w:t>f. Trabalho de conclusão de curso (Graduação de Engenharia Florestal) – Universidade Tecnológica do Paraná. Dois Vizinhos, 2016.</w:t>
      </w:r>
      <w:r w:rsidR="00480A0C">
        <w:rPr>
          <w:bCs/>
          <w:sz w:val="20"/>
          <w:szCs w:val="20"/>
        </w:rPr>
        <w:t xml:space="preserve"> </w:t>
      </w:r>
    </w:p>
    <w:p w14:paraId="23BB10E0" w14:textId="77777777" w:rsidR="00C56989" w:rsidRPr="00E42AA0" w:rsidRDefault="00C56989" w:rsidP="00E42AA0">
      <w:pPr>
        <w:spacing w:after="120"/>
        <w:jc w:val="both"/>
        <w:rPr>
          <w:bCs/>
          <w:sz w:val="20"/>
          <w:szCs w:val="20"/>
        </w:rPr>
      </w:pPr>
    </w:p>
    <w:sectPr w:rsidR="00C56989" w:rsidRPr="00E42AA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1909" w:right="1134" w:bottom="1134" w:left="1701" w:header="1418" w:footer="140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BC7156" w14:textId="77777777" w:rsidR="007C7A6D" w:rsidRDefault="007C7A6D" w:rsidP="00054025">
      <w:r>
        <w:separator/>
      </w:r>
    </w:p>
  </w:endnote>
  <w:endnote w:type="continuationSeparator" w:id="0">
    <w:p w14:paraId="3C12D6B7" w14:textId="77777777" w:rsidR="007C7A6D" w:rsidRDefault="007C7A6D" w:rsidP="00054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ABBD1" w14:textId="77777777" w:rsidR="001E14C3" w:rsidRDefault="001E14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284C2" w14:textId="77777777" w:rsidR="001E14C3" w:rsidRDefault="001E14C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40330C" w14:textId="77777777" w:rsidR="001E14C3" w:rsidRDefault="001E14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B50834" w14:textId="77777777" w:rsidR="007C7A6D" w:rsidRDefault="007C7A6D" w:rsidP="00054025">
      <w:r>
        <w:separator/>
      </w:r>
    </w:p>
  </w:footnote>
  <w:footnote w:type="continuationSeparator" w:id="0">
    <w:p w14:paraId="5C417799" w14:textId="77777777" w:rsidR="007C7A6D" w:rsidRDefault="007C7A6D" w:rsidP="000540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46108" w14:textId="77777777" w:rsidR="001E14C3" w:rsidRDefault="001E14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03B7E" w14:textId="77777777" w:rsidR="001E14C3" w:rsidRDefault="001E14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7CCC4D" w14:textId="77777777" w:rsidR="001E14C3" w:rsidRDefault="001E14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FA44B85" wp14:editId="3CF21ADD">
          <wp:extent cx="5274310" cy="791210"/>
          <wp:effectExtent l="0" t="0" r="0" b="0"/>
          <wp:docPr id="3" name="image1.png" descr="Desenho de personagem de desenho animado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personagem de desenho animado&#10;&#10;Descrição gerada automaticamente com confiança mé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1pt;height:19.5pt;visibility:visible;mso-wrap-style:square" o:bullet="t">
        <v:imagedata r:id="rId1" o:title=""/>
      </v:shape>
    </w:pict>
  </w:numPicBullet>
  <w:abstractNum w:abstractNumId="0" w15:restartNumberingAfterBreak="0">
    <w:nsid w:val="1CB62047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236B70C1"/>
    <w:multiLevelType w:val="hybridMultilevel"/>
    <w:tmpl w:val="25661B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3D0D63"/>
    <w:multiLevelType w:val="hybridMultilevel"/>
    <w:tmpl w:val="83F84C3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310"/>
    <w:rsid w:val="0000013A"/>
    <w:rsid w:val="00011583"/>
    <w:rsid w:val="00020704"/>
    <w:rsid w:val="0002082C"/>
    <w:rsid w:val="00031010"/>
    <w:rsid w:val="00033DEE"/>
    <w:rsid w:val="00036EBB"/>
    <w:rsid w:val="00037B6C"/>
    <w:rsid w:val="000419C9"/>
    <w:rsid w:val="00041CFE"/>
    <w:rsid w:val="00045DC3"/>
    <w:rsid w:val="00052034"/>
    <w:rsid w:val="00054025"/>
    <w:rsid w:val="00062223"/>
    <w:rsid w:val="0007124E"/>
    <w:rsid w:val="00082DFB"/>
    <w:rsid w:val="00097A37"/>
    <w:rsid w:val="000A1803"/>
    <w:rsid w:val="000D243F"/>
    <w:rsid w:val="000D325C"/>
    <w:rsid w:val="000D6D8D"/>
    <w:rsid w:val="000D72D8"/>
    <w:rsid w:val="000F1ABB"/>
    <w:rsid w:val="000F592B"/>
    <w:rsid w:val="001038AB"/>
    <w:rsid w:val="0010725D"/>
    <w:rsid w:val="001101F4"/>
    <w:rsid w:val="00113808"/>
    <w:rsid w:val="00115DFB"/>
    <w:rsid w:val="00122CFE"/>
    <w:rsid w:val="00127A31"/>
    <w:rsid w:val="00133E49"/>
    <w:rsid w:val="00153B65"/>
    <w:rsid w:val="00157F05"/>
    <w:rsid w:val="00161E84"/>
    <w:rsid w:val="00162733"/>
    <w:rsid w:val="00162811"/>
    <w:rsid w:val="00174445"/>
    <w:rsid w:val="00186161"/>
    <w:rsid w:val="00186D54"/>
    <w:rsid w:val="001905C1"/>
    <w:rsid w:val="00196FEB"/>
    <w:rsid w:val="00197140"/>
    <w:rsid w:val="001A1B58"/>
    <w:rsid w:val="001A2CCB"/>
    <w:rsid w:val="001B03C6"/>
    <w:rsid w:val="001B1F15"/>
    <w:rsid w:val="001B3C92"/>
    <w:rsid w:val="001C165C"/>
    <w:rsid w:val="001C1A97"/>
    <w:rsid w:val="001C4C7F"/>
    <w:rsid w:val="001D5C82"/>
    <w:rsid w:val="001D61B1"/>
    <w:rsid w:val="001D72E2"/>
    <w:rsid w:val="001E14C3"/>
    <w:rsid w:val="001E2668"/>
    <w:rsid w:val="001E2BF0"/>
    <w:rsid w:val="001E3EBD"/>
    <w:rsid w:val="001E434A"/>
    <w:rsid w:val="001F4ED8"/>
    <w:rsid w:val="002005B5"/>
    <w:rsid w:val="00202D2B"/>
    <w:rsid w:val="00215161"/>
    <w:rsid w:val="002332B9"/>
    <w:rsid w:val="00235497"/>
    <w:rsid w:val="002354AA"/>
    <w:rsid w:val="00237C73"/>
    <w:rsid w:val="00247553"/>
    <w:rsid w:val="00251984"/>
    <w:rsid w:val="0025761A"/>
    <w:rsid w:val="002577D2"/>
    <w:rsid w:val="00271501"/>
    <w:rsid w:val="00271EB4"/>
    <w:rsid w:val="00273B8F"/>
    <w:rsid w:val="00276668"/>
    <w:rsid w:val="00291518"/>
    <w:rsid w:val="00297C87"/>
    <w:rsid w:val="002A52DD"/>
    <w:rsid w:val="002A5336"/>
    <w:rsid w:val="002B104E"/>
    <w:rsid w:val="002B1B10"/>
    <w:rsid w:val="002B1ED6"/>
    <w:rsid w:val="002B3C12"/>
    <w:rsid w:val="002B65D4"/>
    <w:rsid w:val="002B6DA3"/>
    <w:rsid w:val="002C3D00"/>
    <w:rsid w:val="002C6697"/>
    <w:rsid w:val="002D0D93"/>
    <w:rsid w:val="002E3203"/>
    <w:rsid w:val="002E49AE"/>
    <w:rsid w:val="002F6EB4"/>
    <w:rsid w:val="00303301"/>
    <w:rsid w:val="00316965"/>
    <w:rsid w:val="00321F65"/>
    <w:rsid w:val="0033474E"/>
    <w:rsid w:val="0034589E"/>
    <w:rsid w:val="003552F5"/>
    <w:rsid w:val="00365635"/>
    <w:rsid w:val="00367CDC"/>
    <w:rsid w:val="00375B44"/>
    <w:rsid w:val="00382517"/>
    <w:rsid w:val="00383E87"/>
    <w:rsid w:val="00384AC2"/>
    <w:rsid w:val="003877D2"/>
    <w:rsid w:val="00387E36"/>
    <w:rsid w:val="00390B36"/>
    <w:rsid w:val="00396C94"/>
    <w:rsid w:val="003A179C"/>
    <w:rsid w:val="003A3DFA"/>
    <w:rsid w:val="003A3F6B"/>
    <w:rsid w:val="003A597F"/>
    <w:rsid w:val="003A6DD9"/>
    <w:rsid w:val="003B0334"/>
    <w:rsid w:val="003B19B2"/>
    <w:rsid w:val="003D6190"/>
    <w:rsid w:val="003D703D"/>
    <w:rsid w:val="003E6884"/>
    <w:rsid w:val="003E6EC0"/>
    <w:rsid w:val="003E7CE8"/>
    <w:rsid w:val="003F05CE"/>
    <w:rsid w:val="003F5172"/>
    <w:rsid w:val="003F60E4"/>
    <w:rsid w:val="00410A1F"/>
    <w:rsid w:val="00426BB3"/>
    <w:rsid w:val="0043556D"/>
    <w:rsid w:val="00440108"/>
    <w:rsid w:val="00443960"/>
    <w:rsid w:val="00443AC5"/>
    <w:rsid w:val="00451DAE"/>
    <w:rsid w:val="0045306C"/>
    <w:rsid w:val="0045687C"/>
    <w:rsid w:val="004613AE"/>
    <w:rsid w:val="004616E8"/>
    <w:rsid w:val="004617B0"/>
    <w:rsid w:val="00465316"/>
    <w:rsid w:val="004664EB"/>
    <w:rsid w:val="00472993"/>
    <w:rsid w:val="00472FCA"/>
    <w:rsid w:val="00473040"/>
    <w:rsid w:val="004737D3"/>
    <w:rsid w:val="004808F2"/>
    <w:rsid w:val="00480A0C"/>
    <w:rsid w:val="00485535"/>
    <w:rsid w:val="004936CF"/>
    <w:rsid w:val="00496DF1"/>
    <w:rsid w:val="004A12F5"/>
    <w:rsid w:val="004A3CDD"/>
    <w:rsid w:val="004B2580"/>
    <w:rsid w:val="004B346B"/>
    <w:rsid w:val="004B63C2"/>
    <w:rsid w:val="004C014D"/>
    <w:rsid w:val="004C4684"/>
    <w:rsid w:val="004C66C6"/>
    <w:rsid w:val="004D56B3"/>
    <w:rsid w:val="004D5933"/>
    <w:rsid w:val="004D6648"/>
    <w:rsid w:val="004E1F02"/>
    <w:rsid w:val="004E2DE7"/>
    <w:rsid w:val="004E2F14"/>
    <w:rsid w:val="004E406E"/>
    <w:rsid w:val="004F6497"/>
    <w:rsid w:val="004F6732"/>
    <w:rsid w:val="00504CA0"/>
    <w:rsid w:val="00507E78"/>
    <w:rsid w:val="00510D46"/>
    <w:rsid w:val="005117C3"/>
    <w:rsid w:val="00512E5A"/>
    <w:rsid w:val="00516360"/>
    <w:rsid w:val="00517D08"/>
    <w:rsid w:val="0052372F"/>
    <w:rsid w:val="00526BAD"/>
    <w:rsid w:val="00530F4F"/>
    <w:rsid w:val="005436FB"/>
    <w:rsid w:val="00543F3C"/>
    <w:rsid w:val="00547376"/>
    <w:rsid w:val="00550790"/>
    <w:rsid w:val="0056057A"/>
    <w:rsid w:val="0056186B"/>
    <w:rsid w:val="005706E0"/>
    <w:rsid w:val="0057235E"/>
    <w:rsid w:val="00576C9A"/>
    <w:rsid w:val="00584341"/>
    <w:rsid w:val="00587494"/>
    <w:rsid w:val="005901F5"/>
    <w:rsid w:val="005920C1"/>
    <w:rsid w:val="00594D13"/>
    <w:rsid w:val="00596907"/>
    <w:rsid w:val="005A06CD"/>
    <w:rsid w:val="005A179D"/>
    <w:rsid w:val="005A34A3"/>
    <w:rsid w:val="005A3896"/>
    <w:rsid w:val="005A3E52"/>
    <w:rsid w:val="005B306C"/>
    <w:rsid w:val="005C67A6"/>
    <w:rsid w:val="005D01BB"/>
    <w:rsid w:val="005D11C9"/>
    <w:rsid w:val="005D1359"/>
    <w:rsid w:val="005D4ECD"/>
    <w:rsid w:val="005D5658"/>
    <w:rsid w:val="005E0DDD"/>
    <w:rsid w:val="005E46BA"/>
    <w:rsid w:val="005E5B94"/>
    <w:rsid w:val="005F18CC"/>
    <w:rsid w:val="005F6BB8"/>
    <w:rsid w:val="0061187B"/>
    <w:rsid w:val="006120E2"/>
    <w:rsid w:val="0062179B"/>
    <w:rsid w:val="006279CE"/>
    <w:rsid w:val="0063145D"/>
    <w:rsid w:val="00634763"/>
    <w:rsid w:val="00637F8E"/>
    <w:rsid w:val="006459EC"/>
    <w:rsid w:val="00654E0E"/>
    <w:rsid w:val="00664C06"/>
    <w:rsid w:val="00667073"/>
    <w:rsid w:val="0066723A"/>
    <w:rsid w:val="006675C1"/>
    <w:rsid w:val="006702E1"/>
    <w:rsid w:val="006743AB"/>
    <w:rsid w:val="00675D76"/>
    <w:rsid w:val="00676B10"/>
    <w:rsid w:val="006823DD"/>
    <w:rsid w:val="00694AC8"/>
    <w:rsid w:val="006A04A1"/>
    <w:rsid w:val="006A1581"/>
    <w:rsid w:val="006C3938"/>
    <w:rsid w:val="006D488C"/>
    <w:rsid w:val="006E45D7"/>
    <w:rsid w:val="006E4739"/>
    <w:rsid w:val="006E702D"/>
    <w:rsid w:val="006F0F86"/>
    <w:rsid w:val="006F5F9A"/>
    <w:rsid w:val="007017AD"/>
    <w:rsid w:val="007027BA"/>
    <w:rsid w:val="00705F75"/>
    <w:rsid w:val="007071F2"/>
    <w:rsid w:val="00710B5F"/>
    <w:rsid w:val="00720310"/>
    <w:rsid w:val="007237B8"/>
    <w:rsid w:val="007304E1"/>
    <w:rsid w:val="0073553F"/>
    <w:rsid w:val="00736F77"/>
    <w:rsid w:val="007411DA"/>
    <w:rsid w:val="007412D0"/>
    <w:rsid w:val="007446EA"/>
    <w:rsid w:val="00752DDA"/>
    <w:rsid w:val="00754115"/>
    <w:rsid w:val="00766597"/>
    <w:rsid w:val="00767608"/>
    <w:rsid w:val="00767A75"/>
    <w:rsid w:val="007706E1"/>
    <w:rsid w:val="0077654B"/>
    <w:rsid w:val="0078662A"/>
    <w:rsid w:val="00787406"/>
    <w:rsid w:val="007947D2"/>
    <w:rsid w:val="00797AC8"/>
    <w:rsid w:val="007B07C5"/>
    <w:rsid w:val="007B12BB"/>
    <w:rsid w:val="007B497D"/>
    <w:rsid w:val="007B4CC1"/>
    <w:rsid w:val="007B72C4"/>
    <w:rsid w:val="007C0C29"/>
    <w:rsid w:val="007C0F3A"/>
    <w:rsid w:val="007C193E"/>
    <w:rsid w:val="007C2D43"/>
    <w:rsid w:val="007C7A6D"/>
    <w:rsid w:val="007D4DEA"/>
    <w:rsid w:val="007E5867"/>
    <w:rsid w:val="007F322B"/>
    <w:rsid w:val="007F6B4B"/>
    <w:rsid w:val="00801FD9"/>
    <w:rsid w:val="0081386C"/>
    <w:rsid w:val="00827F63"/>
    <w:rsid w:val="00832009"/>
    <w:rsid w:val="00832D57"/>
    <w:rsid w:val="008337F7"/>
    <w:rsid w:val="008349E1"/>
    <w:rsid w:val="00841288"/>
    <w:rsid w:val="00843AF0"/>
    <w:rsid w:val="00850C62"/>
    <w:rsid w:val="00851D80"/>
    <w:rsid w:val="00855838"/>
    <w:rsid w:val="00865DA2"/>
    <w:rsid w:val="00865DAA"/>
    <w:rsid w:val="0087184B"/>
    <w:rsid w:val="0087357D"/>
    <w:rsid w:val="00875080"/>
    <w:rsid w:val="008763DA"/>
    <w:rsid w:val="008773EB"/>
    <w:rsid w:val="008864B1"/>
    <w:rsid w:val="008879A6"/>
    <w:rsid w:val="008906A3"/>
    <w:rsid w:val="00890F70"/>
    <w:rsid w:val="00895C6C"/>
    <w:rsid w:val="008B47E6"/>
    <w:rsid w:val="008B54F6"/>
    <w:rsid w:val="008C45E1"/>
    <w:rsid w:val="008C588F"/>
    <w:rsid w:val="008C6ECD"/>
    <w:rsid w:val="008D5249"/>
    <w:rsid w:val="008E771D"/>
    <w:rsid w:val="008F1077"/>
    <w:rsid w:val="008F6745"/>
    <w:rsid w:val="00902B75"/>
    <w:rsid w:val="00913AD3"/>
    <w:rsid w:val="00923F78"/>
    <w:rsid w:val="00924FCA"/>
    <w:rsid w:val="00925093"/>
    <w:rsid w:val="009254A1"/>
    <w:rsid w:val="00925CF1"/>
    <w:rsid w:val="009263E1"/>
    <w:rsid w:val="00930307"/>
    <w:rsid w:val="009409D9"/>
    <w:rsid w:val="0095340F"/>
    <w:rsid w:val="00953BC2"/>
    <w:rsid w:val="009606A3"/>
    <w:rsid w:val="0096123B"/>
    <w:rsid w:val="00964CC6"/>
    <w:rsid w:val="00966AD1"/>
    <w:rsid w:val="00971CA2"/>
    <w:rsid w:val="0097584A"/>
    <w:rsid w:val="0098512D"/>
    <w:rsid w:val="0099191E"/>
    <w:rsid w:val="009946C7"/>
    <w:rsid w:val="009A17F8"/>
    <w:rsid w:val="009B5C3A"/>
    <w:rsid w:val="009C16D7"/>
    <w:rsid w:val="009C61CA"/>
    <w:rsid w:val="009D32E3"/>
    <w:rsid w:val="009E2210"/>
    <w:rsid w:val="009E3A44"/>
    <w:rsid w:val="009F4A10"/>
    <w:rsid w:val="00A032A4"/>
    <w:rsid w:val="00A06D6E"/>
    <w:rsid w:val="00A13E8A"/>
    <w:rsid w:val="00A26B2C"/>
    <w:rsid w:val="00A331EB"/>
    <w:rsid w:val="00A44281"/>
    <w:rsid w:val="00A57209"/>
    <w:rsid w:val="00A668C1"/>
    <w:rsid w:val="00A725EA"/>
    <w:rsid w:val="00A75994"/>
    <w:rsid w:val="00A900F9"/>
    <w:rsid w:val="00A91EB1"/>
    <w:rsid w:val="00AA1C3C"/>
    <w:rsid w:val="00AB7AA9"/>
    <w:rsid w:val="00AC236E"/>
    <w:rsid w:val="00AD7381"/>
    <w:rsid w:val="00AE4F0D"/>
    <w:rsid w:val="00AF0890"/>
    <w:rsid w:val="00AF1259"/>
    <w:rsid w:val="00AF32AF"/>
    <w:rsid w:val="00B01C8E"/>
    <w:rsid w:val="00B04E0D"/>
    <w:rsid w:val="00B17C47"/>
    <w:rsid w:val="00B23F62"/>
    <w:rsid w:val="00B27492"/>
    <w:rsid w:val="00B2799A"/>
    <w:rsid w:val="00B27F15"/>
    <w:rsid w:val="00B308A6"/>
    <w:rsid w:val="00B3269B"/>
    <w:rsid w:val="00B37228"/>
    <w:rsid w:val="00B63354"/>
    <w:rsid w:val="00B71712"/>
    <w:rsid w:val="00B71847"/>
    <w:rsid w:val="00B77DCA"/>
    <w:rsid w:val="00B86108"/>
    <w:rsid w:val="00B903E3"/>
    <w:rsid w:val="00BA2F5D"/>
    <w:rsid w:val="00BA6A59"/>
    <w:rsid w:val="00BA75C8"/>
    <w:rsid w:val="00BB348C"/>
    <w:rsid w:val="00BB3C2E"/>
    <w:rsid w:val="00BC1C0B"/>
    <w:rsid w:val="00BD394A"/>
    <w:rsid w:val="00BD4A98"/>
    <w:rsid w:val="00BD63F6"/>
    <w:rsid w:val="00C0157C"/>
    <w:rsid w:val="00C01990"/>
    <w:rsid w:val="00C05F45"/>
    <w:rsid w:val="00C10A60"/>
    <w:rsid w:val="00C11A28"/>
    <w:rsid w:val="00C138E6"/>
    <w:rsid w:val="00C16581"/>
    <w:rsid w:val="00C224B3"/>
    <w:rsid w:val="00C22846"/>
    <w:rsid w:val="00C40E7F"/>
    <w:rsid w:val="00C45109"/>
    <w:rsid w:val="00C51F78"/>
    <w:rsid w:val="00C56989"/>
    <w:rsid w:val="00C62C21"/>
    <w:rsid w:val="00C64813"/>
    <w:rsid w:val="00C666C0"/>
    <w:rsid w:val="00C71B18"/>
    <w:rsid w:val="00C73144"/>
    <w:rsid w:val="00C802A8"/>
    <w:rsid w:val="00C850D9"/>
    <w:rsid w:val="00CA06C3"/>
    <w:rsid w:val="00CA4908"/>
    <w:rsid w:val="00CA4B20"/>
    <w:rsid w:val="00CA6EE9"/>
    <w:rsid w:val="00CA7BBA"/>
    <w:rsid w:val="00CB312B"/>
    <w:rsid w:val="00CB7E7F"/>
    <w:rsid w:val="00CC4750"/>
    <w:rsid w:val="00CC61A5"/>
    <w:rsid w:val="00CC63AC"/>
    <w:rsid w:val="00CE23FF"/>
    <w:rsid w:val="00CE40C1"/>
    <w:rsid w:val="00CF725D"/>
    <w:rsid w:val="00D04219"/>
    <w:rsid w:val="00D213EA"/>
    <w:rsid w:val="00D216D1"/>
    <w:rsid w:val="00D27957"/>
    <w:rsid w:val="00D3423A"/>
    <w:rsid w:val="00D34EBA"/>
    <w:rsid w:val="00D52700"/>
    <w:rsid w:val="00D57A31"/>
    <w:rsid w:val="00D73609"/>
    <w:rsid w:val="00D73DD2"/>
    <w:rsid w:val="00D917D6"/>
    <w:rsid w:val="00D9478B"/>
    <w:rsid w:val="00D94E1F"/>
    <w:rsid w:val="00D95884"/>
    <w:rsid w:val="00DA25A4"/>
    <w:rsid w:val="00DA37A7"/>
    <w:rsid w:val="00DB53A0"/>
    <w:rsid w:val="00DC27BB"/>
    <w:rsid w:val="00DC5D32"/>
    <w:rsid w:val="00DC67DD"/>
    <w:rsid w:val="00DC692C"/>
    <w:rsid w:val="00DC696A"/>
    <w:rsid w:val="00DC70B9"/>
    <w:rsid w:val="00DD154B"/>
    <w:rsid w:val="00DD1938"/>
    <w:rsid w:val="00DE2AAA"/>
    <w:rsid w:val="00DE3BE8"/>
    <w:rsid w:val="00DF228C"/>
    <w:rsid w:val="00DF23C5"/>
    <w:rsid w:val="00E068A4"/>
    <w:rsid w:val="00E06A55"/>
    <w:rsid w:val="00E17EA4"/>
    <w:rsid w:val="00E268C3"/>
    <w:rsid w:val="00E31F1E"/>
    <w:rsid w:val="00E42AA0"/>
    <w:rsid w:val="00E45832"/>
    <w:rsid w:val="00E60458"/>
    <w:rsid w:val="00E6184A"/>
    <w:rsid w:val="00E6215F"/>
    <w:rsid w:val="00E63536"/>
    <w:rsid w:val="00E665DC"/>
    <w:rsid w:val="00E705EC"/>
    <w:rsid w:val="00E74AE1"/>
    <w:rsid w:val="00E80BA8"/>
    <w:rsid w:val="00E815B4"/>
    <w:rsid w:val="00E90641"/>
    <w:rsid w:val="00E97C44"/>
    <w:rsid w:val="00EA05CA"/>
    <w:rsid w:val="00EA15FC"/>
    <w:rsid w:val="00EC0633"/>
    <w:rsid w:val="00ED20A5"/>
    <w:rsid w:val="00ED569D"/>
    <w:rsid w:val="00EE1578"/>
    <w:rsid w:val="00EE21EA"/>
    <w:rsid w:val="00EE5D97"/>
    <w:rsid w:val="00F01350"/>
    <w:rsid w:val="00F02EB1"/>
    <w:rsid w:val="00F03952"/>
    <w:rsid w:val="00F10795"/>
    <w:rsid w:val="00F20105"/>
    <w:rsid w:val="00F30183"/>
    <w:rsid w:val="00F32574"/>
    <w:rsid w:val="00F3464C"/>
    <w:rsid w:val="00F403EA"/>
    <w:rsid w:val="00F51C3D"/>
    <w:rsid w:val="00F5553D"/>
    <w:rsid w:val="00F55567"/>
    <w:rsid w:val="00F7291F"/>
    <w:rsid w:val="00F73F25"/>
    <w:rsid w:val="00F75710"/>
    <w:rsid w:val="00F804E9"/>
    <w:rsid w:val="00F935FB"/>
    <w:rsid w:val="00F93AF9"/>
    <w:rsid w:val="00FA3105"/>
    <w:rsid w:val="00FA54AC"/>
    <w:rsid w:val="00FA745E"/>
    <w:rsid w:val="00FA7F3C"/>
    <w:rsid w:val="00FB13DF"/>
    <w:rsid w:val="00FC0931"/>
    <w:rsid w:val="00FC17A7"/>
    <w:rsid w:val="00FC34A3"/>
    <w:rsid w:val="00FC689C"/>
    <w:rsid w:val="00FD1C76"/>
    <w:rsid w:val="00FD6537"/>
    <w:rsid w:val="00FE2233"/>
    <w:rsid w:val="00FE69F8"/>
    <w:rsid w:val="00FE709A"/>
    <w:rsid w:val="00FF544F"/>
    <w:rsid w:val="00FF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0A513D"/>
  <w15:chartTrackingRefBased/>
  <w15:docId w15:val="{56B1D529-42A5-4F0A-8D7B-846BAE1E4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310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E473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B497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B497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B497D"/>
    <w:pPr>
      <w:widowControl/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7B497D"/>
    <w:rPr>
      <w:b/>
      <w:bCs/>
    </w:rPr>
  </w:style>
  <w:style w:type="character" w:styleId="nfase">
    <w:name w:val="Emphasis"/>
    <w:basedOn w:val="Fontepargpadro"/>
    <w:uiPriority w:val="20"/>
    <w:qFormat/>
    <w:rsid w:val="007B497D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54737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07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34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2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1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7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0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4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0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67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8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8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7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23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3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2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7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6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1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3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6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03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9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5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2258</TotalTime>
  <Pages>4</Pages>
  <Words>2214</Words>
  <Characters>11961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vitória</dc:creator>
  <cp:keywords/>
  <dc:description/>
  <cp:lastModifiedBy>vitória</cp:lastModifiedBy>
  <cp:revision>455</cp:revision>
  <dcterms:created xsi:type="dcterms:W3CDTF">2025-05-21T14:15:00Z</dcterms:created>
  <dcterms:modified xsi:type="dcterms:W3CDTF">2025-06-10T22:13:00Z</dcterms:modified>
</cp:coreProperties>
</file>