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A774D" w:rsidRDefault="00EA774D" w:rsidP="00EA77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77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EFEITOS DO AÇAÍ NO TRATAMENTO DE DOENÇAS HEPÁTICAS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GORDUROSAS</w:t>
      </w:r>
      <w:r w:rsidRPr="00EA77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NÃO ALCOÓLICAS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UMA REVISÃO.</w:t>
      </w:r>
    </w:p>
    <w:p w:rsidR="003C30BC" w:rsidRDefault="00EA77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Anielle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Mylena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Medeiros Barbosa</w:t>
      </w:r>
      <w:r w:rsidR="00412EEC"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3C30BC" w:rsidRDefault="00EA77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Gabriel Vinicius Silva Amadeu</w:t>
      </w:r>
      <w:r w:rsidR="00412EE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3C30BC" w:rsidRDefault="00EA77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Ana Catherine Neves do Nascimento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="00412EE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</w:t>
      </w:r>
    </w:p>
    <w:p w:rsidR="00EA774D" w:rsidRDefault="00EA774D" w:rsidP="00EA77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Iuri Gabriel Telles Lopes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2  </w:t>
      </w:r>
    </w:p>
    <w:p w:rsidR="00EA774D" w:rsidRDefault="00EA774D" w:rsidP="00EA77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Raíssa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Andrade de Araújo Silva</w:t>
      </w:r>
      <w:r w:rsidR="00CC54B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</w:t>
      </w:r>
    </w:p>
    <w:p w:rsidR="00881992" w:rsidRDefault="00881992" w:rsidP="008819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Vitor Carlos de Araújo Bandeira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3  </w:t>
      </w:r>
    </w:p>
    <w:p w:rsidR="003C30BC" w:rsidRDefault="00EA774D" w:rsidP="00EA77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Mirelly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Cunha da Silva</w:t>
      </w:r>
      <w:r w:rsidR="00CC54B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</w:p>
    <w:p w:rsidR="00EA774D" w:rsidRPr="00EA774D" w:rsidRDefault="00EA774D" w:rsidP="00EA77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:rsidR="003C30BC" w:rsidRPr="00CC54BF" w:rsidRDefault="00EA774D" w:rsidP="00CC54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4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acúmulo excessivo de gordura no fígado pode acarretar doenças como a </w:t>
      </w:r>
      <w:proofErr w:type="spellStart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>esteatose</w:t>
      </w:r>
      <w:proofErr w:type="spellEnd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hepática não alcoólica (EHNP), que se não tratada, pode evoluir para cirrose, ou carcinoma hepático, e pode estar associado ao desenvolvimento de outras doenças metabólicas como a obesidade e a dislipidemia, através do estímulo à resistência à insulina. Com isso, estudos vêm mostrando o consumo de antioxidantes na dieta como combate ao estresse </w:t>
      </w:r>
      <w:proofErr w:type="spellStart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>oxidativo</w:t>
      </w:r>
      <w:proofErr w:type="spellEnd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ocasionado pela EHNP, sendo um aliado terapêutico no tratamento dessa doença. A Euterpe </w:t>
      </w:r>
      <w:proofErr w:type="spellStart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>oleracea</w:t>
      </w:r>
      <w:proofErr w:type="spellEnd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Mart., conhecida popularmente como açaí, é um fruto nativo amazônico conhecido por possuir concentrações interessantes de compostos fenólicos como as antocianinas e a vitamina E, e desempenha efeito antioxidante e anti-hipertensivo em pacientes hipertensos, induz a vasodilatação endotelial e contribui para o controle das síndromes metabólicas. </w:t>
      </w:r>
      <w:r w:rsidRPr="00CC54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Objetivos:</w:t>
      </w:r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Identificar os efeitos do açaí no tratamento de doenças hepáticas gordurosas não alcoólicas. Métodos: Revisão literária, realizada na base de dados </w:t>
      </w:r>
      <w:proofErr w:type="spellStart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>, a partir da busca</w:t>
      </w:r>
      <w:r w:rsid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pelos descritores “Euterpe”; “Doença hepática gordurosa não alcóolica</w:t>
      </w:r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>”,</w:t>
      </w:r>
      <w:r w:rsidR="00CC54BF"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>Antioxidantes”</w:t>
      </w:r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foram escolhidos os artigos que atendessem aos critérios: artigos completos, publicado nos idiomas português e inglês a partir do ano de 2015. Dessa maneira, o corpus de análise foi composto por 9 artigos. </w:t>
      </w:r>
      <w:r w:rsidRPr="00CC54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 estudos analisados, foi constatado que a adição do açaí aumentou os níveis de </w:t>
      </w:r>
      <w:proofErr w:type="spellStart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>glutationa</w:t>
      </w:r>
      <w:proofErr w:type="spellEnd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 inibiu a produção e acúmulo de GSSG. A introdução de açaí na dieta de animais </w:t>
      </w:r>
      <w:proofErr w:type="spellStart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>obesogênicos</w:t>
      </w:r>
      <w:proofErr w:type="spellEnd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diminuiu o peso corporal, bem como provocou a redução do tecido adiposo </w:t>
      </w:r>
      <w:proofErr w:type="spellStart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>retroperitoneal</w:t>
      </w:r>
      <w:proofErr w:type="spellEnd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>epididimal</w:t>
      </w:r>
      <w:proofErr w:type="spellEnd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 tratamento com o açaí também reduziu os níveis glicêmicos de animais alimentados com dieta </w:t>
      </w:r>
      <w:proofErr w:type="spellStart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>obesogênica</w:t>
      </w:r>
      <w:proofErr w:type="spellEnd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redução dos níveis séricos de colesterol total, triglicerídeos, LDL e VLDL nos indivíduos que consumiram o fruto. Quando adicionado </w:t>
      </w:r>
      <w:proofErr w:type="gramStart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proofErr w:type="gramEnd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dietas </w:t>
      </w:r>
      <w:proofErr w:type="spellStart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>obesogênicas</w:t>
      </w:r>
      <w:proofErr w:type="spellEnd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maternas, o açaí reduziu o peso relativo, gordura e colesterol no fígado das mães, além de diminuir o grau da </w:t>
      </w:r>
      <w:proofErr w:type="spellStart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>esteatose</w:t>
      </w:r>
      <w:proofErr w:type="spellEnd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hepática, já na prole com 21 dias, o açaí diminui o peso relativo do fígado, o colesterol sérico e aumenta a expressão dos genes sirt1, srbpf1 e </w:t>
      </w:r>
      <w:proofErr w:type="spellStart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>fasn</w:t>
      </w:r>
      <w:proofErr w:type="spellEnd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C54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Conclusão:</w:t>
      </w:r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antioxidantes como os presentes no açaí, a vitamina E, </w:t>
      </w:r>
      <w:proofErr w:type="spellStart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>resveratrol</w:t>
      </w:r>
      <w:proofErr w:type="spellEnd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sibilinas podem reduzir os marcadores de estresse </w:t>
      </w:r>
      <w:proofErr w:type="spellStart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>oxidativo</w:t>
      </w:r>
      <w:proofErr w:type="spellEnd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desenvolvimento de fibrose em animais de laboratório e ativação das células estreladas do </w:t>
      </w:r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fígado. Os estudos sugerem que o açaí pode atenuar a EHNP nas mães e proteger a prole dos efeitos do excesso de lipídios oriundos da dieta materna </w:t>
      </w:r>
      <w:proofErr w:type="spellStart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>obesogênica</w:t>
      </w:r>
      <w:proofErr w:type="spellEnd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 diminuir o estresse </w:t>
      </w:r>
      <w:proofErr w:type="spellStart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>oxidativo</w:t>
      </w:r>
      <w:proofErr w:type="spellEnd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partir da regulação do metabolismo da </w:t>
      </w:r>
      <w:proofErr w:type="spellStart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>glutationa</w:t>
      </w:r>
      <w:proofErr w:type="spellEnd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 fruto se mostrou efetivo em diminuir danos </w:t>
      </w:r>
      <w:proofErr w:type="spellStart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>oxidativos</w:t>
      </w:r>
      <w:proofErr w:type="spellEnd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hiperglicemia e em menor grau, reduzir a </w:t>
      </w:r>
      <w:proofErr w:type="spellStart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>esteatose</w:t>
      </w:r>
      <w:proofErr w:type="spellEnd"/>
      <w:r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hepática e dislipidemia.</w:t>
      </w:r>
    </w:p>
    <w:p w:rsidR="00CC54BF" w:rsidRDefault="00412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>“Euterpe”; “Doença hepática gordurosa não alcóolica</w:t>
      </w:r>
      <w:r w:rsidR="00CC54BF" w:rsidRP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r w:rsid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>“Antioxidantes”</w:t>
      </w:r>
    </w:p>
    <w:p w:rsidR="003C30BC" w:rsidRDefault="00412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CC54BF">
        <w:rPr>
          <w:rFonts w:ascii="Times New Roman" w:eastAsia="Times New Roman" w:hAnsi="Times New Roman" w:cs="Times New Roman"/>
          <w:color w:val="000000"/>
          <w:sz w:val="24"/>
          <w:szCs w:val="24"/>
        </w:rPr>
        <w:t>anielle.barbosa@ufpe.br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30BC" w:rsidRDefault="008819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</w:t>
      </w:r>
    </w:p>
    <w:p w:rsidR="00881992" w:rsidRDefault="00881992" w:rsidP="008819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AF, et al. Euterpe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oleracea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Mart.-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derived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polyphenols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prevent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endothelial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dysfunction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vascular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structural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changes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renovascular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hypertensive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rats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role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oxidative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stress.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Naunyn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Schmiedebergs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Arch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Pharmacol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2012; 385(12): 1199–1209. </w:t>
      </w:r>
      <w:proofErr w:type="spellStart"/>
      <w:proofErr w:type="gram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doi</w:t>
      </w:r>
      <w:proofErr w:type="spellEnd"/>
      <w:proofErr w:type="gram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: 10.1007/s00210-012-0798-z PMID: 23052352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1992" w:rsidRDefault="00881992" w:rsidP="008819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Al-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Busafi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SA,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Bhat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M, Wong P,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Ghali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P,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Deschenes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Antioxidant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therapy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nonalcoholic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steatohepatitis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Hepat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Treat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2012;2012:947575</w:t>
      </w:r>
      <w:proofErr w:type="gram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1992" w:rsidRDefault="00881992" w:rsidP="008819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K.D. Bruce, F.R.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Cagampang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Argenton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Zhang, P.L.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Ethirajan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G.C.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Burdge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, 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Bateman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G.F.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Clough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L.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Poston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M.A. Hanson, J.M.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McConnell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C.D. Byrne, </w:t>
      </w:r>
      <w:proofErr w:type="gram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Maternal</w:t>
      </w:r>
      <w:proofErr w:type="gram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high-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fat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feeding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primes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steatohepatitis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adult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mice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offspring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involving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mitochondrial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dysfunction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altered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lipogenesis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expression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Hepatology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 (2009) 1796–1808.</w:t>
      </w:r>
    </w:p>
    <w:p w:rsidR="00881992" w:rsidRDefault="00881992" w:rsidP="008819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LaBrecque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DR, Abbas Z,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Anania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F,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Ferenci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P, Khan AG, Goh K-L, et al. World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Gastroenterology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Organisation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global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guidelines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nonalcoholic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fatty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liver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disease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nonalcoholic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steatohepatitis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Clin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Gastroenterol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2014;48(6):467-73.</w:t>
      </w:r>
    </w:p>
    <w:p w:rsidR="00881992" w:rsidRDefault="00881992" w:rsidP="008819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Oliveira PR, da Costa CA, </w:t>
      </w:r>
      <w:proofErr w:type="gram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de Bem</w:t>
      </w:r>
      <w:proofErr w:type="gram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GF, de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Cavalho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LCRM, de Souza MA, de Lemos Neto et al.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Effects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extract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obtained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fruits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Euterpe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oleracea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Mart. in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components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metabolic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syndrome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induced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C57BL/6J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mice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fed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high-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fat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diet. J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Cardiovasc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Pharmacol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2010; 56(6): 619–626. </w:t>
      </w:r>
      <w:proofErr w:type="spellStart"/>
      <w:proofErr w:type="gram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doi</w:t>
      </w:r>
      <w:proofErr w:type="spellEnd"/>
      <w:proofErr w:type="gram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: 10. 1097/FJC.0b013e3181f78da4 PMID: 20838232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1992" w:rsidRDefault="00881992" w:rsidP="008819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Rocha AP, Carvalho LC, Sousa MA, Madeira SV, Sousa PJ, Tano T, et al.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Endothelium-dependent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vasodilator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effect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Euterpe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oleracea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Mart. (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Acai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extracts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mesenteric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vascular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bed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rat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Vascul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Pharmacol</w:t>
      </w:r>
      <w:proofErr w:type="spellEnd"/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. 2007; 46(2): 97–104. PMID: 17049314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1992" w:rsidRPr="00881992" w:rsidRDefault="00881992" w:rsidP="008819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992">
        <w:rPr>
          <w:rFonts w:ascii="Times New Roman" w:eastAsia="Times New Roman" w:hAnsi="Times New Roman" w:cs="Times New Roman"/>
          <w:color w:val="000000"/>
          <w:sz w:val="24"/>
          <w:szCs w:val="24"/>
        </w:rPr>
        <w:t>Vasconcelos MAM, Galeão RR, Carvalho AV, Nascimento V. Práticas de colheita e manuseio do Açaí. Belém, PA: Embrapa Amazônia Oriental; 2006.</w:t>
      </w:r>
    </w:p>
    <w:p w:rsidR="00881992" w:rsidRPr="00881992" w:rsidRDefault="00881992" w:rsidP="008819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1992" w:rsidRPr="00881992" w:rsidRDefault="00881992" w:rsidP="008819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1992" w:rsidRDefault="00881992" w:rsidP="008819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1992" w:rsidRPr="00881992" w:rsidRDefault="00881992" w:rsidP="008819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1992" w:rsidRPr="00881992" w:rsidRDefault="00881992" w:rsidP="008819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1992" w:rsidRPr="00881992" w:rsidRDefault="00881992" w:rsidP="008819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30BC" w:rsidRDefault="00CC5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¹Mestrado</w:t>
      </w:r>
      <w:r w:rsidR="00412E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Programa de </w:t>
      </w:r>
      <w:r w:rsidR="00881992">
        <w:rPr>
          <w:rFonts w:ascii="Times New Roman" w:eastAsia="Times New Roman" w:hAnsi="Times New Roman" w:cs="Times New Roman"/>
          <w:color w:val="000000"/>
          <w:sz w:val="20"/>
          <w:szCs w:val="20"/>
        </w:rPr>
        <w:t>pós-graduação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em ciências fisiológicas- UFPE</w:t>
      </w:r>
      <w:r w:rsidR="00412E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Vitória de Santo Antão- PE</w:t>
      </w:r>
      <w:r w:rsidR="00412EEC">
        <w:rPr>
          <w:rFonts w:ascii="Times New Roman" w:eastAsia="Times New Roman" w:hAnsi="Times New Roman" w:cs="Times New Roman"/>
          <w:color w:val="000000"/>
          <w:sz w:val="20"/>
          <w:szCs w:val="20"/>
        </w:rPr>
        <w:t>, E- mail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anielle.barbosa@ufpe.br.</w:t>
      </w:r>
    </w:p>
    <w:p w:rsidR="003C30BC" w:rsidRDefault="00CC5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²Graduação em Nutrição</w:t>
      </w:r>
      <w:r w:rsidR="00412E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Federal de Pernambuco</w:t>
      </w:r>
      <w:r w:rsidR="00412E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Recife-PE, E- mail: gabriel.amadeu@ufpe.br</w:t>
      </w:r>
    </w:p>
    <w:p w:rsidR="00CC54BF" w:rsidRDefault="00CC54BF" w:rsidP="00CC5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²Graduação em Nutrição, Universidade Federal de Pernambuco, Recife-PE, E- mail.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81992">
        <w:rPr>
          <w:rFonts w:ascii="Times New Roman" w:eastAsia="Times New Roman" w:hAnsi="Times New Roman" w:cs="Times New Roman"/>
          <w:color w:val="000000"/>
          <w:sz w:val="20"/>
          <w:szCs w:val="20"/>
        </w:rPr>
        <w:t>catherine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881992">
        <w:rPr>
          <w:rFonts w:ascii="Times New Roman" w:eastAsia="Times New Roman" w:hAnsi="Times New Roman" w:cs="Times New Roman"/>
          <w:color w:val="000000"/>
          <w:sz w:val="20"/>
          <w:szCs w:val="20"/>
        </w:rPr>
        <w:t>neves@ufpe.br</w:t>
      </w:r>
    </w:p>
    <w:p w:rsidR="00CC54BF" w:rsidRDefault="00CC5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²Graduação em Nutrição, Universidade Federal de Pernambuco, Recife-PE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E- mail: iuri.telles@ufpe.br</w:t>
      </w:r>
    </w:p>
    <w:p w:rsidR="003C30BC" w:rsidRDefault="00412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="00CC54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Mestrado, Programa de </w:t>
      </w:r>
      <w:r w:rsidR="00881992">
        <w:rPr>
          <w:rFonts w:ascii="Times New Roman" w:eastAsia="Times New Roman" w:hAnsi="Times New Roman" w:cs="Times New Roman"/>
          <w:color w:val="000000"/>
          <w:sz w:val="20"/>
          <w:szCs w:val="20"/>
        </w:rPr>
        <w:t>pós-graduação</w:t>
      </w:r>
      <w:r w:rsidR="00CC54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em nutrição- UFPE, Recife- PE, E</w:t>
      </w:r>
      <w:r w:rsidR="008819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mail: </w:t>
      </w:r>
      <w:r w:rsidR="002C7467" w:rsidRPr="002C7467">
        <w:rPr>
          <w:rFonts w:ascii="Times New Roman" w:eastAsia="Times New Roman" w:hAnsi="Times New Roman" w:cs="Times New Roman"/>
          <w:color w:val="000000"/>
          <w:sz w:val="20"/>
          <w:szCs w:val="20"/>
        </w:rPr>
        <w:t>raissa.andrade@ufpe.br</w:t>
      </w:r>
    </w:p>
    <w:p w:rsidR="002C7467" w:rsidRDefault="002C7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Mestrado, Programa de pós-graduação em nutrição- UFPE, Recife- PE, E- mail: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vitor.bandeira</w:t>
      </w:r>
      <w:r w:rsidRPr="00881992">
        <w:rPr>
          <w:rFonts w:ascii="Times New Roman" w:eastAsia="Times New Roman" w:hAnsi="Times New Roman" w:cs="Times New Roman"/>
          <w:color w:val="000000"/>
          <w:sz w:val="20"/>
          <w:szCs w:val="20"/>
        </w:rPr>
        <w:t>@ufpe.br</w:t>
      </w:r>
    </w:p>
    <w:p w:rsidR="00881992" w:rsidRDefault="00881992" w:rsidP="008819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¹Mestrado, Programa de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pós-graduação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em ciências fisiológicas- UFPE, Vitória de Santo Antão- PE, E- mail: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mirelly.cunha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@ufpe.br.</w:t>
      </w:r>
    </w:p>
    <w:p w:rsidR="00881992" w:rsidRDefault="008819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sectPr w:rsidR="00881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17F" w:rsidRDefault="0078517F">
      <w:pPr>
        <w:spacing w:after="0" w:line="240" w:lineRule="auto"/>
      </w:pPr>
      <w:r>
        <w:separator/>
      </w:r>
    </w:p>
  </w:endnote>
  <w:endnote w:type="continuationSeparator" w:id="0">
    <w:p w:rsidR="0078517F" w:rsidRDefault="0078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BC" w:rsidRDefault="003C3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BC" w:rsidRDefault="003C3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BC" w:rsidRDefault="003C3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17F" w:rsidRDefault="0078517F">
      <w:pPr>
        <w:spacing w:after="0" w:line="240" w:lineRule="auto"/>
      </w:pPr>
      <w:r>
        <w:separator/>
      </w:r>
    </w:p>
  </w:footnote>
  <w:footnote w:type="continuationSeparator" w:id="0">
    <w:p w:rsidR="0078517F" w:rsidRDefault="0078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BC" w:rsidRDefault="007851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6EA" w:rsidRDefault="009346EA" w:rsidP="009346E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824" behindDoc="0" locked="0" layoutInCell="1" allowOverlap="1" wp14:anchorId="0FFEDF2F" wp14:editId="3FC4B4AA">
          <wp:simplePos x="0" y="0"/>
          <wp:positionH relativeFrom="margin">
            <wp:posOffset>281940</wp:posOffset>
          </wp:positionH>
          <wp:positionV relativeFrom="paragraph">
            <wp:posOffset>-40005</wp:posOffset>
          </wp:positionV>
          <wp:extent cx="1783715" cy="1457325"/>
          <wp:effectExtent l="0" t="0" r="6985" b="952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17 at 20.38.55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89" b="8921"/>
                  <a:stretch/>
                </pic:blipFill>
                <pic:spPr bwMode="auto">
                  <a:xfrm>
                    <a:off x="0" y="0"/>
                    <a:ext cx="1783715" cy="1457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0" wp14:anchorId="7853A623" wp14:editId="3C197863">
          <wp:simplePos x="0" y="0"/>
          <wp:positionH relativeFrom="margin">
            <wp:posOffset>3004820</wp:posOffset>
          </wp:positionH>
          <wp:positionV relativeFrom="page">
            <wp:posOffset>662940</wp:posOffset>
          </wp:positionV>
          <wp:extent cx="2214245" cy="872490"/>
          <wp:effectExtent l="0" t="0" r="0" b="3810"/>
          <wp:wrapTopAndBottom/>
          <wp:docPr id="2" name="Picture 1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" name="Picture 17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BC" w:rsidRDefault="007851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BC"/>
    <w:rsid w:val="00262074"/>
    <w:rsid w:val="002C7467"/>
    <w:rsid w:val="00376B07"/>
    <w:rsid w:val="003C30BC"/>
    <w:rsid w:val="00412EEC"/>
    <w:rsid w:val="0048135E"/>
    <w:rsid w:val="004E6300"/>
    <w:rsid w:val="00626D14"/>
    <w:rsid w:val="0078517F"/>
    <w:rsid w:val="007966CE"/>
    <w:rsid w:val="00881992"/>
    <w:rsid w:val="009346EA"/>
    <w:rsid w:val="00A95DB2"/>
    <w:rsid w:val="00AC3F9E"/>
    <w:rsid w:val="00C47B79"/>
    <w:rsid w:val="00CC54BF"/>
    <w:rsid w:val="00CD784A"/>
    <w:rsid w:val="00EA774D"/>
    <w:rsid w:val="00F8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D935CB6"/>
  <w15:docId w15:val="{F03C53A9-4703-4175-AB0C-1019294D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966C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966CE"/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881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9cXQRV0YiWKkuspiMHLvVjtOIw==">CgMxLjA4AHIhMUlEbC1ST1JaR2V6MF9xVzFUVTBDLVBlaWpTZFNsVFow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Usuario</cp:lastModifiedBy>
  <cp:revision>2</cp:revision>
  <dcterms:created xsi:type="dcterms:W3CDTF">2023-09-18T19:57:00Z</dcterms:created>
  <dcterms:modified xsi:type="dcterms:W3CDTF">2023-09-18T19:57:00Z</dcterms:modified>
</cp:coreProperties>
</file>