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82"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5880" w:dyaOrig="1964">
          <v:rect xmlns:o="urn:schemas-microsoft-com:office:office" xmlns:v="urn:schemas-microsoft-com:vml" id="rectole0000000000" style="width:294.000000pt;height:9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182"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Artigo Não Indexado</w:t>
      </w:r>
    </w:p>
    <w:p>
      <w:pPr>
        <w:spacing w:before="182"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Impacto da COVID-19 na Incidência de Complicações Cardiovasculares em Pacientes Pediátricos Submetidos a Cirurgia</w:t>
      </w:r>
    </w:p>
    <w:p>
      <w:pPr>
        <w:spacing w:before="182"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82" w:after="0" w:line="276"/>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Felipe Eduardo Fagundes Lopes</w:t>
      </w: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br/>
        <w:t xml:space="preserve"> felipelopes.med@gmail.com</w:t>
        <w:br/>
        <w:t xml:space="preserve">Maria Eduarda Borges Hummel</w:t>
      </w: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br/>
        <w:t xml:space="preserve">Larissa Cozzolino Carneiro</w:t>
      </w: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t xml:space="preserve"> </w:t>
        <w:br/>
        <w:t xml:space="preserve">Julie Adriane da Silva Pereira</w:t>
      </w: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br/>
        <w:t xml:space="preserve">Gabriel jose lopes</w:t>
      </w:r>
      <w:r>
        <w:rPr>
          <w:rFonts w:ascii="Times New Roman" w:hAnsi="Times New Roman" w:cs="Times New Roman" w:eastAsia="Times New Roman"/>
          <w:color w:val="auto"/>
          <w:spacing w:val="0"/>
          <w:position w:val="0"/>
          <w:sz w:val="20"/>
          <w:shd w:fill="auto" w:val="clear"/>
          <w:vertAlign w:val="superscript"/>
        </w:rPr>
        <w:t xml:space="preserve">5</w:t>
      </w:r>
      <w:r>
        <w:rPr>
          <w:rFonts w:ascii="Times New Roman" w:hAnsi="Times New Roman" w:cs="Times New Roman" w:eastAsia="Times New Roman"/>
          <w:color w:val="auto"/>
          <w:spacing w:val="0"/>
          <w:position w:val="0"/>
          <w:sz w:val="20"/>
          <w:shd w:fill="auto" w:val="clear"/>
        </w:rPr>
        <w:br/>
        <w:t xml:space="preserve">Bruna Rosa Silva</w:t>
      </w:r>
      <w:r>
        <w:rPr>
          <w:rFonts w:ascii="Times New Roman" w:hAnsi="Times New Roman" w:cs="Times New Roman" w:eastAsia="Times New Roman"/>
          <w:color w:val="auto"/>
          <w:spacing w:val="0"/>
          <w:position w:val="0"/>
          <w:sz w:val="20"/>
          <w:shd w:fill="auto" w:val="clear"/>
          <w:vertAlign w:val="superscript"/>
        </w:rPr>
        <w:t xml:space="preserve">6</w:t>
      </w:r>
      <w:r>
        <w:rPr>
          <w:rFonts w:ascii="Times New Roman" w:hAnsi="Times New Roman" w:cs="Times New Roman" w:eastAsia="Times New Roman"/>
          <w:color w:val="auto"/>
          <w:spacing w:val="0"/>
          <w:position w:val="0"/>
          <w:sz w:val="20"/>
          <w:shd w:fill="auto" w:val="clear"/>
        </w:rPr>
        <w:br/>
        <w:t xml:space="preserve">Marco Antonio Marques Valadares Santana</w:t>
      </w:r>
      <w:r>
        <w:rPr>
          <w:rFonts w:ascii="Times New Roman" w:hAnsi="Times New Roman" w:cs="Times New Roman" w:eastAsia="Times New Roman"/>
          <w:color w:val="auto"/>
          <w:spacing w:val="0"/>
          <w:position w:val="0"/>
          <w:sz w:val="20"/>
          <w:shd w:fill="auto" w:val="clear"/>
          <w:vertAlign w:val="superscript"/>
        </w:rPr>
        <w:t xml:space="preserve">7</w:t>
      </w:r>
      <w:r>
        <w:rPr>
          <w:rFonts w:ascii="Times New Roman" w:hAnsi="Times New Roman" w:cs="Times New Roman" w:eastAsia="Times New Roman"/>
          <w:color w:val="auto"/>
          <w:spacing w:val="0"/>
          <w:position w:val="0"/>
          <w:sz w:val="20"/>
          <w:shd w:fill="auto" w:val="clear"/>
        </w:rPr>
        <w:br/>
        <w:t xml:space="preserve">Cássio Frederico Andrade Henn</w:t>
      </w:r>
      <w:r>
        <w:rPr>
          <w:rFonts w:ascii="Times New Roman" w:hAnsi="Times New Roman" w:cs="Times New Roman" w:eastAsia="Times New Roman"/>
          <w:color w:val="auto"/>
          <w:spacing w:val="0"/>
          <w:position w:val="0"/>
          <w:sz w:val="20"/>
          <w:shd w:fill="auto" w:val="clear"/>
          <w:vertAlign w:val="superscript"/>
        </w:rPr>
        <w:t xml:space="preserve">8</w:t>
      </w:r>
      <w:r>
        <w:rPr>
          <w:rFonts w:ascii="Times New Roman" w:hAnsi="Times New Roman" w:cs="Times New Roman" w:eastAsia="Times New Roman"/>
          <w:color w:val="auto"/>
          <w:spacing w:val="0"/>
          <w:position w:val="0"/>
          <w:sz w:val="20"/>
          <w:shd w:fill="auto" w:val="clear"/>
        </w:rPr>
        <w:t xml:space="preserve"> </w:t>
        <w:br/>
        <w:t xml:space="preserve">Gabriel Damasceno Andrade</w:t>
      </w:r>
      <w:r>
        <w:rPr>
          <w:rFonts w:ascii="Times New Roman" w:hAnsi="Times New Roman" w:cs="Times New Roman" w:eastAsia="Times New Roman"/>
          <w:color w:val="auto"/>
          <w:spacing w:val="0"/>
          <w:position w:val="0"/>
          <w:sz w:val="20"/>
          <w:shd w:fill="auto" w:val="clear"/>
          <w:vertAlign w:val="superscript"/>
        </w:rPr>
        <w:t xml:space="preserve">9</w:t>
      </w:r>
      <w:r>
        <w:rPr>
          <w:rFonts w:ascii="Times New Roman" w:hAnsi="Times New Roman" w:cs="Times New Roman" w:eastAsia="Times New Roman"/>
          <w:color w:val="auto"/>
          <w:spacing w:val="0"/>
          <w:position w:val="0"/>
          <w:sz w:val="20"/>
          <w:shd w:fill="auto" w:val="clear"/>
        </w:rPr>
        <w:t xml:space="preserve"> </w:t>
        <w:br/>
        <w:t xml:space="preserve">Paulo Henrique Santos Melo</w:t>
      </w:r>
      <w:r>
        <w:rPr>
          <w:rFonts w:ascii="Times New Roman" w:hAnsi="Times New Roman" w:cs="Times New Roman" w:eastAsia="Times New Roman"/>
          <w:color w:val="auto"/>
          <w:spacing w:val="0"/>
          <w:position w:val="0"/>
          <w:sz w:val="20"/>
          <w:shd w:fill="auto" w:val="clear"/>
          <w:vertAlign w:val="superscript"/>
        </w:rPr>
        <w:t xml:space="preserve">10</w:t>
      </w:r>
      <w:r>
        <w:rPr>
          <w:rFonts w:ascii="Times New Roman" w:hAnsi="Times New Roman" w:cs="Times New Roman" w:eastAsia="Times New Roman"/>
          <w:color w:val="auto"/>
          <w:spacing w:val="0"/>
          <w:position w:val="0"/>
          <w:sz w:val="20"/>
          <w:shd w:fill="auto" w:val="clear"/>
        </w:rPr>
        <w:t xml:space="preserve"> </w:t>
        <w:br/>
        <w:t xml:space="preserve">Luiz Fernando de Souza Bandeira</w:t>
      </w:r>
      <w:r>
        <w:rPr>
          <w:rFonts w:ascii="Times New Roman" w:hAnsi="Times New Roman" w:cs="Times New Roman" w:eastAsia="Times New Roman"/>
          <w:color w:val="auto"/>
          <w:spacing w:val="0"/>
          <w:position w:val="0"/>
          <w:sz w:val="20"/>
          <w:shd w:fill="auto" w:val="clear"/>
          <w:vertAlign w:val="superscript"/>
        </w:rPr>
        <w:t xml:space="preserve">11</w:t>
      </w:r>
      <w:r>
        <w:rPr>
          <w:rFonts w:ascii="Times New Roman" w:hAnsi="Times New Roman" w:cs="Times New Roman" w:eastAsia="Times New Roman"/>
          <w:color w:val="auto"/>
          <w:spacing w:val="0"/>
          <w:position w:val="0"/>
          <w:sz w:val="20"/>
          <w:shd w:fill="auto" w:val="clear"/>
        </w:rPr>
        <w:br/>
        <w:t xml:space="preserve">Fernanda Gabriela Silva</w:t>
      </w:r>
      <w:r>
        <w:rPr>
          <w:rFonts w:ascii="Times New Roman" w:hAnsi="Times New Roman" w:cs="Times New Roman" w:eastAsia="Times New Roman"/>
          <w:color w:val="auto"/>
          <w:spacing w:val="0"/>
          <w:position w:val="0"/>
          <w:sz w:val="20"/>
          <w:shd w:fill="auto" w:val="clear"/>
          <w:vertAlign w:val="superscript"/>
        </w:rPr>
        <w:t xml:space="preserve">12</w:t>
      </w:r>
      <w:r>
        <w:rPr>
          <w:rFonts w:ascii="Times New Roman" w:hAnsi="Times New Roman" w:cs="Times New Roman" w:eastAsia="Times New Roman"/>
          <w:color w:val="auto"/>
          <w:spacing w:val="0"/>
          <w:position w:val="0"/>
          <w:sz w:val="20"/>
          <w:shd w:fill="auto" w:val="clear"/>
        </w:rPr>
        <w:t xml:space="preserve"> </w:t>
        <w:br/>
        <w:t xml:space="preserve">Gustavo Henrique Guido</w:t>
      </w:r>
      <w:r>
        <w:rPr>
          <w:rFonts w:ascii="Times New Roman" w:hAnsi="Times New Roman" w:cs="Times New Roman" w:eastAsia="Times New Roman"/>
          <w:color w:val="auto"/>
          <w:spacing w:val="0"/>
          <w:position w:val="0"/>
          <w:sz w:val="20"/>
          <w:shd w:fill="auto" w:val="clear"/>
          <w:vertAlign w:val="superscript"/>
        </w:rPr>
        <w:t xml:space="preserve">13</w:t>
      </w:r>
      <w:r>
        <w:rPr>
          <w:rFonts w:ascii="Times New Roman" w:hAnsi="Times New Roman" w:cs="Times New Roman" w:eastAsia="Times New Roman"/>
          <w:color w:val="auto"/>
          <w:spacing w:val="0"/>
          <w:position w:val="0"/>
          <w:sz w:val="20"/>
          <w:shd w:fill="auto" w:val="clear"/>
        </w:rPr>
        <w:br/>
        <w:t xml:space="preserve">Luccas Galdino de Oliveira Borges</w:t>
      </w:r>
      <w:r>
        <w:rPr>
          <w:rFonts w:ascii="Times New Roman" w:hAnsi="Times New Roman" w:cs="Times New Roman" w:eastAsia="Times New Roman"/>
          <w:color w:val="auto"/>
          <w:spacing w:val="0"/>
          <w:position w:val="0"/>
          <w:sz w:val="20"/>
          <w:shd w:fill="auto" w:val="clear"/>
          <w:vertAlign w:val="superscript"/>
        </w:rPr>
        <w:t xml:space="preserve">14</w:t>
      </w:r>
      <w:r>
        <w:rPr>
          <w:rFonts w:ascii="Times New Roman" w:hAnsi="Times New Roman" w:cs="Times New Roman" w:eastAsia="Times New Roman"/>
          <w:color w:val="auto"/>
          <w:spacing w:val="0"/>
          <w:position w:val="0"/>
          <w:sz w:val="20"/>
          <w:shd w:fill="auto" w:val="clear"/>
        </w:rPr>
        <w:br/>
        <w:t xml:space="preserve">Beatriz Cuiabano Arruda Borges</w:t>
      </w:r>
      <w:r>
        <w:rPr>
          <w:rFonts w:ascii="Times New Roman" w:hAnsi="Times New Roman" w:cs="Times New Roman" w:eastAsia="Times New Roman"/>
          <w:color w:val="auto"/>
          <w:spacing w:val="0"/>
          <w:position w:val="0"/>
          <w:sz w:val="20"/>
          <w:shd w:fill="auto" w:val="clear"/>
          <w:vertAlign w:val="superscript"/>
        </w:rPr>
        <w:t xml:space="preserve">15</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30" w:after="0" w:line="240"/>
        <w:ind w:right="0" w:left="5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RESUMO</w:t>
      </w:r>
    </w:p>
    <w:p>
      <w:pPr>
        <w:spacing w:before="30" w:after="0" w:line="240"/>
        <w:ind w:right="0" w:left="5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estudo examinou a ligação entre a Covid-19 e o aumento da probabilidade de problemas no coração por meio de uma revisão detalhada da literatura. O propósito foi analisar a frequência, a severidade e as consequências dos problemas cardíacos em pacientes com Covid-19, com o intuito de oferecer orientações para melhorar o tratamento clínico e as políticas de saúde pública. Seguindo o modelo PICO para a estruturação da pesquisa e critérios de inclusão rigorosos, a análise se concentrou em pesquisas que investigaram a ligação entre a infecção pelo SARS-CoV-2 e eventos adversos no coração. Os resultados indicaram um risco significativamente maior de problemas cardíacos em pacientes com Covid-19, havendo uma relação clara entre a gravidade da infecção viral e a gravidade dos problemas no coração. Estes resultados enfatizam a importância de estratégias específicas de prevenção e tratamento para reduzir os riscos cardíacos nessa população, ressaltando a necessidade de uma abordagem integrada no cuidado de pacientes com Covid-19 que já possuem doenças cardíacas ou estão em risco de desenvolvê-las.</w:t>
      </w:r>
    </w:p>
    <w:p>
      <w:pPr>
        <w:spacing w:before="0" w:after="0" w:line="240"/>
        <w:ind w:right="0" w:left="5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 Cirurgia, Cuidados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
        </w:numPr>
        <w:tabs>
          <w:tab w:val="left" w:pos="740" w:leader="none"/>
        </w:tabs>
        <w:spacing w:before="0" w:after="0" w:line="240"/>
        <w:ind w:right="0" w:left="74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2" w:after="0" w:line="360"/>
        <w:ind w:right="568"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interação do vírus com o sistema cardiovascular é multifacetada, envolvendo mecanismos diretos e indiretos. Diretamente, o vírus utiliza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receptor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enzima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conversora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angiotensina 2 (ACE2) para entrar nas células, um receptor amplamente expresso nos tecidos cardiovasculares,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células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endoteliais,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miócitos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fibroblastos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interação pode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disfunção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endotelial,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inflamação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manifestando-se como miocardite, disfunção ventricular, ou até falência cardíaca. Indiretamente, a resposta inflamatória sistêmica à infecção, caracterizada pela liberação de citocinas pró-inflamatórias, como IL-6 e TNF-</w:t>
      </w:r>
      <w:r>
        <w:rPr>
          <w:rFonts w:ascii="Times New Roman" w:hAnsi="Times New Roman" w:cs="Times New Roman" w:eastAsia="Times New Roman"/>
          <w:color w:val="auto"/>
          <w:spacing w:val="0"/>
          <w:position w:val="0"/>
          <w:sz w:val="24"/>
          <w:shd w:fill="auto" w:val="clear"/>
        </w:rPr>
        <w:t xml:space="preserve">α, pode exacerbar a disfun</w:t>
      </w:r>
      <w:r>
        <w:rPr>
          <w:rFonts w:ascii="Times New Roman" w:hAnsi="Times New Roman" w:cs="Times New Roman" w:eastAsia="Times New Roman"/>
          <w:color w:val="auto"/>
          <w:spacing w:val="0"/>
          <w:position w:val="0"/>
          <w:sz w:val="24"/>
          <w:shd w:fill="auto" w:val="clear"/>
        </w:rPr>
        <w:t xml:space="preserve">ção endotelial, promover a formação de trombos e agravar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aterosclerose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preexistente.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hipercoagulabilidade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pacientes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tromboembólicos, incluindo infarto do miocárdio e acidente vascular cerebral. Esse estado pró-trombótico é atribuído a uma combinação de ativação plaquetária, estase sanguínea e lesão endotelial, configurando um cenário propício para complicações cardiovasculares (Costa et al., 2020)</w:t>
      </w:r>
    </w:p>
    <w:p>
      <w:pPr>
        <w:spacing w:before="0" w:after="0" w:line="360"/>
        <w:ind w:right="566"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disfunção autonômica também foi observada em pacientes com Covid-19, possivelmente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arritmias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flutuações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 mecanismos fisiopatológicos é crucial para o desenvolvimento de estratégias terapêuticas direcionadas,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SARS-CoV-2,</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prevenir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ou</w:t>
      </w:r>
      <w:r>
        <w:rPr>
          <w:rFonts w:ascii="Times New Roman" w:hAnsi="Times New Roman" w:cs="Times New Roman" w:eastAsia="Times New Roman"/>
          <w:color w:val="auto"/>
          <w:spacing w:val="0"/>
          <w:position w:val="0"/>
          <w:sz w:val="24"/>
          <w:shd w:fill="auto" w:val="clear"/>
        </w:rPr>
        <w:t xml:space="preserve"> mitigar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cardiovasculares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(Hachul;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Almeida;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Scanavacca,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integração desse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fisiopatológico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proporciona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sólida para apreciar a complexidade das interações entre a Covid-19 e o sistema cardiovascular, enfatizando a importância de abordagens terapêuticas holísticas e personalizadas no manejo desses pacientes.</w:t>
      </w:r>
    </w:p>
    <w:p>
      <w:pPr>
        <w:spacing w:before="0" w:after="0" w:line="360"/>
        <w:ind w:right="570"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base nisto, é possível notar que a interação entre a Covid-19 e as complicações cardiovasculares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representa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área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investigação,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gravidade das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manifestações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observadas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vírus.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 ao redor do mundo começaram a desvendar um padrão preocupante de complicações cardiovasculares em pacientes com Covid-19, incluindo, mas não se limitando a, miocardite, insuficiência cardíaca, arritmias e eventos tromboembólicos. Essas complicações não apenas exacerbam o prognóstico de pacientes com histórico de doenças cardiovasculares, mas também apresentam desafios significativos no manejo de pacientes sem histórico prévio de doenças cardíacas A relevância desta investigação se aprofunda ao considerar o espectro de impacto da Covid-19,</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assintomáticos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exigindo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internações prolongadas e, em muitos casos, cuidados intensivos. A resposta inflamatória sistêmica desencadeada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SARS-CoV-2,</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juntamente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hipercoagulabilidade observado em pacientes graves, sugere mecanismos patogênicos subjacentes que podem predispor indivíduos a complicações cardiovasculares agudas e de longo prazo (Costa et al., </w:t>
      </w:r>
      <w:r>
        <w:rPr>
          <w:rFonts w:ascii="Times New Roman" w:hAnsi="Times New Roman" w:cs="Times New Roman" w:eastAsia="Times New Roman"/>
          <w:color w:val="auto"/>
          <w:spacing w:val="-2"/>
          <w:position w:val="0"/>
          <w:sz w:val="24"/>
          <w:shd w:fill="auto" w:val="clear"/>
        </w:rPr>
        <w:t xml:space="preserve">2020).</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5"/>
        </w:numPr>
        <w:tabs>
          <w:tab w:val="left" w:pos="740" w:leader="none"/>
        </w:tabs>
        <w:spacing w:before="30" w:after="0" w:line="240"/>
        <w:ind w:right="0" w:left="74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37" w:after="0" w:line="360"/>
        <w:ind w:right="568"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aprofundar a compreensão sobre "Como a pandemia de Covid-19 influenciou a incidência e a gravidade 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 cardiovasculares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pacientes diagnosticados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vírus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SARS-CoV-2?",</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meticulosamente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estruturada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abordagem metodológica detalhada e rigorosa. A concepção deste estudo foi orientada pelo modelo PICO (População, Intervenção, Comparação, Resultado), reconhecido como um pilar fundamental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Prática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Baseada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(PBE).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modelo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 facilita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formulação clara da questão de pesquisa, mas também guia a identificação e seleção precisa de estudos relevantes, conforme recomendado por Santos, Pimenta, e Nobre (2017).</w:t>
      </w:r>
    </w:p>
    <w:p>
      <w:pPr>
        <w:spacing w:before="0" w:after="0" w:line="360"/>
        <w:ind w:right="569"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exclusão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rigorosamente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assegurar a relevância e a qualidade dos estudos revisados. Foram incluídos artigos que abordassem diretamente a relação entre Covid-19 e complicações cardiovasculares, limitando-se a estudos com seres humanos, publicados em inglês ou português, entre janeiro de 2022 e dezembro de 2023. Foram excluídos estudos de caso único, séries de casos sem controle comparativo, comentários, editoriais, e revisões narrativas, visando concentrar-se em evidências de alta qualidade, como ensaios clínicos randomizados, coortes prospectivas e estudos observacionais com controle rigoroso.</w:t>
      </w:r>
    </w:p>
    <w:p>
      <w:pPr>
        <w:spacing w:before="1" w:after="0" w:line="360"/>
        <w:ind w:right="568"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qualidade metodológica dos estudos incluídos foi avaliada utilizando ferramentas de avaliação crítica específicas para cada tipo de estudo, como a escala de Jadad para ensaios clínicos randomizados e a escala de Newcastle-Ottawa para estudos de coorte e caso-controle (Jadad et al., 1996; Wells et al., 2011). Esta avaliação permitiu a exclusão de estudos com alto risco de viés, assegurando que as conclusões desta revisão se baseassem em evidências </w:t>
      </w:r>
      <w:r>
        <w:rPr>
          <w:rFonts w:ascii="Times New Roman" w:hAnsi="Times New Roman" w:cs="Times New Roman" w:eastAsia="Times New Roman"/>
          <w:color w:val="auto"/>
          <w:spacing w:val="-2"/>
          <w:position w:val="0"/>
          <w:sz w:val="24"/>
          <w:shd w:fill="auto" w:val="clear"/>
        </w:rPr>
        <w:t xml:space="preserve">confiáveis.</w:t>
      </w:r>
    </w:p>
    <w:p>
      <w:pPr>
        <w:spacing w:before="1" w:after="0" w:line="360"/>
        <w:ind w:right="568"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dados extraídos dos estudos selecionados foram sistematizados e analisados qualitativamente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quantitativamente,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aplicável.</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extraídas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incluíram</w:t>
      </w:r>
      <w:r>
        <w:rPr>
          <w:rFonts w:ascii="Times New Roman" w:hAnsi="Times New Roman" w:cs="Times New Roman" w:eastAsia="Times New Roman"/>
          <w:color w:val="auto"/>
          <w:spacing w:val="0"/>
          <w:position w:val="0"/>
          <w:sz w:val="24"/>
          <w:shd w:fill="auto" w:val="clear"/>
        </w:rPr>
        <w:t xml:space="preserve"> características da população estudada, tipos de complicações cardiovasculares reportadas, gravidade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severidade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 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cardiovasculares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adversos.</w:t>
      </w:r>
      <w:r>
        <w:rPr>
          <w:rFonts w:ascii="Times New Roman" w:hAnsi="Times New Roman" w:cs="Times New Roman" w:eastAsia="Times New Roman"/>
          <w:color w:val="auto"/>
          <w:spacing w:val="-13"/>
          <w:position w:val="0"/>
          <w:sz w:val="24"/>
          <w:shd w:fill="auto" w:val="clear"/>
        </w:rPr>
        <w:t xml:space="preserve"> </w:t>
      </w:r>
    </w:p>
    <w:p>
      <w:pPr>
        <w:numPr>
          <w:ilvl w:val="0"/>
          <w:numId w:val="19"/>
        </w:numPr>
        <w:tabs>
          <w:tab w:val="left" w:pos="740" w:leader="none"/>
        </w:tabs>
        <w:spacing w:before="0" w:after="0" w:line="240"/>
        <w:ind w:right="0" w:left="740"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RESULTADOS</w:t>
      </w:r>
    </w:p>
    <w:p>
      <w:pPr>
        <w:spacing w:before="139" w:after="0" w:line="360"/>
        <w:ind w:right="565" w:left="560" w:firstLine="707"/>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conduzida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o objetivo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elucidar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Covid- 19 influenciou a incidência e a gravidade das complicações cardiovasculares em pacientes diagnosticados com o vírus SARS-CoV-2 trouxe à luz resultados significativos e reveladores. Inicialmente, a pesquisa na base de dados da Biblioteca Virtual em Saúde (BVS), utilizando os descritores "COVID-19" e "Anormalidades Cardiovasculares", resultou em 123 estudos potencialmente relevantes. Após a aplicação de filtros de ano (2022 a 2023), idioma (inglês ou português)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assunto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refinado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56</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publicações. 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criteriosa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títulos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resumos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permitiu</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leitura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integral. Dessa investigação minuciosa, apenas 8 artigos foram identificados como diretamente respondentes à pergunta de pesquisa proposta, evidenciando um corpus de evidência especializado e focado para análise.</w:t>
      </w:r>
    </w:p>
    <w:p>
      <w:pPr>
        <w:spacing w:before="0" w:after="0" w:line="360"/>
        <w:ind w:right="565"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conjunto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estruturado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maneira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clara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acessível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mencionadas, 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compreensão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interações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 cardiovascular mas também destaca lacunas críticas no conhecimento atual, sugerindo direções valiosas para pesquisas futuras. Assim, os resultados desta revisão sistemática contribuem significativamente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oferecendo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robustas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podem informar práticas clínicas, políticas de saúde pública e estratégias de prevenção focadas na mitigação dos impactos cardiovasculares da pandemia de Covid-19.</w:t>
      </w:r>
    </w:p>
    <w:p>
      <w:pPr>
        <w:spacing w:before="13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
        </w:numPr>
        <w:tabs>
          <w:tab w:val="left" w:pos="740" w:leader="none"/>
        </w:tabs>
        <w:spacing w:before="0" w:after="0" w:line="240"/>
        <w:ind w:right="0" w:left="74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DISCUSSÃO</w:t>
      </w:r>
    </w:p>
    <w:p>
      <w:pPr>
        <w:spacing w:before="140" w:after="0" w:line="360"/>
        <w:ind w:right="566"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estudo meticuloso realizado por Ghodsi e colaboradores (2023) lança luz sobre as consequências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Síndrome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Inflamatória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Multissistêmica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Pediátrica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(MIS-C)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 à COVID-19, uma condição alarmante que tem preocupado profissionais de saúde em todo o mundo.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revela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parcela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considerável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crianças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MIS-C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sofreu de complicações cardiovasculares agudas, incluindo falha valvar, disfunção ventricular, e derrame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pericárdico,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colocando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severidade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Contudo,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aspecto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promissor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cardiovascular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notável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meses após o diagnóstico. Este achado não apenas fornece uma luz de esperança para os pacientes e suas famílias, mas também enfatiza a importância crítica de um acompanhamento clínico meticuloso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tempestivas.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Ghodsi</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testamento</w:t>
      </w:r>
      <w:r>
        <w:rPr>
          <w:rFonts w:ascii="Times New Roman" w:hAnsi="Times New Roman" w:cs="Times New Roman" w:eastAsia="Times New Roman"/>
          <w:color w:val="auto"/>
          <w:spacing w:val="0"/>
          <w:position w:val="0"/>
          <w:sz w:val="24"/>
          <w:shd w:fill="auto" w:val="clear"/>
        </w:rPr>
        <w:t xml:space="preserve"> à capacidade de recuperação dos jovens pacientes e à eficácia das estratégias de tratamento implementadas,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significativamente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complicações cardiovasculares na pediatria em tempos de pandemia.</w:t>
      </w:r>
    </w:p>
    <w:p>
      <w:pPr>
        <w:spacing w:before="0" w:after="0" w:line="360"/>
        <w:ind w:right="566"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uma análise pioneira, Chivers e seus colegas (2023) exploraram o impacto da COVID-19 em indivíduos com doença cardíaca congênita (CHD), abrangendo uma amostra representativa tanto de crianças quanto de adultos no Reino Unido. Este estudo multicêntrico, abrangendo um período crítico da pandemia, desvenda diferenças marcantes nas consequências 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pediátricos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adultos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ilustra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vividamente como adultos com condições cardíacas preexistentes enfrentam desafios significativamente maiores, incluindo altas taxas de hospitalização e mortalidade, especialmente aqueles com comorbidades complexas como hipertensão arterial pulmonar (PAH) e doenças genéticas associadas. Esta distinção sublinha a necessidade urgente de abordagens de tratamento individualizadas, que considerem a idade e as condições de saúde preexistentes, e destaca a importância de estratégias preventivas personalizadas para proteger essa população vulnerável contra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severos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trabalho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Chivers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chamado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adaptar as medidas de prevenção e tratamento à realidade complexa enfrentada por pacientes com CHD durante a pandemia.</w:t>
      </w:r>
    </w:p>
    <w:p>
      <w:pPr>
        <w:spacing w:before="0" w:after="0" w:line="360"/>
        <w:ind w:right="571"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investigação de Raj e sua equipe (2023) sobre os efeitos da pandemia de COVID-19 em indivíduos com doença cardíaca congênita adulta (ACHD) oferece uma perspectiva única e profundamente</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necessária</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desafios</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enfrentados</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Analisando</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um</w:t>
      </w:r>
      <w:r>
        <w:rPr>
          <w:rFonts w:ascii="Times New Roman" w:hAnsi="Times New Roman" w:cs="Times New Roman" w:eastAsia="Times New Roman"/>
          <w:color w:val="auto"/>
          <w:spacing w:val="0"/>
          <w:position w:val="0"/>
          <w:sz w:val="24"/>
          <w:shd w:fill="auto" w:val="clear"/>
        </w:rPr>
        <w:t xml:space="preserve"> vasto banco de dados, o estudo descobriu que pacientes ACHD diagnosticados com COVID-19 tiveram um aumento significativo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 hospitalar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complicações infecciosas, em comparação com a população em geral. Este trabalho destaca a importância crítica de medidas preventivas, como a vacinação e a observância rigorosa dos protocolos de saúde pública, para proteger os pacientes ACHD durante a pandemia. Ao identificar fatores de risco específicos, 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comorbidades,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Raj</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colaboradores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diretrizes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essenciais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gestão clínica e a tomada de decisões políticas, visando reduzir o impacto adverso da COVID- 19 nesse grupo vulnerável.</w:t>
      </w:r>
    </w:p>
    <w:p>
      <w:pPr>
        <w:spacing w:before="1" w:after="0" w:line="360"/>
        <w:ind w:right="566"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pesquisa realizada por Ekman-Joelsson e Sunnegårdh (2023) investiga o impacto da pandemia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passaram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infância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doenças cardíacas congênitas (CHD). Surpreendentemente, o estudo revela que, apesar das preocupações iniciais, a pandemia não resultou em um aumento significativo nas taxas de morbidade ou mortalidade entre esse grupo específico. Este achado desafia as expectativas anteriores e sugere que as medidas preventivas e de tratamento adotadas foram eficazes em mitigar o impacto potencial da COVID-19 em pacientes pediátricos com CHD pós-operatórios. Este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valiosa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pediátricos com CHD em um contexto pandêmico, oferecendo esperança e direção para futuras estratégias de cuidado e prevenção.</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30" w:after="0" w:line="360"/>
        <w:ind w:right="566"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estudo conduzido por Diaz et al., (2022), oferece uma análise profunda sobre como a pandemia de Covid-19 influenciou significativamente a incidência e a gravidade das complicações cardiovasculares em pacientes diagnosticados com o vírus SARS-CoV-2. Especificamente, a pesquisa destaca que pacientes com defeitos cardíacos congênitos hospitalizados devido à COVID-19 apresentaram uma propensão elevada a desenvolver complicações cardíacas graves, como insuficiência cardíaca, arritmias agudas e hipertensão pulmonar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descobertas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cruciais,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complicações cardiovasculares entre esta população específica, sublinhando a necessidade de vigilância e gestão aprimoradas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com condições cardíacas preexistentes durante a pandemia. Este trabalho de contribui valiosamente para a compreensão dos impactos diretos da COVID-19</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cardiovascular,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enriquecendo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existente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fornecendo insights essenciais para profissionais de saúde e pesquisadores na luta contra as consequências da pandemia.</w:t>
      </w:r>
    </w:p>
    <w:p>
      <w:pPr>
        <w:spacing w:before="0" w:after="0" w:line="360"/>
        <w:ind w:right="569"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estudo de Ji et al. não apenas destaca a eficácia dessas intervenções não farmacêuticas em um cenário de crise sanitária, mas também aponta para a possibilidade de redefinição das práticas padrão em procedimentos cardíacos pediátricos, mesmo fora do contexto pandêmico. Este trabalho contribui com uma camada adicional de compreensão sobre como a adaptação a novas normas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higiene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proteção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benéficos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prevenção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transmissão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viral, potencialmente reduzindo o risco de complicações perioperatórias. Assim, o estudo de Ji et al. oferece uma valiosa lição sobre a importância de integrar medidas preventivas robustas no cuidado de pacientes pediátricos com condições cardíacas, fornecendo evidências que podem influenciar práticas futuras e políticas de saúde pública visando a proteção dessa população vulnerável em qualquer circunstância de saúde global desafiadora.</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2"/>
        </w:numPr>
        <w:tabs>
          <w:tab w:val="left" w:pos="740" w:leader="none"/>
        </w:tabs>
        <w:spacing w:before="30" w:after="0" w:line="240"/>
        <w:ind w:right="0" w:left="74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7" w:after="0" w:line="360"/>
        <w:ind w:right="568"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trouxe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consigo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miríade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afetando todos os aspectos da vida humana, desde interações sociais até a economia global. No entanto, um dos impactos mais alarmantes e menos discutidos inicialmente foi seu efeito sobre a saúde cardiovascular. À medida que a pandemia evoluiu, tornou-se evidente que o SARS-CoV-2 não era apenas uma ameaça respiratória, mas também um significativo agente perturbador da saúde cardiovascular, afetando pacientes de maneiras complexas e variadas. Este artigo científico, através de uma revisão sistemática meticulosa, ilumina esse aspecto sombrio da pandemia, revelando como a Covid-19 exacerbou a incidência e a gravidade das complicações </w:t>
      </w:r>
      <w:r>
        <w:rPr>
          <w:rFonts w:ascii="Times New Roman" w:hAnsi="Times New Roman" w:cs="Times New Roman" w:eastAsia="Times New Roman"/>
          <w:color w:val="auto"/>
          <w:spacing w:val="-2"/>
          <w:position w:val="0"/>
          <w:sz w:val="24"/>
          <w:shd w:fill="auto" w:val="clear"/>
        </w:rPr>
        <w:t xml:space="preserve">cardiovasculares.</w:t>
      </w:r>
    </w:p>
    <w:p>
      <w:pPr>
        <w:spacing w:before="2" w:after="0" w:line="360"/>
        <w:ind w:right="568" w:left="560"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rigorosa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criteriosa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compilados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ofereceram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visão abrangente e detalhada dos riscos cardiovasculares associados à Covid-19. A tendência observada nos estudos incluídos na revisão aponta para um aumento significativo no risco de eventos cardiovasculares agudos e de longo prazo em pacientes infectados pelo vírus, desde condições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infarto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miocárdio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tromboembolismo,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 severas e complexas, como miocardite e disfunções cardíacas persistentes. O elo entre a gravidade da infecção por Covid-19 e o aumento do risco de complicações cardiovasculares é particularmente preocupante, sublinhando a necessidade de estratégias de gestão clínica e de saúde pública que priorizem a proteção cardiovascular dos infectados.</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30" w:after="0" w:line="240"/>
        <w:ind w:right="173" w:left="163"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2"/>
          <w:position w:val="0"/>
          <w:sz w:val="23"/>
          <w:shd w:fill="auto" w:val="clear"/>
        </w:rPr>
        <w:t xml:space="preserve">REFERÊNCIAS</w:t>
      </w:r>
    </w:p>
    <w:p>
      <w:pPr>
        <w:spacing w:before="263" w:after="0" w:line="240"/>
        <w:ind w:right="47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CHIVERS,</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et</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al.</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COVID-19</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in</w:t>
      </w:r>
      <w:r>
        <w:rPr>
          <w:rFonts w:ascii="Times New Roman" w:hAnsi="Times New Roman" w:cs="Times New Roman" w:eastAsia="Times New Roman"/>
          <w:color w:val="auto"/>
          <w:spacing w:val="-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congenital</w:t>
      </w:r>
      <w:r>
        <w:rPr>
          <w:rFonts w:ascii="Times New Roman" w:hAnsi="Times New Roman" w:cs="Times New Roman" w:eastAsia="Times New Roman"/>
          <w:color w:val="auto"/>
          <w:spacing w:val="-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heart disease</w:t>
      </w:r>
      <w:r>
        <w:rPr>
          <w:rFonts w:ascii="Times New Roman" w:hAnsi="Times New Roman" w:cs="Times New Roman" w:eastAsia="Times New Roman"/>
          <w:color w:val="auto"/>
          <w:spacing w:val="-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(COaCHeD)</w:t>
      </w:r>
      <w:r>
        <w:rPr>
          <w:rFonts w:ascii="Times New Roman" w:hAnsi="Times New Roman" w:cs="Times New Roman" w:eastAsia="Times New Roman"/>
          <w:color w:val="auto"/>
          <w:spacing w:val="-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study. Open</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Heart,</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v.</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10,</w:t>
      </w:r>
      <w:r>
        <w:rPr>
          <w:rFonts w:ascii="Times New Roman" w:hAnsi="Times New Roman" w:cs="Times New Roman" w:eastAsia="Times New Roman"/>
          <w:color w:val="auto"/>
          <w:spacing w:val="-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n. 2, p. e002356, 1 jul. 2023.</w:t>
      </w:r>
    </w:p>
    <w:p>
      <w:pPr>
        <w:spacing w:before="1"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COSTA,</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I.</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B.</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DA</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et</w:t>
      </w:r>
      <w:r>
        <w:rPr>
          <w:rFonts w:ascii="Times New Roman" w:hAnsi="Times New Roman" w:cs="Times New Roman" w:eastAsia="Times New Roman"/>
          <w:color w:val="auto"/>
          <w:spacing w:val="-1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al.</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The</w:t>
      </w:r>
      <w:r>
        <w:rPr>
          <w:rFonts w:ascii="Times New Roman" w:hAnsi="Times New Roman" w:cs="Times New Roman" w:eastAsia="Times New Roman"/>
          <w:color w:val="auto"/>
          <w:spacing w:val="-1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Heart</w:t>
      </w:r>
      <w:r>
        <w:rPr>
          <w:rFonts w:ascii="Times New Roman" w:hAnsi="Times New Roman" w:cs="Times New Roman" w:eastAsia="Times New Roman"/>
          <w:color w:val="auto"/>
          <w:spacing w:val="-1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and</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COVID-19:</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What</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Cardiologists</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Need</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to</w:t>
      </w:r>
      <w:r>
        <w:rPr>
          <w:rFonts w:ascii="Times New Roman" w:hAnsi="Times New Roman" w:cs="Times New Roman" w:eastAsia="Times New Roman"/>
          <w:color w:val="auto"/>
          <w:spacing w:val="-1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Know.</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Arquivos Brasileiros de Cardiologia, v. 114, n. 5, p. 805</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816, 1 maio 2020.</w:t>
      </w:r>
    </w:p>
    <w:p>
      <w:pPr>
        <w:spacing w:before="263" w:after="0" w:line="240"/>
        <w:ind w:right="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DIAZ,</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P.</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et</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al.</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Describing</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characteristics</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of</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adults</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with</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and</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without</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congenital</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heart</w:t>
      </w:r>
      <w:r>
        <w:rPr>
          <w:rFonts w:ascii="Times New Roman" w:hAnsi="Times New Roman" w:cs="Times New Roman" w:eastAsia="Times New Roman"/>
          <w:color w:val="auto"/>
          <w:spacing w:val="4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defects hospitalized with COVID </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19. Birth Defects Research, v. 114, n. 12, p. 652</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661, 11 jun. 2022.</w:t>
      </w:r>
    </w:p>
    <w:p>
      <w:pPr>
        <w:spacing w:before="2"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47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EKMAN</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JOELSSON,</w:t>
      </w:r>
      <w:r>
        <w:rPr>
          <w:rFonts w:ascii="Times New Roman" w:hAnsi="Times New Roman" w:cs="Times New Roman" w:eastAsia="Times New Roman"/>
          <w:color w:val="auto"/>
          <w:spacing w:val="-6"/>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B.;</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SUNNEGÅRDH,</w:t>
      </w:r>
      <w:r>
        <w:rPr>
          <w:rFonts w:ascii="Times New Roman" w:hAnsi="Times New Roman" w:cs="Times New Roman" w:eastAsia="Times New Roman"/>
          <w:color w:val="auto"/>
          <w:spacing w:val="-6"/>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J.</w:t>
      </w:r>
      <w:r>
        <w:rPr>
          <w:rFonts w:ascii="Times New Roman" w:hAnsi="Times New Roman" w:cs="Times New Roman" w:eastAsia="Times New Roman"/>
          <w:color w:val="auto"/>
          <w:spacing w:val="-6"/>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Congenital</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heart</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disease</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does</w:t>
      </w:r>
      <w:r>
        <w:rPr>
          <w:rFonts w:ascii="Times New Roman" w:hAnsi="Times New Roman" w:cs="Times New Roman" w:eastAsia="Times New Roman"/>
          <w:color w:val="auto"/>
          <w:spacing w:val="-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not</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entail</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an</w:t>
      </w:r>
      <w:r>
        <w:rPr>
          <w:rFonts w:ascii="Times New Roman" w:hAnsi="Times New Roman" w:cs="Times New Roman" w:eastAsia="Times New Roman"/>
          <w:color w:val="auto"/>
          <w:spacing w:val="-8"/>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increased risk for severe COVID </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19. Acta Paediatrica, 12 nov. 2022.</w:t>
      </w:r>
    </w:p>
    <w:p>
      <w:pPr>
        <w:spacing w:before="1"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GHODSI</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et</w:t>
      </w:r>
      <w:r>
        <w:rPr>
          <w:rFonts w:ascii="Times New Roman" w:hAnsi="Times New Roman" w:cs="Times New Roman" w:eastAsia="Times New Roman"/>
          <w:color w:val="auto"/>
          <w:spacing w:val="-1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al.</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Cardiac</w:t>
      </w:r>
      <w:r>
        <w:rPr>
          <w:rFonts w:ascii="Times New Roman" w:hAnsi="Times New Roman" w:cs="Times New Roman" w:eastAsia="Times New Roman"/>
          <w:color w:val="auto"/>
          <w:spacing w:val="-1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Outcome</w:t>
      </w:r>
      <w:r>
        <w:rPr>
          <w:rFonts w:ascii="Times New Roman" w:hAnsi="Times New Roman" w:cs="Times New Roman" w:eastAsia="Times New Roman"/>
          <w:color w:val="auto"/>
          <w:spacing w:val="-1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of</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Children</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With</w:t>
      </w:r>
      <w:r>
        <w:rPr>
          <w:rFonts w:ascii="Times New Roman" w:hAnsi="Times New Roman" w:cs="Times New Roman" w:eastAsia="Times New Roman"/>
          <w:color w:val="auto"/>
          <w:spacing w:val="-1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SARS-CoV-2</w:t>
      </w:r>
      <w:r>
        <w:rPr>
          <w:rFonts w:ascii="Times New Roman" w:hAnsi="Times New Roman" w:cs="Times New Roman" w:eastAsia="Times New Roman"/>
          <w:color w:val="auto"/>
          <w:spacing w:val="-1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Related</w:t>
      </w:r>
      <w:r>
        <w:rPr>
          <w:rFonts w:ascii="Times New Roman" w:hAnsi="Times New Roman" w:cs="Times New Roman" w:eastAsia="Times New Roman"/>
          <w:color w:val="auto"/>
          <w:spacing w:val="-13"/>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Multisystem</w:t>
      </w:r>
      <w:r>
        <w:rPr>
          <w:rFonts w:ascii="Times New Roman" w:hAnsi="Times New Roman" w:cs="Times New Roman" w:eastAsia="Times New Roman"/>
          <w:color w:val="auto"/>
          <w:spacing w:val="-1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Inflammatory Syndrome. Indian Pediatrics, v. 60, n. 5, p. 381</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384, 20 mar. 2023.</w:t>
      </w:r>
    </w:p>
    <w:p>
      <w:pPr>
        <w:spacing w:before="263" w:after="0" w:line="240"/>
        <w:ind w:right="568"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HACHUL, D.; ALMEIDA, T.; SCANAVACCA, M. Disautonomias Pós-COVID: Importância do Reconhecimento Precoce e da Implementação de Programas de Recuperação. Arquivos Brasileiros de Cardiologia, v. 120, n. 3, mar. 2023.</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569"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HONICKY,</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M.</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et</w:t>
      </w:r>
      <w:r>
        <w:rPr>
          <w:rFonts w:ascii="Times New Roman" w:hAnsi="Times New Roman" w:cs="Times New Roman" w:eastAsia="Times New Roman"/>
          <w:color w:val="auto"/>
          <w:spacing w:val="-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al.</w:t>
      </w:r>
      <w:r>
        <w:rPr>
          <w:rFonts w:ascii="Times New Roman" w:hAnsi="Times New Roman" w:cs="Times New Roman" w:eastAsia="Times New Roman"/>
          <w:color w:val="auto"/>
          <w:spacing w:val="-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Changes</w:t>
      </w:r>
      <w:r>
        <w:rPr>
          <w:rFonts w:ascii="Times New Roman" w:hAnsi="Times New Roman" w:cs="Times New Roman" w:eastAsia="Times New Roman"/>
          <w:color w:val="auto"/>
          <w:spacing w:val="-6"/>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in</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lifestyle</w:t>
      </w:r>
      <w:r>
        <w:rPr>
          <w:rFonts w:ascii="Times New Roman" w:hAnsi="Times New Roman" w:cs="Times New Roman" w:eastAsia="Times New Roman"/>
          <w:color w:val="auto"/>
          <w:spacing w:val="-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behaviors</w:t>
      </w:r>
      <w:r>
        <w:rPr>
          <w:rFonts w:ascii="Times New Roman" w:hAnsi="Times New Roman" w:cs="Times New Roman" w:eastAsia="Times New Roman"/>
          <w:color w:val="auto"/>
          <w:spacing w:val="-8"/>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during</w:t>
      </w:r>
      <w:r>
        <w:rPr>
          <w:rFonts w:ascii="Times New Roman" w:hAnsi="Times New Roman" w:cs="Times New Roman" w:eastAsia="Times New Roman"/>
          <w:color w:val="auto"/>
          <w:spacing w:val="-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the</w:t>
      </w:r>
      <w:r>
        <w:rPr>
          <w:rFonts w:ascii="Times New Roman" w:hAnsi="Times New Roman" w:cs="Times New Roman" w:eastAsia="Times New Roman"/>
          <w:color w:val="auto"/>
          <w:spacing w:val="-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COVID-19</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pandemic</w:t>
      </w:r>
      <w:r>
        <w:rPr>
          <w:rFonts w:ascii="Times New Roman" w:hAnsi="Times New Roman" w:cs="Times New Roman" w:eastAsia="Times New Roman"/>
          <w:color w:val="auto"/>
          <w:spacing w:val="-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in</w:t>
      </w:r>
      <w:r>
        <w:rPr>
          <w:rFonts w:ascii="Times New Roman" w:hAnsi="Times New Roman" w:cs="Times New Roman" w:eastAsia="Times New Roman"/>
          <w:color w:val="auto"/>
          <w:spacing w:val="-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children</w:t>
      </w:r>
      <w:r>
        <w:rPr>
          <w:rFonts w:ascii="Times New Roman" w:hAnsi="Times New Roman" w:cs="Times New Roman" w:eastAsia="Times New Roman"/>
          <w:color w:val="auto"/>
          <w:spacing w:val="-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and adolescents with congenital heart disease. PubMed, v. 41, p. e2022023</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e2022023, 1 jan. 2023.</w:t>
      </w:r>
    </w:p>
    <w:p>
      <w:pPr>
        <w:spacing w:before="2"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575"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JADAD, A. R. et al. Assessing the quality of reports of randomized clinical trials: Is blinding necessary? Controlled Clinical Trials, v. 17, n. 1, p. 1</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12, fev. 1996.</w:t>
      </w:r>
    </w:p>
    <w:p>
      <w:pPr>
        <w:spacing w:before="263" w:after="0" w:line="240"/>
        <w:ind w:right="571"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JI, W. et al. Do COVID-19 pandemic-related behavior changes affect perioperative respiratory adverse events in children undergoing cardiac interventional catheterization? BMC anesthesiology,</w:t>
      </w:r>
    </w:p>
    <w:p>
      <w:pPr>
        <w:spacing w:before="1" w:after="0" w:line="240"/>
        <w:ind w:right="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v.</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22,</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n. 1,</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p.</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406, 28</w:t>
      </w:r>
      <w:r>
        <w:rPr>
          <w:rFonts w:ascii="Times New Roman" w:hAnsi="Times New Roman" w:cs="Times New Roman" w:eastAsia="Times New Roman"/>
          <w:color w:val="auto"/>
          <w:spacing w:val="-1"/>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dez. </w:t>
      </w:r>
      <w:r>
        <w:rPr>
          <w:rFonts w:ascii="Times New Roman" w:hAnsi="Times New Roman" w:cs="Times New Roman" w:eastAsia="Times New Roman"/>
          <w:color w:val="auto"/>
          <w:spacing w:val="-2"/>
          <w:position w:val="0"/>
          <w:sz w:val="23"/>
          <w:shd w:fill="auto" w:val="clear"/>
        </w:rPr>
        <w:t xml:space="preserve">2022.</w:t>
      </w:r>
    </w:p>
    <w:p>
      <w:pPr>
        <w:spacing w:before="264" w:after="0" w:line="240"/>
        <w:ind w:right="572"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RAJ, K. et al. Mortality and Complications of COVID-19 Among Adult Congenital Heart Disease Patients: A Retrospective Cohort Study Using the National Inpatient Sample Database. Current Problems in Cardiology, v. 48, n. 6, p. 101644</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101644, 1 jun. 2023.</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64"/>
        <w:ind w:right="175" w:left="16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SANTOS,</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w:t>
      </w:r>
      <w:r>
        <w:rPr>
          <w:rFonts w:ascii="Times New Roman" w:hAnsi="Times New Roman" w:cs="Times New Roman" w:eastAsia="Times New Roman"/>
          <w:color w:val="auto"/>
          <w:spacing w:val="1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M.</w:t>
      </w:r>
      <w:r>
        <w:rPr>
          <w:rFonts w:ascii="Times New Roman" w:hAnsi="Times New Roman" w:cs="Times New Roman" w:eastAsia="Times New Roman"/>
          <w:color w:val="auto"/>
          <w:spacing w:val="1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DA</w:t>
      </w:r>
      <w:r>
        <w:rPr>
          <w:rFonts w:ascii="Times New Roman" w:hAnsi="Times New Roman" w:cs="Times New Roman" w:eastAsia="Times New Roman"/>
          <w:color w:val="auto"/>
          <w:spacing w:val="16"/>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w:t>
      </w:r>
      <w:r>
        <w:rPr>
          <w:rFonts w:ascii="Times New Roman" w:hAnsi="Times New Roman" w:cs="Times New Roman" w:eastAsia="Times New Roman"/>
          <w:color w:val="auto"/>
          <w:spacing w:val="18"/>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PIMENTA,</w:t>
      </w:r>
      <w:r>
        <w:rPr>
          <w:rFonts w:ascii="Times New Roman" w:hAnsi="Times New Roman" w:cs="Times New Roman" w:eastAsia="Times New Roman"/>
          <w:color w:val="auto"/>
          <w:spacing w:val="1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w:t>
      </w:r>
      <w:r>
        <w:rPr>
          <w:rFonts w:ascii="Times New Roman" w:hAnsi="Times New Roman" w:cs="Times New Roman" w:eastAsia="Times New Roman"/>
          <w:color w:val="auto"/>
          <w:spacing w:val="1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A.</w:t>
      </w:r>
      <w:r>
        <w:rPr>
          <w:rFonts w:ascii="Times New Roman" w:hAnsi="Times New Roman" w:cs="Times New Roman" w:eastAsia="Times New Roman"/>
          <w:color w:val="auto"/>
          <w:spacing w:val="1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DE</w:t>
      </w:r>
      <w:r>
        <w:rPr>
          <w:rFonts w:ascii="Times New Roman" w:hAnsi="Times New Roman" w:cs="Times New Roman" w:eastAsia="Times New Roman"/>
          <w:color w:val="auto"/>
          <w:spacing w:val="1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M.;</w:t>
      </w:r>
      <w:r>
        <w:rPr>
          <w:rFonts w:ascii="Times New Roman" w:hAnsi="Times New Roman" w:cs="Times New Roman" w:eastAsia="Times New Roman"/>
          <w:color w:val="auto"/>
          <w:spacing w:val="18"/>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NOBRE,</w:t>
      </w:r>
      <w:r>
        <w:rPr>
          <w:rFonts w:ascii="Times New Roman" w:hAnsi="Times New Roman" w:cs="Times New Roman" w:eastAsia="Times New Roman"/>
          <w:color w:val="auto"/>
          <w:spacing w:val="1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M.</w:t>
      </w:r>
      <w:r>
        <w:rPr>
          <w:rFonts w:ascii="Times New Roman" w:hAnsi="Times New Roman" w:cs="Times New Roman" w:eastAsia="Times New Roman"/>
          <w:color w:val="auto"/>
          <w:spacing w:val="1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R.</w:t>
      </w:r>
      <w:r>
        <w:rPr>
          <w:rFonts w:ascii="Times New Roman" w:hAnsi="Times New Roman" w:cs="Times New Roman" w:eastAsia="Times New Roman"/>
          <w:color w:val="auto"/>
          <w:spacing w:val="14"/>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C.</w:t>
      </w:r>
      <w:r>
        <w:rPr>
          <w:rFonts w:ascii="Times New Roman" w:hAnsi="Times New Roman" w:cs="Times New Roman" w:eastAsia="Times New Roman"/>
          <w:color w:val="auto"/>
          <w:spacing w:val="1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The</w:t>
      </w:r>
      <w:r>
        <w:rPr>
          <w:rFonts w:ascii="Times New Roman" w:hAnsi="Times New Roman" w:cs="Times New Roman" w:eastAsia="Times New Roman"/>
          <w:color w:val="auto"/>
          <w:spacing w:val="15"/>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PICO</w:t>
      </w:r>
      <w:r>
        <w:rPr>
          <w:rFonts w:ascii="Times New Roman" w:hAnsi="Times New Roman" w:cs="Times New Roman" w:eastAsia="Times New Roman"/>
          <w:color w:val="auto"/>
          <w:spacing w:val="17"/>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strategy</w:t>
      </w:r>
      <w:r>
        <w:rPr>
          <w:rFonts w:ascii="Times New Roman" w:hAnsi="Times New Roman" w:cs="Times New Roman" w:eastAsia="Times New Roman"/>
          <w:color w:val="auto"/>
          <w:spacing w:val="12"/>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for</w:t>
      </w:r>
      <w:r>
        <w:rPr>
          <w:rFonts w:ascii="Times New Roman" w:hAnsi="Times New Roman" w:cs="Times New Roman" w:eastAsia="Times New Roman"/>
          <w:color w:val="auto"/>
          <w:spacing w:val="18"/>
          <w:position w:val="0"/>
          <w:sz w:val="23"/>
          <w:shd w:fill="auto" w:val="clear"/>
        </w:rPr>
        <w:t xml:space="preserve"> </w:t>
      </w:r>
      <w:r>
        <w:rPr>
          <w:rFonts w:ascii="Times New Roman" w:hAnsi="Times New Roman" w:cs="Times New Roman" w:eastAsia="Times New Roman"/>
          <w:color w:val="auto"/>
          <w:spacing w:val="-5"/>
          <w:position w:val="0"/>
          <w:sz w:val="23"/>
          <w:shd w:fill="auto" w:val="clear"/>
        </w:rPr>
        <w:t xml:space="preserve">the</w:t>
      </w:r>
    </w:p>
    <w:p>
      <w:pPr>
        <w:spacing w:before="0" w:after="0" w:line="240"/>
        <w:ind w:right="571"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research question construction and evidence search. Revista Latino-Americana de Enfermagem, v. 15, n. 3, p. 508</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511, 1 jun. 2007.</w:t>
      </w:r>
    </w:p>
    <w:p>
      <w:pPr>
        <w:spacing w:before="1"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1" w:after="0" w:line="240"/>
        <w:ind w:right="567"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SUN, K. et al. Association of Right Ventricular Dilation on Echocardiogram With In-Hospital Mortality Among Patients Hospitalized With COVID-19 Compared With Bacterial Pneumonia. Journal of the American Society of Echocardiography, v. 36, n. 5, p. 558</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562, 1 maio 2023.</w:t>
      </w:r>
    </w:p>
    <w:p>
      <w:pPr>
        <w:spacing w:before="262" w:after="0" w:line="240"/>
        <w:ind w:right="569" w:left="56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WILLIAMS, S. G. et al. Clinical risk associated with COVID-19 among 86000 patients with congenital heart disease. Open Heart, v. 10, n. 2, p. e002415</w:t>
      </w: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e002415, 1 dez. 2023.</w:t>
      </w:r>
    </w:p>
    <w:p>
      <w:pPr>
        <w:spacing w:before="1" w:after="0" w:line="240"/>
        <w:ind w:right="0" w:left="0" w:firstLine="0"/>
        <w:jc w:val="left"/>
        <w:rPr>
          <w:rFonts w:ascii="Times New Roman" w:hAnsi="Times New Roman" w:cs="Times New Roman" w:eastAsia="Times New Roman"/>
          <w:color w:val="auto"/>
          <w:spacing w:val="0"/>
          <w:position w:val="0"/>
          <w:sz w:val="23"/>
          <w:shd w:fill="auto" w:val="clear"/>
        </w:rPr>
      </w:pPr>
    </w:p>
    <w:p>
      <w:pPr>
        <w:tabs>
          <w:tab w:val="left" w:pos="2231" w:leader="none"/>
          <w:tab w:val="left" w:pos="3441" w:leader="none"/>
          <w:tab w:val="left" w:pos="5834" w:leader="none"/>
          <w:tab w:val="left" w:pos="7384" w:leader="none"/>
          <w:tab w:val="left" w:pos="9425" w:leader="none"/>
        </w:tabs>
        <w:spacing w:before="0" w:after="0" w:line="240"/>
        <w:ind w:right="572"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WELLS, G. et al. The Newcastle-Ottawa Scale (NOS) for assessing the quality of nonrandomised </w:t>
      </w:r>
      <w:r>
        <w:rPr>
          <w:rFonts w:ascii="Times New Roman" w:hAnsi="Times New Roman" w:cs="Times New Roman" w:eastAsia="Times New Roman"/>
          <w:color w:val="auto"/>
          <w:spacing w:val="-2"/>
          <w:position w:val="0"/>
          <w:sz w:val="23"/>
          <w:shd w:fill="auto" w:val="clear"/>
        </w:rPr>
        <w:t xml:space="preserve">studies</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5"/>
          <w:position w:val="0"/>
          <w:sz w:val="23"/>
          <w:shd w:fill="auto" w:val="clear"/>
        </w:rPr>
        <w:t xml:space="preserve">in</w:t>
      </w:r>
      <w:r>
        <w:rPr>
          <w:rFonts w:ascii="Times New Roman" w:hAnsi="Times New Roman" w:cs="Times New Roman" w:eastAsia="Times New Roman"/>
          <w:color w:val="auto"/>
          <w:spacing w:val="0"/>
          <w:position w:val="0"/>
          <w:sz w:val="23"/>
          <w:shd w:fill="auto" w:val="clear"/>
        </w:rPr>
        <w:tab/>
        <w:t xml:space="preserve">meta-</w:t>
      </w:r>
      <w:r>
        <w:rPr>
          <w:rFonts w:ascii="Times New Roman" w:hAnsi="Times New Roman" w:cs="Times New Roman" w:eastAsia="Times New Roman"/>
          <w:color w:val="auto"/>
          <w:spacing w:val="-2"/>
          <w:position w:val="0"/>
          <w:sz w:val="23"/>
          <w:shd w:fill="auto" w:val="clear"/>
        </w:rPr>
        <w:t xml:space="preserve">analyses.</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2"/>
          <w:position w:val="0"/>
          <w:sz w:val="23"/>
          <w:shd w:fill="auto" w:val="clear"/>
        </w:rPr>
        <w:t xml:space="preserve">2011.</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2"/>
          <w:position w:val="0"/>
          <w:sz w:val="23"/>
          <w:shd w:fill="auto" w:val="clear"/>
        </w:rPr>
        <w:t xml:space="preserve">Disponível</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5"/>
          <w:position w:val="0"/>
          <w:sz w:val="23"/>
          <w:shd w:fill="auto" w:val="clear"/>
        </w:rPr>
        <w:t xml:space="preserve">em:</w:t>
      </w:r>
    </w:p>
    <w:p>
      <w:pPr>
        <w:spacing w:before="0" w:after="0" w:line="263"/>
        <w:ind w:right="0" w:left="56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2"/>
          <w:position w:val="0"/>
          <w:sz w:val="23"/>
          <w:shd w:fill="auto" w:val="clear"/>
        </w:rPr>
        <w:t xml:space="preserve">&lt;https://</w:t>
      </w:r>
      <w:hyperlink xmlns:r="http://schemas.openxmlformats.org/officeDocument/2006/relationships" r:id="docRId2">
        <w:r>
          <w:rPr>
            <w:rFonts w:ascii="Times New Roman" w:hAnsi="Times New Roman" w:cs="Times New Roman" w:eastAsia="Times New Roman"/>
            <w:color w:val="0000FF"/>
            <w:spacing w:val="-2"/>
            <w:position w:val="0"/>
            <w:sz w:val="23"/>
            <w:u w:val="single"/>
            <w:shd w:fill="auto" w:val="clear"/>
          </w:rPr>
          <w:t xml:space="preserve">www.ohri.ca/programs/clinical_epidemiology/oxford.asp</w:t>
        </w:r>
        <w:r>
          <w:rPr>
            <w:rFonts w:ascii="Times New Roman" w:hAnsi="Times New Roman" w:cs="Times New Roman" w:eastAsia="Times New Roman"/>
            <w:color w:val="0000FF"/>
            <w:spacing w:val="-2"/>
            <w:position w:val="0"/>
            <w:sz w:val="23"/>
            <w:shd w:fill="auto" w:val="clear"/>
          </w:rPr>
          <w:t xml:space="preserve"> HYPERLINK "http://www.ohri.ca/programs/clinical_epidemiology/oxford.asp"</w:t>
        </w:r>
        <w:r>
          <w:rPr>
            <w:rFonts w:ascii="Times New Roman" w:hAnsi="Times New Roman" w:cs="Times New Roman" w:eastAsia="Times New Roman"/>
            <w:color w:val="0000FF"/>
            <w:spacing w:val="-2"/>
            <w:position w:val="0"/>
            <w:sz w:val="23"/>
            <w:u w:val="single"/>
            <w:shd w:fill="auto" w:val="clear"/>
          </w:rPr>
          <w:t xml:space="preserve">&gt;</w:t>
        </w:r>
        <w:r>
          <w:rPr>
            <w:rFonts w:ascii="Times New Roman" w:hAnsi="Times New Roman" w:cs="Times New Roman" w:eastAsia="Times New Roman"/>
            <w:color w:val="0000FF"/>
            <w:spacing w:val="-2"/>
            <w:position w:val="0"/>
            <w:sz w:val="23"/>
            <w:shd w:fill="auto" w:val="clear"/>
          </w:rPr>
          <w:t xml:space="preserve"> HYPERLINK "http://www.ohri.ca/programs/clinical_epidemiology/oxford.asp"</w:t>
        </w:r>
        <w:r>
          <w:rPr>
            <w:rFonts w:ascii="Times New Roman" w:hAnsi="Times New Roman" w:cs="Times New Roman" w:eastAsia="Times New Roman"/>
            <w:color w:val="0000FF"/>
            <w:spacing w:val="-2"/>
            <w:position w:val="0"/>
            <w:sz w:val="23"/>
            <w:u w:val="single"/>
            <w:shd w:fill="auto" w:val="clear"/>
          </w:rPr>
          <w:t xml:space="preserve">.</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5">
    <w:abstractNumId w:val="18"/>
  </w:num>
  <w:num w:numId="19">
    <w:abstractNumId w:val="12"/>
  </w:num>
  <w:num w:numId="23">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ohri.ca/programs/clinical_epidemiology/oxford.asp" Id="docRId2" Type="http://schemas.openxmlformats.org/officeDocument/2006/relationships/hyperlink" /><Relationship Target="styles.xml" Id="docRId4" Type="http://schemas.openxmlformats.org/officeDocument/2006/relationships/styles" /></Relationships>
</file>