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c0c0c0" w:space="0" w:sz="8" w:val="single"/>
          <w:left w:space="0" w:sz="0" w:val="nil"/>
          <w:bottom w:space="0" w:sz="0" w:val="nil"/>
          <w:right w:space="0" w:sz="0" w:val="nil"/>
          <w:between w:space="0" w:sz="0" w:val="nil"/>
        </w:pBdr>
        <w:spacing w:after="0" w:before="1100" w:line="360" w:lineRule="auto"/>
        <w:ind w:left="5" w:hanging="7"/>
        <w:jc w:val="left"/>
        <w:rPr>
          <w:color w:val="000000"/>
          <w:sz w:val="40"/>
          <w:szCs w:val="40"/>
        </w:rPr>
      </w:pPr>
      <w:bookmarkStart w:colFirst="0" w:colLast="0" w:name="_gjdgxs" w:id="0"/>
      <w:bookmarkEnd w:id="0"/>
      <w:r w:rsidDel="00000000" w:rsidR="00000000" w:rsidRPr="00000000">
        <w:rPr>
          <w:color w:val="c0c0c0"/>
          <w:sz w:val="72"/>
          <w:szCs w:val="72"/>
          <w:rtl w:val="0"/>
        </w:rPr>
        <w:t xml:space="preserve">Resultado de Pesquisa</w:t>
      </w:r>
      <w:r w:rsidDel="00000000" w:rsidR="00000000" w:rsidRPr="00000000">
        <w:rPr>
          <w:color w:val="000000"/>
          <w:sz w:val="40"/>
          <w:szCs w:val="40"/>
          <w:rtl w:val="0"/>
        </w:rPr>
        <w:tab/>
      </w:r>
    </w:p>
    <w:p w:rsidR="00000000" w:rsidDel="00000000" w:rsidP="00000000" w:rsidRDefault="00000000" w:rsidRPr="00000000" w14:paraId="00000002">
      <w:pPr>
        <w:spacing w:line="360" w:lineRule="auto"/>
        <w:ind w:left="2" w:hanging="4"/>
        <w:jc w:val="left"/>
        <w:rPr>
          <w:sz w:val="28"/>
          <w:szCs w:val="28"/>
        </w:rPr>
        <w:sectPr>
          <w:headerReference r:id="rId6" w:type="default"/>
          <w:footerReference r:id="rId7" w:type="default"/>
          <w:pgSz w:h="16840" w:w="11907" w:orient="portrait"/>
          <w:pgMar w:bottom="1440" w:top="1440" w:left="1800" w:right="1800" w:header="720" w:footer="720"/>
          <w:pgNumType w:start="1"/>
        </w:sectPr>
      </w:pPr>
      <w:r w:rsidDel="00000000" w:rsidR="00000000" w:rsidRPr="00000000">
        <w:rPr>
          <w:sz w:val="44"/>
          <w:szCs w:val="44"/>
          <w:rtl w:val="0"/>
        </w:rPr>
        <w:t xml:space="preserve">AVALIAÇÃO DA COMPOSIÇÃO QUÍMICA E DIGESTIBILIDADE DOS NUTRIENTES DO MILHO HIDROPÔNICO PARA FRANGOS DE CORTE DE CRESCIMENTO LENTO</w:t>
      </w:r>
      <w:r w:rsidDel="00000000" w:rsidR="00000000" w:rsidRPr="00000000">
        <w:rPr>
          <w:rtl w:val="0"/>
        </w:rPr>
      </w:r>
    </w:p>
    <w:p w:rsidR="00000000" w:rsidDel="00000000" w:rsidP="00000000" w:rsidRDefault="00000000" w:rsidRPr="00000000" w14:paraId="00000003">
      <w:pPr>
        <w:spacing w:line="360" w:lineRule="auto"/>
        <w:ind w:left="1" w:hanging="3"/>
        <w:jc w:val="right"/>
        <w:rPr>
          <w:sz w:val="28"/>
          <w:szCs w:val="28"/>
        </w:rPr>
      </w:pPr>
      <w:r w:rsidDel="00000000" w:rsidR="00000000" w:rsidRPr="00000000">
        <w:rPr>
          <w:rtl w:val="0"/>
        </w:rPr>
      </w:r>
    </w:p>
    <w:p w:rsidR="00000000" w:rsidDel="00000000" w:rsidP="00000000" w:rsidRDefault="00000000" w:rsidRPr="00000000" w14:paraId="00000004">
      <w:pPr>
        <w:spacing w:line="276" w:lineRule="auto"/>
        <w:ind w:left="1" w:hanging="3"/>
        <w:jc w:val="right"/>
        <w:rPr>
          <w:b w:val="1"/>
          <w:sz w:val="28"/>
          <w:szCs w:val="28"/>
        </w:rPr>
      </w:pPr>
      <w:r w:rsidDel="00000000" w:rsidR="00000000" w:rsidRPr="00000000">
        <w:rPr>
          <w:b w:val="1"/>
          <w:sz w:val="28"/>
          <w:szCs w:val="28"/>
          <w:rtl w:val="0"/>
        </w:rPr>
        <w:t xml:space="preserve">Erlane Bezerra Pacheco, UFNT, erlane.pacheco@mail.uft.edu.br</w:t>
      </w:r>
    </w:p>
    <w:p w:rsidR="00000000" w:rsidDel="00000000" w:rsidP="00000000" w:rsidRDefault="00000000" w:rsidRPr="00000000" w14:paraId="00000005">
      <w:pPr>
        <w:spacing w:line="276" w:lineRule="auto"/>
        <w:ind w:left="1" w:hanging="3"/>
        <w:jc w:val="right"/>
        <w:rPr>
          <w:b w:val="1"/>
          <w:sz w:val="28"/>
          <w:szCs w:val="28"/>
        </w:rPr>
      </w:pPr>
      <w:r w:rsidDel="00000000" w:rsidR="00000000" w:rsidRPr="00000000">
        <w:rPr>
          <w:b w:val="1"/>
          <w:sz w:val="28"/>
          <w:szCs w:val="28"/>
          <w:rtl w:val="0"/>
        </w:rPr>
        <w:t xml:space="preserve">Jéssica Alves dos Santos, UFNT, jessica.santos1@mail.uft.edu.br</w:t>
      </w:r>
    </w:p>
    <w:p w:rsidR="00000000" w:rsidDel="00000000" w:rsidP="00000000" w:rsidRDefault="00000000" w:rsidRPr="00000000" w14:paraId="00000006">
      <w:pPr>
        <w:spacing w:line="276" w:lineRule="auto"/>
        <w:ind w:left="1" w:hanging="3"/>
        <w:jc w:val="right"/>
        <w:rPr>
          <w:b w:val="1"/>
          <w:sz w:val="28"/>
          <w:szCs w:val="28"/>
        </w:rPr>
      </w:pPr>
      <w:r w:rsidDel="00000000" w:rsidR="00000000" w:rsidRPr="00000000">
        <w:rPr>
          <w:b w:val="1"/>
          <w:sz w:val="28"/>
          <w:szCs w:val="28"/>
          <w:rtl w:val="0"/>
        </w:rPr>
        <w:t xml:space="preserve">Danilo Vargas Gonçalves Vieira, UFNT, danilo.vieira@ufnt.edu.br</w:t>
      </w:r>
    </w:p>
    <w:tbl>
      <w:tblPr>
        <w:tblStyle w:val="Table1"/>
        <w:tblW w:w="830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07"/>
        <w:tblGridChange w:id="0">
          <w:tblGrid>
            <w:gridCol w:w="8307"/>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tcPr>
          <w:p w:rsidR="00000000" w:rsidDel="00000000" w:rsidP="00000000" w:rsidRDefault="00000000" w:rsidRPr="00000000" w14:paraId="00000007">
            <w:pPr>
              <w:spacing w:line="327" w:lineRule="auto"/>
              <w:ind w:left="0" w:hanging="2"/>
              <w:jc w:val="right"/>
              <w:rPr>
                <w:rFonts w:ascii="Roboto" w:cs="Roboto" w:eastAsia="Roboto" w:hAnsi="Roboto"/>
                <w:b w:val="1"/>
                <w:color w:val="222222"/>
                <w:sz w:val="21"/>
                <w:szCs w:val="21"/>
              </w:rPr>
            </w:pPr>
            <w:r w:rsidDel="00000000" w:rsidR="00000000" w:rsidRPr="00000000">
              <w:rPr>
                <w:rtl w:val="0"/>
              </w:rPr>
            </w:r>
          </w:p>
        </w:tc>
      </w:tr>
    </w:tbl>
    <w:p w:rsidR="00000000" w:rsidDel="00000000" w:rsidP="00000000" w:rsidRDefault="00000000" w:rsidRPr="00000000" w14:paraId="00000008">
      <w:pPr>
        <w:spacing w:after="0" w:before="0" w:line="360" w:lineRule="auto"/>
        <w:ind w:left="0" w:hanging="2"/>
        <w:rPr/>
        <w:sectPr>
          <w:headerReference r:id="rId8" w:type="default"/>
          <w:type w:val="continuous"/>
          <w:pgSz w:h="16840" w:w="11907" w:orient="portrait"/>
          <w:pgMar w:bottom="1440" w:top="1440" w:left="1800" w:right="1800" w:header="720" w:footer="720"/>
        </w:sectPr>
      </w:pPr>
      <w:r w:rsidDel="00000000" w:rsidR="00000000" w:rsidRPr="00000000">
        <w:rPr>
          <w:rtl w:val="0"/>
        </w:rPr>
      </w:r>
    </w:p>
    <w:bookmarkStart w:colFirst="0" w:colLast="0" w:name="30j0zll" w:id="1"/>
    <w:bookmarkEnd w:id="1"/>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Apresentação e Justificativa</w:t>
      </w:r>
    </w:p>
    <w:p w:rsidR="00000000" w:rsidDel="00000000" w:rsidP="00000000" w:rsidRDefault="00000000" w:rsidRPr="00000000" w14:paraId="0000000A">
      <w:pPr>
        <w:spacing w:line="360" w:lineRule="auto"/>
        <w:ind w:left="0" w:hanging="2"/>
        <w:rPr/>
      </w:pPr>
      <w:r w:rsidDel="00000000" w:rsidR="00000000" w:rsidRPr="00000000">
        <w:rPr>
          <w:rtl w:val="0"/>
        </w:rPr>
        <w:t xml:space="preserve">   </w:t>
        <w:tab/>
        <w:t xml:space="preserve">Dentre as atividades do agronegócio brasileiro, a avicultura é a mais afetada pela alta dos insumos para preparação da ração dos animais. Variações de preço da dieta implicam em alterações nos custos de produção e retorno direto para os proprietários de granjas, sejam com produção de frangos industriais ou aquelas granjas de avicultura alternativa praticadas de forma intensiva, ou seja, esta última também tem na dieta das aves (frangos, poedeiras comerciais, matrizes pesadas etc.) fator importante para o desempenho satisfatório.</w:t>
      </w:r>
    </w:p>
    <w:p w:rsidR="00000000" w:rsidDel="00000000" w:rsidP="00000000" w:rsidRDefault="00000000" w:rsidRPr="00000000" w14:paraId="0000000B">
      <w:pPr>
        <w:spacing w:line="360" w:lineRule="auto"/>
        <w:ind w:left="0" w:hanging="2"/>
        <w:rPr/>
      </w:pPr>
      <w:r w:rsidDel="00000000" w:rsidR="00000000" w:rsidRPr="00000000">
        <w:rPr>
          <w:rtl w:val="0"/>
        </w:rPr>
        <w:t xml:space="preserve"> </w:t>
        <w:tab/>
        <w:t xml:space="preserve">O uso de alimentos alternativos ao milho e farelo de soja nas formulações de dietas para monogástricos é crucial do ponto de vista de retorno econômico, todavia, é imperativo avaliar o alimento e o desempenho dos animais ao consumirem tais ingredientes.</w:t>
      </w:r>
    </w:p>
    <w:p w:rsidR="00000000" w:rsidDel="00000000" w:rsidP="00000000" w:rsidRDefault="00000000" w:rsidRPr="00000000" w14:paraId="0000000C">
      <w:pPr>
        <w:spacing w:line="360" w:lineRule="auto"/>
        <w:ind w:left="0" w:hanging="2"/>
        <w:rPr/>
      </w:pPr>
      <w:r w:rsidDel="00000000" w:rsidR="00000000" w:rsidRPr="00000000">
        <w:rPr>
          <w:rtl w:val="0"/>
        </w:rPr>
        <w:t xml:space="preserve"> </w:t>
        <w:tab/>
        <w:t xml:space="preserve">O milho tem seu uso bastante difundido na alimentação animal e é um dos principais fornecedores de energia nas formulações para aves. Possui alta digestibilidade de aminoácidos, e valores altos de energia metabolizável para aves (Rostagno et al., 2017). Contudo, a alta nos preços do milho tem limitado seu uso na alimentação animal de modo geral.</w:t>
      </w:r>
    </w:p>
    <w:p w:rsidR="00000000" w:rsidDel="00000000" w:rsidP="00000000" w:rsidRDefault="00000000" w:rsidRPr="00000000" w14:paraId="0000000D">
      <w:pPr>
        <w:spacing w:line="360" w:lineRule="auto"/>
        <w:ind w:left="0" w:hanging="2"/>
        <w:rPr>
          <w:b w:val="1"/>
        </w:rPr>
      </w:pPr>
      <w:r w:rsidDel="00000000" w:rsidR="00000000" w:rsidRPr="00000000">
        <w:rPr>
          <w:rtl w:val="0"/>
        </w:rPr>
        <w:t xml:space="preserve"> </w:t>
        <w:tab/>
        <w:t xml:space="preserve">O sistema de hidroponia na produção de forragem é antigo e bastante difundido (Campêlo et al., 2007; Araújo et al., 2008; Píccolo et al., 2013). Dessa maneira, o milho hidropônico surgiu como alternativa aos sistemas convencionais de produção de grãos. É de fácil cultivo e adubação, pequeno intervalo entre semeadura e colheita, bom rendimento de matéria seca e com altos teores de proteína bruta (Almeida et al., 2021; Holanda et al., 2021). </w:t>
      </w:r>
      <w:r w:rsidDel="00000000" w:rsidR="00000000" w:rsidRPr="00000000">
        <w:rPr>
          <w:rtl w:val="0"/>
        </w:rPr>
      </w:r>
    </w:p>
    <w:p w:rsidR="00000000" w:rsidDel="00000000" w:rsidP="00000000" w:rsidRDefault="00000000" w:rsidRPr="00000000" w14:paraId="0000000E">
      <w:pPr>
        <w:spacing w:line="360" w:lineRule="auto"/>
        <w:ind w:left="0" w:hanging="2"/>
        <w:rPr/>
      </w:pPr>
      <w:r w:rsidDel="00000000" w:rsidR="00000000" w:rsidRPr="00000000">
        <w:rPr>
          <w:rtl w:val="0"/>
        </w:rPr>
        <w:t xml:space="preserve"> </w:t>
        <w:tab/>
        <w:t xml:space="preserve">Trabalhos que avaliem o uso de milho hidropônico na dieta de frangos de corte, poedeiras comerciais, matrizes pesadas e suínos são escassos. </w:t>
      </w:r>
    </w:p>
    <w:p w:rsidR="00000000" w:rsidDel="00000000" w:rsidP="00000000" w:rsidRDefault="00000000" w:rsidRPr="00000000" w14:paraId="0000000F">
      <w:pPr>
        <w:spacing w:line="360" w:lineRule="auto"/>
        <w:ind w:left="0" w:hanging="2"/>
        <w:rPr/>
      </w:pPr>
      <w:r w:rsidDel="00000000" w:rsidR="00000000" w:rsidRPr="00000000">
        <w:rPr>
          <w:rtl w:val="0"/>
        </w:rPr>
        <w:t xml:space="preserve"> </w:t>
        <w:tab/>
        <w:t xml:space="preserve">A precisão na utilização dos alimentos na dieta dos animais, sobretudo aves e suínos, está na determinação da composição química do alimento e a avaliação do mesmo em termos de digestibilidade dos nutrientes presentes, assim como a determinação do aproveitamento da energia e proteína do alimento pelo animal.</w:t>
      </w:r>
    </w:p>
    <w:p w:rsidR="00000000" w:rsidDel="00000000" w:rsidP="00000000" w:rsidRDefault="00000000" w:rsidRPr="00000000" w14:paraId="00000010">
      <w:pPr>
        <w:spacing w:line="360" w:lineRule="auto"/>
        <w:ind w:left="0" w:hanging="2"/>
        <w:rPr/>
      </w:pPr>
      <w:r w:rsidDel="00000000" w:rsidR="00000000" w:rsidRPr="00000000">
        <w:rPr>
          <w:rtl w:val="0"/>
        </w:rPr>
        <w:t xml:space="preserve">Várias são as metodologias usadas para as avaliações supracitadas. No entanto, Sakomura e Rostagno (2016) descrevem que a Metodologia de Coleta Total de Excretas, com uso do marcador fecal/excretas, para as determinações descritas acima, é a mais usada e produz resultados satisfatórios tanto do ponto de vista econômico quanto do desempenho das aves. </w:t>
      </w:r>
    </w:p>
    <w:p w:rsidR="00000000" w:rsidDel="00000000" w:rsidP="00000000" w:rsidRDefault="00000000" w:rsidRPr="00000000" w14:paraId="00000011">
      <w:pPr>
        <w:spacing w:line="360" w:lineRule="auto"/>
        <w:ind w:left="0" w:hanging="2"/>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Objetivos</w:t>
      </w:r>
    </w:p>
    <w:p w:rsidR="00000000" w:rsidDel="00000000" w:rsidP="00000000" w:rsidRDefault="00000000" w:rsidRPr="00000000" w14:paraId="00000013">
      <w:pPr>
        <w:spacing w:line="360" w:lineRule="auto"/>
        <w:ind w:left="0" w:hanging="2"/>
        <w:rPr/>
      </w:pPr>
      <w:r w:rsidDel="00000000" w:rsidR="00000000" w:rsidRPr="00000000">
        <w:rPr>
          <w:rtl w:val="0"/>
        </w:rPr>
        <w:t xml:space="preserve">a) Determinar a composição química do milho hidropônico, das dietas experimentais e das excretas em: matéria seca; proteína bruta; FDN, FDA e lignina; b) Determinar a digestibilidade e os coeficientes de digestibilidade do alimento e das dietas experimentais em: matéria seca, proteína bruta, FDN, FDA e lignina</w:t>
      </w:r>
    </w:p>
    <w:p w:rsidR="00000000" w:rsidDel="00000000" w:rsidP="00000000" w:rsidRDefault="00000000" w:rsidRPr="00000000" w14:paraId="00000014">
      <w:pPr>
        <w:spacing w:line="360" w:lineRule="auto"/>
        <w:ind w:left="0" w:hanging="2"/>
        <w:rPr/>
      </w:pPr>
      <w:bookmarkStart w:colFirst="0" w:colLast="0" w:name="_1fob9te" w:id="2"/>
      <w:bookmarkEnd w:id="2"/>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Metodologia</w:t>
      </w:r>
    </w:p>
    <w:p w:rsidR="00000000" w:rsidDel="00000000" w:rsidP="00000000" w:rsidRDefault="00000000" w:rsidRPr="00000000" w14:paraId="00000016">
      <w:pPr>
        <w:spacing w:line="360" w:lineRule="auto"/>
        <w:ind w:left="0" w:hanging="2"/>
        <w:rPr/>
      </w:pPr>
      <w:r w:rsidDel="00000000" w:rsidR="00000000" w:rsidRPr="00000000">
        <w:rPr>
          <w:rtl w:val="0"/>
        </w:rPr>
        <w:t xml:space="preserve"> </w:t>
        <w:tab/>
        <w:t xml:space="preserve">O experimento foi realizado na Escola de Medicina Veterinária e Zootecnia da Universidade Federal do Norte do Tocantins, Campus de Araguaína. </w:t>
      </w:r>
    </w:p>
    <w:p w:rsidR="00000000" w:rsidDel="00000000" w:rsidP="00000000" w:rsidRDefault="00000000" w:rsidRPr="00000000" w14:paraId="00000017">
      <w:pPr>
        <w:spacing w:line="360" w:lineRule="auto"/>
        <w:ind w:left="0" w:hanging="2"/>
        <w:rPr/>
      </w:pPr>
      <w:r w:rsidDel="00000000" w:rsidR="00000000" w:rsidRPr="00000000">
        <w:rPr>
          <w:rtl w:val="0"/>
        </w:rPr>
        <w:t xml:space="preserve"> </w:t>
        <w:tab/>
        <w:t xml:space="preserve">O projeto foi submetido ao Comitê de Ética no Uso de Animais com número de protocolo 23.101.001.301/02-20, ainda necessitando de parecer final deste comitê. </w:t>
      </w:r>
    </w:p>
    <w:p w:rsidR="00000000" w:rsidDel="00000000" w:rsidP="00000000" w:rsidRDefault="00000000" w:rsidRPr="00000000" w14:paraId="00000018">
      <w:pPr>
        <w:spacing w:line="360" w:lineRule="auto"/>
        <w:ind w:left="0" w:hanging="2"/>
        <w:rPr/>
      </w:pPr>
      <w:r w:rsidDel="00000000" w:rsidR="00000000" w:rsidRPr="00000000">
        <w:rPr>
          <w:rtl w:val="0"/>
        </w:rPr>
        <w:t xml:space="preserve"> </w:t>
        <w:tab/>
        <w:t xml:space="preserve">O cultivo do milho hidropônico foi feito em bandejas de plástico (0,37x0,26 x 0,12m), com área de 0,096m2 . O plantio se deu da seguinte forma: as sementes tiveram a dormência quebrada ficando embebidas em água 24hs. Após, foram colocadas nas bandejas na proporção de 2,5 kg/m2 e cobertas com bagaço de cana-de-açúcar. Até que aparecessem as folhas as sementes foram irrigadas duas vezes ao dia (08 e 16hs) para manter a umidade. Após as folhas saírem, utilizou solução nutritiva comercial e fizemos irrigação uma vez ao dia, pela manhã, até que se complete os dias para a coleta do milho hidropônico (15 e 20 dias). </w:t>
      </w:r>
    </w:p>
    <w:p w:rsidR="00000000" w:rsidDel="00000000" w:rsidP="00000000" w:rsidRDefault="00000000" w:rsidRPr="00000000" w14:paraId="00000019">
      <w:pPr>
        <w:spacing w:line="360" w:lineRule="auto"/>
        <w:ind w:left="0" w:hanging="2"/>
        <w:rPr>
          <w:b w:val="1"/>
        </w:rPr>
      </w:pPr>
      <w:r w:rsidDel="00000000" w:rsidR="00000000" w:rsidRPr="00000000">
        <w:rPr>
          <w:b w:val="1"/>
          <w:i w:val="1"/>
          <w:rtl w:val="0"/>
        </w:rPr>
        <w:t xml:space="preserve"> </w:t>
        <w:tab/>
        <w:t xml:space="preserve">Avaliação da digestibilidade e aproveitamento energético do milho hidropônico em função dos dias de coleta após a semeadura (15 e 20 dias).</w:t>
      </w:r>
      <w:r w:rsidDel="00000000" w:rsidR="00000000" w:rsidRPr="00000000">
        <w:rPr>
          <w:b w:val="1"/>
          <w:rtl w:val="0"/>
        </w:rPr>
        <w:t xml:space="preserve"> </w:t>
      </w:r>
    </w:p>
    <w:p w:rsidR="00000000" w:rsidDel="00000000" w:rsidP="00000000" w:rsidRDefault="00000000" w:rsidRPr="00000000" w14:paraId="0000001A">
      <w:pPr>
        <w:spacing w:line="360" w:lineRule="auto"/>
        <w:ind w:left="0" w:hanging="2"/>
        <w:rPr/>
      </w:pPr>
      <w:r w:rsidDel="00000000" w:rsidR="00000000" w:rsidRPr="00000000">
        <w:rPr>
          <w:rtl w:val="0"/>
        </w:rPr>
        <w:t xml:space="preserve"> </w:t>
        <w:tab/>
        <w:t xml:space="preserve">Foram utilizados 75 pintos de corte linhagem Label Rouge®, lote misto, adquiridos com um dia de vida no comércio local de Araguaína-TO, para avaliação da digestibilidade dos nutrientes do milho hidropônico colhido em diferentes dias após a semeadura (15 e 20 dias). </w:t>
      </w:r>
    </w:p>
    <w:p w:rsidR="00000000" w:rsidDel="00000000" w:rsidP="00000000" w:rsidRDefault="00000000" w:rsidRPr="00000000" w14:paraId="0000001B">
      <w:pPr>
        <w:spacing w:line="360" w:lineRule="auto"/>
        <w:ind w:left="0" w:hanging="2"/>
        <w:rPr/>
      </w:pPr>
      <w:r w:rsidDel="00000000" w:rsidR="00000000" w:rsidRPr="00000000">
        <w:rPr>
          <w:rtl w:val="0"/>
        </w:rPr>
        <w:t xml:space="preserve"> </w:t>
        <w:tab/>
        <w:t xml:space="preserve">As aves com 21 dias de idade foram distribuídas nas respectivas unidades experimentais conforme peso médio. As gaiolas de arame galvanizado 50x50x30cm foram equipadas com comedouro e bebedouro tipo calha e terão bandejas coletoras para recolhimento das excretas. </w:t>
      </w:r>
    </w:p>
    <w:p w:rsidR="00000000" w:rsidDel="00000000" w:rsidP="00000000" w:rsidRDefault="00000000" w:rsidRPr="00000000" w14:paraId="0000001C">
      <w:pPr>
        <w:spacing w:line="360" w:lineRule="auto"/>
        <w:ind w:left="0" w:hanging="2"/>
        <w:rPr/>
      </w:pPr>
      <w:r w:rsidDel="00000000" w:rsidR="00000000" w:rsidRPr="00000000">
        <w:rPr>
          <w:rtl w:val="0"/>
        </w:rPr>
        <w:t xml:space="preserve"> </w:t>
        <w:tab/>
        <w:t xml:space="preserve">Foram avaliadas três dietas: dieta referência e as demais serão avaliações do milho hidropônico em função da coleta do material após a semeadura (15 e 20 dias). Todas as dietas testes foram substituídas na dieta referência em 10% com milho hidropônico, perfazendo três tratamentos, cinco repetições com cinco aves cada, distribuídos em delineamento inteiramente casualizado. </w:t>
      </w:r>
    </w:p>
    <w:p w:rsidR="00000000" w:rsidDel="00000000" w:rsidP="00000000" w:rsidRDefault="00000000" w:rsidRPr="00000000" w14:paraId="0000001D">
      <w:pPr>
        <w:spacing w:line="360" w:lineRule="auto"/>
        <w:ind w:left="0" w:hanging="2"/>
        <w:rPr/>
      </w:pPr>
      <w:r w:rsidDel="00000000" w:rsidR="00000000" w:rsidRPr="00000000">
        <w:rPr>
          <w:rtl w:val="0"/>
        </w:rPr>
        <w:t xml:space="preserve"> </w:t>
        <w:tab/>
        <w:t xml:space="preserve">Utilizou a metodologia de coleta total (Sakomura e Rostagno, 2016) com marcador fecal (óxido férrico 2%) para verificar o início e fim da coleta das excretas que será feito duas vezes ao dia. Foram cinco dias de adaptação às dietas experimentais e três dias de coleta. Foram mensurados os consumos de ração (CR) das dietas para os cálculos de ingestão de proteína bruta (PB) e energia bruta (EB).</w:t>
      </w:r>
    </w:p>
    <w:p w:rsidR="00000000" w:rsidDel="00000000" w:rsidP="00000000" w:rsidRDefault="00000000" w:rsidRPr="00000000" w14:paraId="0000001E">
      <w:pPr>
        <w:spacing w:line="360" w:lineRule="auto"/>
        <w:ind w:left="0" w:hanging="2"/>
        <w:rPr/>
      </w:pPr>
      <w:r w:rsidDel="00000000" w:rsidR="00000000" w:rsidRPr="00000000">
        <w:rPr>
          <w:rtl w:val="0"/>
        </w:rPr>
        <w:t xml:space="preserve"> </w:t>
        <w:tab/>
        <w:t xml:space="preserve">Amostras das dietas, das excretas coletadas, e do alimento foram recolhidas para posterior análises de matéria seca (MS), proteína bruta (PB), fibra em detergente neutro (FDN), fibra em detergente ácido (FDA) e lignina (Silva e Queiroz, 2002), que foram realizadas no Laboratório de Nutrição Animal da Universidade Federal do Norte do Tocantins. Diante disso, calculou os valores dos coeficientes de digestibilidade da matéria seca, proteína bruta, fibra em detergente neutro e fibra em detergente ácido do alimento (milho hidropônico) e das dietas. Os valores de digestibilidade foram calculados de acordo com as seguintes equações (Sakomura e Rostagno, 2016). </w:t>
      </w:r>
    </w:p>
    <w:p w:rsidR="00000000" w:rsidDel="00000000" w:rsidP="00000000" w:rsidRDefault="00000000" w:rsidRPr="00000000" w14:paraId="0000001F">
      <w:pPr>
        <w:spacing w:line="360" w:lineRule="auto"/>
        <w:ind w:left="0" w:hanging="2"/>
        <w:rPr/>
      </w:pPr>
      <w:r w:rsidDel="00000000" w:rsidR="00000000" w:rsidRPr="00000000">
        <w:rPr>
          <w:rtl w:val="0"/>
        </w:rPr>
        <w:t xml:space="preserve"> </w:t>
        <w:tab/>
        <w:t xml:space="preserve">Para os valores de digestibilidade e coeficiente de digestibilidade dos nutrientes utilizamos análise de variância (α = 0,05) e as diferenças estatísticas entre os tratamentos foram verificadas através do teste de Tukey (0,05) através do software SAS Institute (2000).</w:t>
      </w:r>
    </w:p>
    <w:p w:rsidR="00000000" w:rsidDel="00000000" w:rsidP="00000000" w:rsidRDefault="00000000" w:rsidRPr="00000000" w14:paraId="00000020">
      <w:pPr>
        <w:spacing w:line="360" w:lineRule="auto"/>
        <w:ind w:left="0" w:hanging="2"/>
        <w:rPr/>
      </w:pPr>
      <w:bookmarkStart w:colFirst="0" w:colLast="0" w:name="_3znysh7" w:id="3"/>
      <w:bookmarkEnd w:id="3"/>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Resultados</w:t>
      </w:r>
    </w:p>
    <w:p w:rsidR="00000000" w:rsidDel="00000000" w:rsidP="00000000" w:rsidRDefault="00000000" w:rsidRPr="00000000" w14:paraId="00000022">
      <w:pPr>
        <w:spacing w:line="360" w:lineRule="auto"/>
        <w:ind w:left="0" w:hanging="2"/>
        <w:rPr/>
      </w:pPr>
      <w:r w:rsidDel="00000000" w:rsidR="00000000" w:rsidRPr="00000000">
        <w:rPr>
          <w:rtl w:val="0"/>
        </w:rPr>
        <w:t xml:space="preserve">Pode se observar que os valores de matéria seca pouco se altera entre as dietas, no entanto constata-se que ao acrescentar o milho hidropônico na dieta na proporção de 10% substituição, conforme metodologia de coleta total de excretas (Sakomura &amp; Rostagno, 2016), os valores de PB caem, evidenciando o efeito diluidor da fibra, todavia os valores de FDN, FDA e Lignina aumentam (Tabela 1), uma vez que, há adição de um alimento muito rico neste componentes químicos.</w:t>
      </w:r>
    </w:p>
    <w:p w:rsidR="00000000" w:rsidDel="00000000" w:rsidP="00000000" w:rsidRDefault="00000000" w:rsidRPr="00000000" w14:paraId="00000023">
      <w:pPr>
        <w:spacing w:line="360" w:lineRule="auto"/>
        <w:ind w:left="0" w:hanging="2"/>
        <w:rPr/>
      </w:pPr>
      <w:r w:rsidDel="00000000" w:rsidR="00000000" w:rsidRPr="00000000">
        <w:rPr>
          <w:rtl w:val="0"/>
        </w:rPr>
      </w:r>
    </w:p>
    <w:p w:rsidR="00000000" w:rsidDel="00000000" w:rsidP="00000000" w:rsidRDefault="00000000" w:rsidRPr="00000000" w14:paraId="00000024">
      <w:pPr>
        <w:spacing w:after="0" w:before="100" w:lineRule="auto"/>
        <w:ind w:left="0" w:hanging="2"/>
        <w:rPr/>
      </w:pPr>
      <w:r w:rsidDel="00000000" w:rsidR="00000000" w:rsidRPr="00000000">
        <w:rPr>
          <w:rtl w:val="0"/>
        </w:rPr>
        <w:t xml:space="preserve">Tabela 1 - Valores de matéria seca (MS), proteína bruta (PB), fibra em detergente neutro (FDN), fibra em detergente ácido (FDA) e lignina da dieta Referência (T</w:t>
      </w:r>
      <w:r w:rsidDel="00000000" w:rsidR="00000000" w:rsidRPr="00000000">
        <w:rPr>
          <w:vertAlign w:val="subscript"/>
          <w:rtl w:val="0"/>
        </w:rPr>
        <w:t xml:space="preserve">1</w:t>
      </w:r>
      <w:r w:rsidDel="00000000" w:rsidR="00000000" w:rsidRPr="00000000">
        <w:rPr>
          <w:rtl w:val="0"/>
        </w:rPr>
        <w:t xml:space="preserve">), das dietas testes (T</w:t>
      </w:r>
      <w:r w:rsidDel="00000000" w:rsidR="00000000" w:rsidRPr="00000000">
        <w:rPr>
          <w:vertAlign w:val="subscript"/>
          <w:rtl w:val="0"/>
        </w:rPr>
        <w:t xml:space="preserve">2</w:t>
      </w:r>
      <w:r w:rsidDel="00000000" w:rsidR="00000000" w:rsidRPr="00000000">
        <w:rPr>
          <w:rtl w:val="0"/>
        </w:rPr>
        <w:t xml:space="preserve"> e T</w:t>
      </w:r>
      <w:r w:rsidDel="00000000" w:rsidR="00000000" w:rsidRPr="00000000">
        <w:rPr>
          <w:vertAlign w:val="subscript"/>
          <w:rtl w:val="0"/>
        </w:rPr>
        <w:t xml:space="preserve">3</w:t>
      </w:r>
      <w:r w:rsidDel="00000000" w:rsidR="00000000" w:rsidRPr="00000000">
        <w:rPr>
          <w:rtl w:val="0"/>
        </w:rPr>
        <w:t xml:space="preserve">) e do milho com 15 e 20 dias colhido após a semeadura.</w:t>
      </w:r>
    </w:p>
    <w:tbl>
      <w:tblPr>
        <w:tblStyle w:val="Table2"/>
        <w:tblpPr w:leftFromText="180" w:rightFromText="180" w:topFromText="180" w:bottomFromText="180" w:vertAnchor="text" w:horzAnchor="text" w:tblpX="0" w:tblpY="442"/>
        <w:tblW w:w="82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1"/>
        <w:gridCol w:w="1074"/>
        <w:gridCol w:w="1074"/>
        <w:gridCol w:w="1074"/>
        <w:gridCol w:w="1074"/>
        <w:gridCol w:w="902"/>
        <w:tblGridChange w:id="0">
          <w:tblGrid>
            <w:gridCol w:w="3091"/>
            <w:gridCol w:w="1074"/>
            <w:gridCol w:w="1074"/>
            <w:gridCol w:w="1074"/>
            <w:gridCol w:w="1074"/>
            <w:gridCol w:w="902"/>
          </w:tblGrid>
        </w:tblGridChange>
      </w:tblGrid>
      <w:tr>
        <w:trPr>
          <w:cantSplit w:val="0"/>
          <w:trHeight w:val="20" w:hRule="atLeast"/>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5">
            <w:pPr>
              <w:widowControl w:val="0"/>
              <w:spacing w:after="0" w:before="100" w:lineRule="auto"/>
              <w:ind w:left="0" w:hanging="2"/>
              <w:jc w:val="center"/>
              <w:rPr/>
            </w:pPr>
            <w:r w:rsidDel="00000000" w:rsidR="00000000" w:rsidRPr="00000000">
              <w:rPr>
                <w:b w:val="1"/>
                <w:rtl w:val="0"/>
              </w:rPr>
              <w:t xml:space="preserve">Ingredientes e Rações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6">
            <w:pPr>
              <w:widowControl w:val="0"/>
              <w:spacing w:after="0" w:before="100" w:lineRule="auto"/>
              <w:ind w:left="0" w:hanging="2"/>
              <w:jc w:val="center"/>
              <w:rPr/>
            </w:pPr>
            <w:r w:rsidDel="00000000" w:rsidR="00000000" w:rsidRPr="00000000">
              <w:rPr>
                <w:b w:val="1"/>
                <w:rtl w:val="0"/>
              </w:rPr>
              <w:t xml:space="preserve">MS</w:t>
            </w:r>
            <w:r w:rsidDel="00000000" w:rsidR="00000000" w:rsidRPr="00000000">
              <w:rPr>
                <w:rtl w:val="0"/>
              </w:rPr>
            </w:r>
          </w:p>
          <w:p w:rsidR="00000000" w:rsidDel="00000000" w:rsidP="00000000" w:rsidRDefault="00000000" w:rsidRPr="00000000" w14:paraId="00000027">
            <w:pPr>
              <w:widowControl w:val="0"/>
              <w:spacing w:after="0" w:before="100" w:lineRule="auto"/>
              <w:ind w:left="0" w:hanging="2"/>
              <w:jc w:val="center"/>
              <w:rPr/>
            </w:pPr>
            <w:r w:rsidDel="00000000" w:rsidR="00000000" w:rsidRPr="00000000">
              <w:rPr>
                <w:b w:val="1"/>
                <w:vertAlign w:val="superscript"/>
                <w:rtl w:val="0"/>
              </w:rPr>
              <w:t xml:space="preserve"> </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8">
            <w:pPr>
              <w:widowControl w:val="0"/>
              <w:spacing w:after="0" w:before="100" w:lineRule="auto"/>
              <w:ind w:left="0" w:hanging="2"/>
              <w:jc w:val="center"/>
              <w:rPr/>
            </w:pPr>
            <w:r w:rsidDel="00000000" w:rsidR="00000000" w:rsidRPr="00000000">
              <w:rPr>
                <w:b w:val="1"/>
                <w:rtl w:val="0"/>
              </w:rPr>
              <w:t xml:space="preserve">PB</w:t>
            </w:r>
            <w:r w:rsidDel="00000000" w:rsidR="00000000" w:rsidRPr="00000000">
              <w:rPr>
                <w:rtl w:val="0"/>
              </w:rPr>
            </w:r>
          </w:p>
          <w:p w:rsidR="00000000" w:rsidDel="00000000" w:rsidP="00000000" w:rsidRDefault="00000000" w:rsidRPr="00000000" w14:paraId="00000029">
            <w:pPr>
              <w:widowControl w:val="0"/>
              <w:spacing w:after="0" w:before="100" w:lineRule="auto"/>
              <w:ind w:left="0" w:hanging="2"/>
              <w:jc w:val="center"/>
              <w:rPr/>
            </w:pP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A">
            <w:pPr>
              <w:widowControl w:val="0"/>
              <w:spacing w:after="0" w:before="100" w:lineRule="auto"/>
              <w:ind w:left="0" w:hanging="2"/>
              <w:jc w:val="center"/>
              <w:rPr/>
            </w:pPr>
            <w:r w:rsidDel="00000000" w:rsidR="00000000" w:rsidRPr="00000000">
              <w:rPr>
                <w:b w:val="1"/>
                <w:rtl w:val="0"/>
              </w:rPr>
              <w:t xml:space="preserve">FDN</w:t>
            </w:r>
            <w:r w:rsidDel="00000000" w:rsidR="00000000" w:rsidRPr="00000000">
              <w:rPr>
                <w:rtl w:val="0"/>
              </w:rPr>
            </w:r>
          </w:p>
          <w:p w:rsidR="00000000" w:rsidDel="00000000" w:rsidP="00000000" w:rsidRDefault="00000000" w:rsidRPr="00000000" w14:paraId="0000002B">
            <w:pPr>
              <w:widowControl w:val="0"/>
              <w:spacing w:after="0" w:before="100" w:lineRule="auto"/>
              <w:ind w:left="0" w:hanging="2"/>
              <w:jc w:val="center"/>
              <w:rPr/>
            </w:pP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2C">
            <w:pPr>
              <w:widowControl w:val="0"/>
              <w:spacing w:after="0" w:before="100" w:lineRule="auto"/>
              <w:ind w:left="0" w:hanging="2"/>
              <w:jc w:val="center"/>
              <w:rPr/>
            </w:pPr>
            <w:r w:rsidDel="00000000" w:rsidR="00000000" w:rsidRPr="00000000">
              <w:rPr>
                <w:b w:val="1"/>
                <w:rtl w:val="0"/>
              </w:rPr>
              <w:t xml:space="preserve">FDA</w:t>
            </w:r>
            <w:r w:rsidDel="00000000" w:rsidR="00000000" w:rsidRPr="00000000">
              <w:rPr>
                <w:rtl w:val="0"/>
              </w:rPr>
            </w:r>
          </w:p>
          <w:p w:rsidR="00000000" w:rsidDel="00000000" w:rsidP="00000000" w:rsidRDefault="00000000" w:rsidRPr="00000000" w14:paraId="0000002D">
            <w:pPr>
              <w:widowControl w:val="0"/>
              <w:spacing w:after="0" w:before="100" w:lineRule="auto"/>
              <w:ind w:left="0" w:hanging="2"/>
              <w:jc w:val="center"/>
              <w:rPr/>
            </w:pP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2E">
            <w:pPr>
              <w:widowControl w:val="0"/>
              <w:spacing w:after="0" w:before="100" w:lineRule="auto"/>
              <w:ind w:left="0" w:hanging="2"/>
              <w:jc w:val="center"/>
              <w:rPr/>
            </w:pPr>
            <w:r w:rsidDel="00000000" w:rsidR="00000000" w:rsidRPr="00000000">
              <w:rPr>
                <w:b w:val="1"/>
                <w:rtl w:val="0"/>
              </w:rPr>
              <w:t xml:space="preserve">Lig</w:t>
            </w:r>
            <w:r w:rsidDel="00000000" w:rsidR="00000000" w:rsidRPr="00000000">
              <w:rPr>
                <w:rtl w:val="0"/>
              </w:rPr>
            </w:r>
          </w:p>
          <w:p w:rsidR="00000000" w:rsidDel="00000000" w:rsidP="00000000" w:rsidRDefault="00000000" w:rsidRPr="00000000" w14:paraId="0000002F">
            <w:pPr>
              <w:widowControl w:val="0"/>
              <w:spacing w:after="0" w:before="100" w:lineRule="auto"/>
              <w:ind w:left="0" w:hanging="2"/>
              <w:jc w:val="center"/>
              <w:rPr/>
            </w:pPr>
            <w:r w:rsidDel="00000000" w:rsidR="00000000" w:rsidRPr="00000000">
              <w:rPr>
                <w:b w:val="1"/>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0">
            <w:pPr>
              <w:widowControl w:val="0"/>
              <w:spacing w:after="0" w:before="100" w:lineRule="auto"/>
              <w:ind w:left="0" w:hanging="2"/>
              <w:jc w:val="center"/>
              <w:rPr/>
            </w:pPr>
            <w:r w:rsidDel="00000000" w:rsidR="00000000" w:rsidRPr="00000000">
              <w:rPr>
                <w:rtl w:val="0"/>
              </w:rPr>
              <w:t xml:space="preserve">T</w:t>
            </w:r>
            <w:r w:rsidDel="00000000" w:rsidR="00000000" w:rsidRPr="00000000">
              <w:rPr>
                <w:vertAlign w:val="subscript"/>
                <w:rtl w:val="0"/>
              </w:rPr>
              <w:t xml:space="preserve">1 </w:t>
            </w:r>
            <w:r w:rsidDel="00000000" w:rsidR="00000000" w:rsidRPr="00000000">
              <w:rPr>
                <w:rtl w:val="0"/>
              </w:rPr>
              <w:t xml:space="preserve">– Ração  Ref.</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1">
            <w:pPr>
              <w:widowControl w:val="0"/>
              <w:spacing w:after="0" w:before="100" w:lineRule="auto"/>
              <w:ind w:left="0" w:hanging="2"/>
              <w:jc w:val="center"/>
              <w:rPr/>
            </w:pPr>
            <w:r w:rsidDel="00000000" w:rsidR="00000000" w:rsidRPr="00000000">
              <w:rPr>
                <w:rtl w:val="0"/>
              </w:rPr>
              <w:t xml:space="preserve">86,36</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2">
            <w:pPr>
              <w:widowControl w:val="0"/>
              <w:spacing w:after="0" w:before="100" w:lineRule="auto"/>
              <w:ind w:left="0" w:hanging="2"/>
              <w:jc w:val="center"/>
              <w:rPr/>
            </w:pPr>
            <w:r w:rsidDel="00000000" w:rsidR="00000000" w:rsidRPr="00000000">
              <w:rPr>
                <w:rtl w:val="0"/>
              </w:rPr>
              <w:t xml:space="preserve">25,39</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3">
            <w:pPr>
              <w:widowControl w:val="0"/>
              <w:spacing w:after="0" w:before="100" w:lineRule="auto"/>
              <w:ind w:left="0" w:hanging="2"/>
              <w:jc w:val="center"/>
              <w:rPr/>
            </w:pPr>
            <w:r w:rsidDel="00000000" w:rsidR="00000000" w:rsidRPr="00000000">
              <w:rPr>
                <w:rtl w:val="0"/>
              </w:rPr>
              <w:t xml:space="preserve">26,77</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4">
            <w:pPr>
              <w:widowControl w:val="0"/>
              <w:spacing w:after="0" w:before="100" w:lineRule="auto"/>
              <w:ind w:left="0" w:hanging="2"/>
              <w:jc w:val="center"/>
              <w:rPr/>
            </w:pPr>
            <w:r w:rsidDel="00000000" w:rsidR="00000000" w:rsidRPr="00000000">
              <w:rPr>
                <w:rtl w:val="0"/>
              </w:rPr>
              <w:t xml:space="preserve">3,71</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5">
            <w:pPr>
              <w:widowControl w:val="0"/>
              <w:spacing w:after="0" w:before="100" w:lineRule="auto"/>
              <w:ind w:left="0" w:hanging="2"/>
              <w:jc w:val="center"/>
              <w:rPr/>
            </w:pPr>
            <w:r w:rsidDel="00000000" w:rsidR="00000000" w:rsidRPr="00000000">
              <w:rPr>
                <w:rtl w:val="0"/>
              </w:rPr>
              <w:t xml:space="preserve">0,74</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6">
            <w:pPr>
              <w:widowControl w:val="0"/>
              <w:spacing w:after="0" w:before="100" w:lineRule="auto"/>
              <w:ind w:left="0" w:hanging="2"/>
              <w:jc w:val="center"/>
              <w:rPr/>
            </w:pPr>
            <w:r w:rsidDel="00000000" w:rsidR="00000000" w:rsidRPr="00000000">
              <w:rPr>
                <w:rtl w:val="0"/>
              </w:rPr>
              <w:t xml:space="preserve">T</w:t>
            </w:r>
            <w:r w:rsidDel="00000000" w:rsidR="00000000" w:rsidRPr="00000000">
              <w:rPr>
                <w:vertAlign w:val="subscript"/>
                <w:rtl w:val="0"/>
              </w:rPr>
              <w:t xml:space="preserve">2 </w:t>
            </w:r>
            <w:r w:rsidDel="00000000" w:rsidR="00000000" w:rsidRPr="00000000">
              <w:rPr>
                <w:rtl w:val="0"/>
              </w:rPr>
              <w:t xml:space="preserve">– Milho 15 dias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7">
            <w:pPr>
              <w:widowControl w:val="0"/>
              <w:spacing w:after="0" w:before="100" w:lineRule="auto"/>
              <w:ind w:left="0" w:hanging="2"/>
              <w:jc w:val="center"/>
              <w:rPr/>
            </w:pPr>
            <w:r w:rsidDel="00000000" w:rsidR="00000000" w:rsidRPr="00000000">
              <w:rPr>
                <w:rtl w:val="0"/>
              </w:rPr>
              <w:t xml:space="preserve">90,00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8">
            <w:pPr>
              <w:widowControl w:val="0"/>
              <w:spacing w:after="0" w:before="100" w:lineRule="auto"/>
              <w:ind w:left="0" w:hanging="2"/>
              <w:jc w:val="center"/>
              <w:rPr/>
            </w:pPr>
            <w:r w:rsidDel="00000000" w:rsidR="00000000" w:rsidRPr="00000000">
              <w:rPr>
                <w:rtl w:val="0"/>
              </w:rPr>
              <w:t xml:space="preserve">24,60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9">
            <w:pPr>
              <w:widowControl w:val="0"/>
              <w:spacing w:after="0" w:before="100" w:lineRule="auto"/>
              <w:ind w:left="0" w:hanging="2"/>
              <w:jc w:val="center"/>
              <w:rPr/>
            </w:pPr>
            <w:r w:rsidDel="00000000" w:rsidR="00000000" w:rsidRPr="00000000">
              <w:rPr>
                <w:rtl w:val="0"/>
              </w:rPr>
              <w:t xml:space="preserve">29,24</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A">
            <w:pPr>
              <w:widowControl w:val="0"/>
              <w:spacing w:after="0" w:before="100" w:lineRule="auto"/>
              <w:ind w:left="0" w:hanging="2"/>
              <w:jc w:val="center"/>
              <w:rPr/>
            </w:pPr>
            <w:r w:rsidDel="00000000" w:rsidR="00000000" w:rsidRPr="00000000">
              <w:rPr>
                <w:rtl w:val="0"/>
              </w:rPr>
              <w:t xml:space="preserve">5,79</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B">
            <w:pPr>
              <w:widowControl w:val="0"/>
              <w:spacing w:after="0" w:before="100" w:lineRule="auto"/>
              <w:ind w:left="0" w:hanging="2"/>
              <w:jc w:val="center"/>
              <w:rPr/>
            </w:pPr>
            <w:r w:rsidDel="00000000" w:rsidR="00000000" w:rsidRPr="00000000">
              <w:rPr>
                <w:rtl w:val="0"/>
              </w:rPr>
              <w:t xml:space="preserve">1,10</w:t>
            </w:r>
          </w:p>
        </w:tc>
      </w:tr>
      <w:tr>
        <w:trPr>
          <w:cantSplit w:val="0"/>
          <w:trHeight w:val="20"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C">
            <w:pPr>
              <w:widowControl w:val="0"/>
              <w:spacing w:after="0" w:before="100" w:lineRule="auto"/>
              <w:ind w:left="0" w:hanging="2"/>
              <w:jc w:val="center"/>
              <w:rPr/>
            </w:pPr>
            <w:r w:rsidDel="00000000" w:rsidR="00000000" w:rsidRPr="00000000">
              <w:rPr>
                <w:rtl w:val="0"/>
              </w:rPr>
              <w:t xml:space="preserve">T</w:t>
            </w:r>
            <w:r w:rsidDel="00000000" w:rsidR="00000000" w:rsidRPr="00000000">
              <w:rPr>
                <w:vertAlign w:val="subscript"/>
                <w:rtl w:val="0"/>
              </w:rPr>
              <w:t xml:space="preserve">3 </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Milho 20 dias</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D">
            <w:pPr>
              <w:widowControl w:val="0"/>
              <w:spacing w:after="0" w:before="100" w:lineRule="auto"/>
              <w:ind w:left="0" w:hanging="2"/>
              <w:jc w:val="center"/>
              <w:rPr/>
            </w:pPr>
            <w:r w:rsidDel="00000000" w:rsidR="00000000" w:rsidRPr="00000000">
              <w:rPr>
                <w:rtl w:val="0"/>
              </w:rPr>
              <w:t xml:space="preserve">88,89</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E">
            <w:pPr>
              <w:widowControl w:val="0"/>
              <w:spacing w:after="0" w:before="100" w:lineRule="auto"/>
              <w:ind w:left="0" w:hanging="2"/>
              <w:jc w:val="center"/>
              <w:rPr/>
            </w:pPr>
            <w:r w:rsidDel="00000000" w:rsidR="00000000" w:rsidRPr="00000000">
              <w:rPr>
                <w:rtl w:val="0"/>
              </w:rPr>
              <w:t xml:space="preserve">24,89</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F">
            <w:pPr>
              <w:widowControl w:val="0"/>
              <w:spacing w:after="0" w:before="100" w:lineRule="auto"/>
              <w:ind w:left="0" w:hanging="2"/>
              <w:jc w:val="center"/>
              <w:rPr/>
            </w:pPr>
            <w:r w:rsidDel="00000000" w:rsidR="00000000" w:rsidRPr="00000000">
              <w:rPr>
                <w:rtl w:val="0"/>
              </w:rPr>
              <w:t xml:space="preserve">30,62</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0">
            <w:pPr>
              <w:widowControl w:val="0"/>
              <w:spacing w:after="0" w:before="100" w:lineRule="auto"/>
              <w:ind w:left="0" w:hanging="2"/>
              <w:jc w:val="center"/>
              <w:rPr/>
            </w:pPr>
            <w:r w:rsidDel="00000000" w:rsidR="00000000" w:rsidRPr="00000000">
              <w:rPr>
                <w:rtl w:val="0"/>
              </w:rPr>
              <w:t xml:space="preserve">6,39</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41">
            <w:pPr>
              <w:widowControl w:val="0"/>
              <w:spacing w:after="0" w:before="100" w:lineRule="auto"/>
              <w:ind w:left="0" w:hanging="2"/>
              <w:jc w:val="center"/>
              <w:rPr/>
            </w:pPr>
            <w:r w:rsidDel="00000000" w:rsidR="00000000" w:rsidRPr="00000000">
              <w:rPr>
                <w:rtl w:val="0"/>
              </w:rPr>
              <w:t xml:space="preserve">1,24</w:t>
            </w:r>
          </w:p>
        </w:tc>
      </w:tr>
      <w:tr>
        <w:trPr>
          <w:cantSplit w:val="0"/>
          <w:trHeight w:val="20"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2">
            <w:pPr>
              <w:widowControl w:val="0"/>
              <w:spacing w:after="0" w:before="100" w:lineRule="auto"/>
              <w:ind w:left="0" w:hanging="2"/>
              <w:jc w:val="center"/>
              <w:rPr/>
            </w:pPr>
            <w:r w:rsidDel="00000000" w:rsidR="00000000" w:rsidRPr="00000000">
              <w:rPr>
                <w:rtl w:val="0"/>
              </w:rPr>
              <w:t xml:space="preserve">Milho 15 dias</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3">
            <w:pPr>
              <w:widowControl w:val="0"/>
              <w:spacing w:after="0" w:before="100" w:lineRule="auto"/>
              <w:ind w:left="0" w:hanging="2"/>
              <w:jc w:val="center"/>
              <w:rPr/>
            </w:pPr>
            <w:r w:rsidDel="00000000" w:rsidR="00000000" w:rsidRPr="00000000">
              <w:rPr>
                <w:rtl w:val="0"/>
              </w:rPr>
              <w:t xml:space="preserve">17,97</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4">
            <w:pPr>
              <w:widowControl w:val="0"/>
              <w:spacing w:after="0" w:before="100" w:lineRule="auto"/>
              <w:ind w:left="0" w:hanging="2"/>
              <w:jc w:val="center"/>
              <w:rPr/>
            </w:pPr>
            <w:r w:rsidDel="00000000" w:rsidR="00000000" w:rsidRPr="00000000">
              <w:rPr>
                <w:rtl w:val="0"/>
              </w:rPr>
              <w:t xml:space="preserve">17,47</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5">
            <w:pPr>
              <w:widowControl w:val="0"/>
              <w:spacing w:after="0" w:before="100" w:lineRule="auto"/>
              <w:ind w:left="0" w:hanging="2"/>
              <w:jc w:val="center"/>
              <w:rPr/>
            </w:pPr>
            <w:r w:rsidDel="00000000" w:rsidR="00000000" w:rsidRPr="00000000">
              <w:rPr>
                <w:rtl w:val="0"/>
              </w:rPr>
              <w:t xml:space="preserve">51,50</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6">
            <w:pPr>
              <w:widowControl w:val="0"/>
              <w:spacing w:after="0" w:before="100" w:lineRule="auto"/>
              <w:ind w:left="0" w:hanging="2"/>
              <w:jc w:val="center"/>
              <w:rPr/>
            </w:pPr>
            <w:r w:rsidDel="00000000" w:rsidR="00000000" w:rsidRPr="00000000">
              <w:rPr>
                <w:rtl w:val="0"/>
              </w:rPr>
              <w:t xml:space="preserve">23,77</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7">
            <w:pPr>
              <w:widowControl w:val="0"/>
              <w:spacing w:after="0" w:before="100" w:lineRule="auto"/>
              <w:ind w:left="0" w:hanging="2"/>
              <w:jc w:val="center"/>
              <w:rPr/>
            </w:pPr>
            <w:r w:rsidDel="00000000" w:rsidR="00000000" w:rsidRPr="00000000">
              <w:rPr>
                <w:rtl w:val="0"/>
              </w:rPr>
              <w:t xml:space="preserve">4,31</w:t>
            </w:r>
          </w:p>
        </w:tc>
      </w:tr>
      <w:tr>
        <w:trPr>
          <w:cantSplit w:val="0"/>
          <w:trHeight w:val="20"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8">
            <w:pPr>
              <w:widowControl w:val="0"/>
              <w:spacing w:after="0" w:before="100" w:lineRule="auto"/>
              <w:ind w:left="0" w:hanging="2"/>
              <w:jc w:val="center"/>
              <w:rPr/>
            </w:pPr>
            <w:r w:rsidDel="00000000" w:rsidR="00000000" w:rsidRPr="00000000">
              <w:rPr>
                <w:rtl w:val="0"/>
              </w:rPr>
              <w:t xml:space="preserve">Milho 20 dias</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9">
            <w:pPr>
              <w:widowControl w:val="0"/>
              <w:spacing w:after="0" w:before="100" w:lineRule="auto"/>
              <w:ind w:left="0" w:hanging="2"/>
              <w:jc w:val="center"/>
              <w:rPr/>
            </w:pPr>
            <w:r w:rsidDel="00000000" w:rsidR="00000000" w:rsidRPr="00000000">
              <w:rPr>
                <w:rtl w:val="0"/>
              </w:rPr>
              <w:t xml:space="preserve">15,23</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A">
            <w:pPr>
              <w:widowControl w:val="0"/>
              <w:spacing w:after="0" w:before="100" w:lineRule="auto"/>
              <w:ind w:left="0" w:hanging="2"/>
              <w:jc w:val="center"/>
              <w:rPr/>
            </w:pPr>
            <w:r w:rsidDel="00000000" w:rsidR="00000000" w:rsidRPr="00000000">
              <w:rPr>
                <w:rtl w:val="0"/>
              </w:rPr>
              <w:t xml:space="preserve">20,42</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B">
            <w:pPr>
              <w:widowControl w:val="0"/>
              <w:spacing w:after="0" w:before="100" w:lineRule="auto"/>
              <w:ind w:left="0" w:hanging="2"/>
              <w:jc w:val="center"/>
              <w:rPr/>
            </w:pPr>
            <w:r w:rsidDel="00000000" w:rsidR="00000000" w:rsidRPr="00000000">
              <w:rPr>
                <w:rtl w:val="0"/>
              </w:rPr>
              <w:t xml:space="preserve">65,25</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C">
            <w:pPr>
              <w:widowControl w:val="0"/>
              <w:spacing w:after="0" w:before="100" w:lineRule="auto"/>
              <w:ind w:left="0" w:hanging="2"/>
              <w:jc w:val="center"/>
              <w:rPr/>
            </w:pPr>
            <w:r w:rsidDel="00000000" w:rsidR="00000000" w:rsidRPr="00000000">
              <w:rPr>
                <w:rtl w:val="0"/>
              </w:rPr>
              <w:t xml:space="preserve">29,98</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4D">
            <w:pPr>
              <w:widowControl w:val="0"/>
              <w:spacing w:after="0" w:before="100" w:lineRule="auto"/>
              <w:ind w:left="0" w:hanging="2"/>
              <w:jc w:val="center"/>
              <w:rPr/>
            </w:pPr>
            <w:r w:rsidDel="00000000" w:rsidR="00000000" w:rsidRPr="00000000">
              <w:rPr>
                <w:rtl w:val="0"/>
              </w:rPr>
              <w:t xml:space="preserve">5,70</w:t>
            </w:r>
          </w:p>
        </w:tc>
      </w:tr>
    </w:tbl>
    <w:p w:rsidR="00000000" w:rsidDel="00000000" w:rsidP="00000000" w:rsidRDefault="00000000" w:rsidRPr="00000000" w14:paraId="0000004E">
      <w:pPr>
        <w:spacing w:line="360" w:lineRule="auto"/>
        <w:ind w:firstLine="0"/>
        <w:rPr>
          <w:sz w:val="16"/>
          <w:szCs w:val="16"/>
        </w:rPr>
      </w:pPr>
      <w:r w:rsidDel="00000000" w:rsidR="00000000" w:rsidRPr="00000000">
        <w:rPr>
          <w:sz w:val="16"/>
          <w:szCs w:val="16"/>
          <w:rtl w:val="0"/>
        </w:rPr>
        <w:t xml:space="preserve">As análises foram realizadas no Laboratório de Nutrição Animal da Escola de Medicina Veterinária e Zootecnia da Universidade Federal do Norte do Tocantins.</w:t>
      </w:r>
    </w:p>
    <w:p w:rsidR="00000000" w:rsidDel="00000000" w:rsidP="00000000" w:rsidRDefault="00000000" w:rsidRPr="00000000" w14:paraId="0000004F">
      <w:pPr>
        <w:spacing w:line="360" w:lineRule="auto"/>
        <w:ind w:left="0" w:firstLine="0"/>
        <w:rPr/>
      </w:pPr>
      <w:r w:rsidDel="00000000" w:rsidR="00000000" w:rsidRPr="00000000">
        <w:rPr>
          <w:rtl w:val="0"/>
        </w:rPr>
      </w:r>
    </w:p>
    <w:p w:rsidR="00000000" w:rsidDel="00000000" w:rsidP="00000000" w:rsidRDefault="00000000" w:rsidRPr="00000000" w14:paraId="00000050">
      <w:pPr>
        <w:spacing w:line="360" w:lineRule="auto"/>
        <w:ind w:left="0" w:firstLine="0"/>
        <w:rPr/>
      </w:pPr>
      <w:r w:rsidDel="00000000" w:rsidR="00000000" w:rsidRPr="00000000">
        <w:rPr>
          <w:rtl w:val="0"/>
        </w:rPr>
        <w:t xml:space="preserve">Verifica que os valores de matéria seca e proteína digestível decaem com a presença do milho hidropônico a dieta, por outro lado, os demais nutrientes têm valores maiores de digestibilidade nas dietas com a inclusão do milho hidropônico.</w:t>
      </w:r>
    </w:p>
    <w:p w:rsidR="00000000" w:rsidDel="00000000" w:rsidP="00000000" w:rsidRDefault="00000000" w:rsidRPr="00000000" w14:paraId="00000051">
      <w:pPr>
        <w:spacing w:line="360" w:lineRule="auto"/>
        <w:ind w:left="0" w:hanging="2"/>
        <w:rPr/>
      </w:pPr>
      <w:r w:rsidDel="00000000" w:rsidR="00000000" w:rsidRPr="00000000">
        <w:rPr>
          <w:rtl w:val="0"/>
        </w:rPr>
      </w:r>
    </w:p>
    <w:p w:rsidR="00000000" w:rsidDel="00000000" w:rsidP="00000000" w:rsidRDefault="00000000" w:rsidRPr="00000000" w14:paraId="00000052">
      <w:pPr>
        <w:widowControl w:val="0"/>
        <w:spacing w:after="0" w:before="100" w:lineRule="auto"/>
        <w:ind w:left="0" w:hanging="2"/>
        <w:rPr/>
      </w:pPr>
      <w:r w:rsidDel="00000000" w:rsidR="00000000" w:rsidRPr="00000000">
        <w:rPr>
          <w:rtl w:val="0"/>
        </w:rPr>
        <w:t xml:space="preserve">Tabela 2. Valores dos nutrientes digestíveis presentes nas dietas  sem ou com a inclusão do milho hidropônico colhido aos 15 e 20 dias após a semeadura</w:t>
      </w:r>
    </w:p>
    <w:tbl>
      <w:tblPr>
        <w:tblStyle w:val="Table3"/>
        <w:tblpPr w:leftFromText="180" w:rightFromText="180" w:topFromText="180" w:bottomFromText="180" w:vertAnchor="text" w:horzAnchor="text" w:tblpX="0" w:tblpY="341"/>
        <w:tblW w:w="83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1830"/>
        <w:gridCol w:w="1547"/>
        <w:gridCol w:w="1530"/>
        <w:gridCol w:w="980"/>
        <w:gridCol w:w="980"/>
        <w:tblGridChange w:id="0">
          <w:tblGrid>
            <w:gridCol w:w="1466"/>
            <w:gridCol w:w="1830"/>
            <w:gridCol w:w="1547"/>
            <w:gridCol w:w="1530"/>
            <w:gridCol w:w="980"/>
            <w:gridCol w:w="980"/>
          </w:tblGrid>
        </w:tblGridChange>
      </w:tblGrid>
      <w:tr>
        <w:trPr>
          <w:cantSplit w:val="0"/>
          <w:trHeight w:val="668" w:hRule="atLeast"/>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3">
            <w:pPr>
              <w:widowControl w:val="0"/>
              <w:spacing w:after="0" w:before="100" w:lineRule="auto"/>
              <w:ind w:left="0" w:hanging="2"/>
              <w:rPr/>
            </w:pPr>
            <w:r w:rsidDel="00000000" w:rsidR="00000000" w:rsidRPr="00000000">
              <w:rPr>
                <w:b w:val="1"/>
                <w:rtl w:val="0"/>
              </w:rPr>
              <w:t xml:space="preserve">Variáveis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4">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1 </w:t>
            </w:r>
            <w:r w:rsidDel="00000000" w:rsidR="00000000" w:rsidRPr="00000000">
              <w:rPr>
                <w:b w:val="1"/>
                <w:rtl w:val="0"/>
              </w:rPr>
              <w:t xml:space="preserve">- Ração Referência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5">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2 </w:t>
            </w:r>
            <w:r w:rsidDel="00000000" w:rsidR="00000000" w:rsidRPr="00000000">
              <w:rPr>
                <w:b w:val="1"/>
                <w:rtl w:val="0"/>
              </w:rPr>
              <w:t xml:space="preserve">– Milho 15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6">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3 </w:t>
            </w:r>
            <w:r w:rsidDel="00000000" w:rsidR="00000000" w:rsidRPr="00000000">
              <w:rPr>
                <w:b w:val="1"/>
                <w:rtl w:val="0"/>
              </w:rPr>
              <w:t xml:space="preserve">–</w:t>
            </w:r>
            <w:r w:rsidDel="00000000" w:rsidR="00000000" w:rsidRPr="00000000">
              <w:rPr>
                <w:b w:val="1"/>
                <w:vertAlign w:val="subscript"/>
                <w:rtl w:val="0"/>
              </w:rPr>
              <w:t xml:space="preserve"> </w:t>
            </w:r>
            <w:r w:rsidDel="00000000" w:rsidR="00000000" w:rsidRPr="00000000">
              <w:rPr>
                <w:b w:val="1"/>
                <w:rtl w:val="0"/>
              </w:rPr>
              <w:t xml:space="preserve">Milho 20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7">
            <w:pPr>
              <w:widowControl w:val="0"/>
              <w:spacing w:after="0" w:before="100" w:lineRule="auto"/>
              <w:ind w:left="0" w:hanging="2"/>
              <w:jc w:val="center"/>
              <w:rPr/>
            </w:pPr>
            <w:r w:rsidDel="00000000" w:rsidR="00000000" w:rsidRPr="00000000">
              <w:rPr>
                <w:b w:val="1"/>
                <w:rtl w:val="0"/>
              </w:rPr>
              <w:t xml:space="preserve">Valor de P</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58">
            <w:pPr>
              <w:widowControl w:val="0"/>
              <w:spacing w:after="0" w:before="100" w:lineRule="auto"/>
              <w:ind w:left="0" w:hanging="2"/>
              <w:jc w:val="center"/>
              <w:rPr/>
            </w:pPr>
            <w:r w:rsidDel="00000000" w:rsidR="00000000" w:rsidRPr="00000000">
              <w:rPr>
                <w:b w:val="1"/>
                <w:rtl w:val="0"/>
              </w:rPr>
              <w:t xml:space="preserve">CV (%)</w:t>
            </w:r>
            <w:r w:rsidDel="00000000" w:rsidR="00000000" w:rsidRPr="00000000">
              <w:rPr>
                <w:rtl w:val="0"/>
              </w:rPr>
            </w:r>
          </w:p>
        </w:tc>
      </w:tr>
      <w:tr>
        <w:trPr>
          <w:cantSplit w:val="0"/>
          <w:trHeight w:val="384"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9">
            <w:pPr>
              <w:widowControl w:val="0"/>
              <w:spacing w:after="0" w:before="100" w:lineRule="auto"/>
              <w:ind w:left="0" w:hanging="2"/>
              <w:rPr/>
            </w:pPr>
            <w:r w:rsidDel="00000000" w:rsidR="00000000" w:rsidRPr="00000000">
              <w:rPr>
                <w:rtl w:val="0"/>
              </w:rPr>
              <w:t xml:space="preserve">MS digestível</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A">
            <w:pPr>
              <w:widowControl w:val="0"/>
              <w:spacing w:after="0" w:before="100" w:lineRule="auto"/>
              <w:ind w:left="0" w:hanging="2"/>
              <w:jc w:val="center"/>
              <w:rPr/>
            </w:pPr>
            <w:r w:rsidDel="00000000" w:rsidR="00000000" w:rsidRPr="00000000">
              <w:rPr>
                <w:rtl w:val="0"/>
              </w:rPr>
              <w:t xml:space="preserve">63,4±0,54</w:t>
            </w:r>
            <w:r w:rsidDel="00000000" w:rsidR="00000000" w:rsidRPr="00000000">
              <w:rPr>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B">
            <w:pPr>
              <w:widowControl w:val="0"/>
              <w:spacing w:after="0" w:before="100" w:lineRule="auto"/>
              <w:ind w:left="0" w:hanging="2"/>
              <w:jc w:val="center"/>
              <w:rPr/>
            </w:pPr>
            <w:r w:rsidDel="00000000" w:rsidR="00000000" w:rsidRPr="00000000">
              <w:rPr>
                <w:rtl w:val="0"/>
              </w:rPr>
              <w:t xml:space="preserve">61,75±0,34</w:t>
            </w:r>
            <w:r w:rsidDel="00000000" w:rsidR="00000000" w:rsidRPr="00000000">
              <w:rPr>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C">
            <w:pPr>
              <w:widowControl w:val="0"/>
              <w:spacing w:after="0" w:before="100" w:lineRule="auto"/>
              <w:ind w:left="0" w:hanging="2"/>
              <w:jc w:val="center"/>
              <w:rPr/>
            </w:pPr>
            <w:r w:rsidDel="00000000" w:rsidR="00000000" w:rsidRPr="00000000">
              <w:rPr>
                <w:rtl w:val="0"/>
              </w:rPr>
              <w:t xml:space="preserve">60,89±0,80</w:t>
            </w:r>
            <w:r w:rsidDel="00000000" w:rsidR="00000000" w:rsidRPr="00000000">
              <w:rPr>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D">
            <w:pPr>
              <w:widowControl w:val="0"/>
              <w:spacing w:after="0" w:before="100" w:lineRule="auto"/>
              <w:ind w:left="0" w:hanging="2"/>
              <w:jc w:val="center"/>
              <w:rPr/>
            </w:pPr>
            <w:r w:rsidDel="00000000" w:rsidR="00000000" w:rsidRPr="00000000">
              <w:rPr>
                <w:rtl w:val="0"/>
              </w:rPr>
              <w:t xml:space="preserve">&lt;0,0001</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E">
            <w:pPr>
              <w:widowControl w:val="0"/>
              <w:spacing w:after="0" w:before="100" w:lineRule="auto"/>
              <w:ind w:left="0" w:hanging="2"/>
              <w:jc w:val="center"/>
              <w:rPr/>
            </w:pPr>
            <w:r w:rsidDel="00000000" w:rsidR="00000000" w:rsidRPr="00000000">
              <w:rPr>
                <w:rtl w:val="0"/>
              </w:rPr>
              <w:t xml:space="preserve">0,95</w:t>
            </w:r>
          </w:p>
        </w:tc>
      </w:tr>
      <w:tr>
        <w:trPr>
          <w:cantSplit w:val="0"/>
          <w:trHeight w:val="384"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F">
            <w:pPr>
              <w:widowControl w:val="0"/>
              <w:spacing w:after="0" w:before="100" w:lineRule="auto"/>
              <w:ind w:left="0" w:hanging="2"/>
              <w:rPr/>
            </w:pPr>
            <w:r w:rsidDel="00000000" w:rsidR="00000000" w:rsidRPr="00000000">
              <w:rPr>
                <w:rtl w:val="0"/>
              </w:rPr>
              <w:t xml:space="preserve">PB digestível</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0">
            <w:pPr>
              <w:widowControl w:val="0"/>
              <w:spacing w:after="0" w:before="100" w:lineRule="auto"/>
              <w:ind w:left="0" w:hanging="2"/>
              <w:jc w:val="center"/>
              <w:rPr/>
            </w:pPr>
            <w:r w:rsidDel="00000000" w:rsidR="00000000" w:rsidRPr="00000000">
              <w:rPr>
                <w:rtl w:val="0"/>
              </w:rPr>
              <w:t xml:space="preserve">16,91±0,27</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1">
            <w:pPr>
              <w:widowControl w:val="0"/>
              <w:spacing w:after="0" w:before="100" w:lineRule="auto"/>
              <w:ind w:left="0" w:hanging="2"/>
              <w:jc w:val="center"/>
              <w:rPr/>
            </w:pPr>
            <w:r w:rsidDel="00000000" w:rsidR="00000000" w:rsidRPr="00000000">
              <w:rPr>
                <w:rtl w:val="0"/>
              </w:rPr>
              <w:t xml:space="preserve">14,82±0,27</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2">
            <w:pPr>
              <w:widowControl w:val="0"/>
              <w:spacing w:after="0" w:before="100" w:lineRule="auto"/>
              <w:ind w:left="0" w:hanging="2"/>
              <w:jc w:val="center"/>
              <w:rPr/>
            </w:pPr>
            <w:r w:rsidDel="00000000" w:rsidR="00000000" w:rsidRPr="00000000">
              <w:rPr>
                <w:rtl w:val="0"/>
              </w:rPr>
              <w:t xml:space="preserve">13,01±0,45</w:t>
            </w:r>
            <w:r w:rsidDel="00000000" w:rsidR="00000000" w:rsidRPr="00000000">
              <w:rPr>
                <w:vertAlign w:val="superscript"/>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3">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4">
            <w:pPr>
              <w:widowControl w:val="0"/>
              <w:spacing w:after="0" w:before="100" w:lineRule="auto"/>
              <w:ind w:left="0" w:hanging="2"/>
              <w:jc w:val="center"/>
              <w:rPr/>
            </w:pPr>
            <w:r w:rsidDel="00000000" w:rsidR="00000000" w:rsidRPr="00000000">
              <w:rPr>
                <w:rtl w:val="0"/>
              </w:rPr>
              <w:t xml:space="preserve">2,31</w:t>
            </w:r>
          </w:p>
        </w:tc>
      </w:tr>
      <w:tr>
        <w:trPr>
          <w:cantSplit w:val="0"/>
          <w:trHeight w:val="384"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5">
            <w:pPr>
              <w:widowControl w:val="0"/>
              <w:spacing w:after="0" w:before="100" w:lineRule="auto"/>
              <w:ind w:left="0" w:hanging="2"/>
              <w:rPr/>
            </w:pPr>
            <w:r w:rsidDel="00000000" w:rsidR="00000000" w:rsidRPr="00000000">
              <w:rPr>
                <w:rtl w:val="0"/>
              </w:rPr>
              <w:t xml:space="preserve">FDN digestível</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6">
            <w:pPr>
              <w:widowControl w:val="0"/>
              <w:spacing w:after="0" w:before="100" w:lineRule="auto"/>
              <w:ind w:left="0" w:hanging="2"/>
              <w:jc w:val="center"/>
              <w:rPr/>
            </w:pPr>
            <w:r w:rsidDel="00000000" w:rsidR="00000000" w:rsidRPr="00000000">
              <w:rPr>
                <w:rtl w:val="0"/>
              </w:rPr>
              <w:t xml:space="preserve">18,84±0,37</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7">
            <w:pPr>
              <w:widowControl w:val="0"/>
              <w:spacing w:after="0" w:before="100" w:lineRule="auto"/>
              <w:ind w:left="0" w:hanging="2"/>
              <w:jc w:val="center"/>
              <w:rPr/>
            </w:pPr>
            <w:r w:rsidDel="00000000" w:rsidR="00000000" w:rsidRPr="00000000">
              <w:rPr>
                <w:rtl w:val="0"/>
              </w:rPr>
              <w:t xml:space="preserve">19,27±0,13</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8">
            <w:pPr>
              <w:widowControl w:val="0"/>
              <w:spacing w:after="0" w:before="100" w:lineRule="auto"/>
              <w:ind w:left="0" w:hanging="2"/>
              <w:jc w:val="center"/>
              <w:rPr/>
            </w:pPr>
            <w:r w:rsidDel="00000000" w:rsidR="00000000" w:rsidRPr="00000000">
              <w:rPr>
                <w:rtl w:val="0"/>
              </w:rPr>
              <w:t xml:space="preserve">19,44±0,10</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9">
            <w:pPr>
              <w:widowControl w:val="0"/>
              <w:spacing w:after="0" w:before="100" w:lineRule="auto"/>
              <w:ind w:left="0" w:hanging="2"/>
              <w:jc w:val="center"/>
              <w:rPr/>
            </w:pPr>
            <w:r w:rsidDel="00000000" w:rsidR="00000000" w:rsidRPr="00000000">
              <w:rPr>
                <w:rtl w:val="0"/>
              </w:rPr>
              <w:t xml:space="preserve">0,0049</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A">
            <w:pPr>
              <w:widowControl w:val="0"/>
              <w:spacing w:after="0" w:before="100" w:lineRule="auto"/>
              <w:ind w:left="0" w:hanging="2"/>
              <w:jc w:val="center"/>
              <w:rPr/>
            </w:pPr>
            <w:r w:rsidDel="00000000" w:rsidR="00000000" w:rsidRPr="00000000">
              <w:rPr>
                <w:rtl w:val="0"/>
              </w:rPr>
              <w:t xml:space="preserve">1,23</w:t>
            </w:r>
          </w:p>
        </w:tc>
      </w:tr>
      <w:tr>
        <w:trPr>
          <w:cantSplit w:val="0"/>
          <w:trHeight w:val="401"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B">
            <w:pPr>
              <w:widowControl w:val="0"/>
              <w:spacing w:after="0" w:before="100" w:lineRule="auto"/>
              <w:ind w:left="0" w:hanging="2"/>
              <w:rPr/>
            </w:pPr>
            <w:r w:rsidDel="00000000" w:rsidR="00000000" w:rsidRPr="00000000">
              <w:rPr>
                <w:rtl w:val="0"/>
              </w:rPr>
              <w:t xml:space="preserve">FDA digestível</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C">
            <w:pPr>
              <w:widowControl w:val="0"/>
              <w:spacing w:after="0" w:before="100" w:lineRule="auto"/>
              <w:ind w:left="0" w:hanging="2"/>
              <w:jc w:val="center"/>
              <w:rPr/>
            </w:pPr>
            <w:r w:rsidDel="00000000" w:rsidR="00000000" w:rsidRPr="00000000">
              <w:rPr>
                <w:rtl w:val="0"/>
              </w:rPr>
              <w:t xml:space="preserve">1,41±0,14</w:t>
            </w:r>
            <w:r w:rsidDel="00000000" w:rsidR="00000000" w:rsidRPr="00000000">
              <w:rPr>
                <w:vertAlign w:val="superscript"/>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D">
            <w:pPr>
              <w:widowControl w:val="0"/>
              <w:spacing w:after="0" w:before="100" w:lineRule="auto"/>
              <w:ind w:left="0" w:hanging="2"/>
              <w:jc w:val="center"/>
              <w:rPr/>
            </w:pPr>
            <w:r w:rsidDel="00000000" w:rsidR="00000000" w:rsidRPr="00000000">
              <w:rPr>
                <w:rtl w:val="0"/>
              </w:rPr>
              <w:t xml:space="preserve">1,92±0,11</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E">
            <w:pPr>
              <w:widowControl w:val="0"/>
              <w:spacing w:after="0" w:before="100" w:lineRule="auto"/>
              <w:ind w:left="0" w:hanging="2"/>
              <w:jc w:val="center"/>
              <w:rPr/>
            </w:pPr>
            <w:r w:rsidDel="00000000" w:rsidR="00000000" w:rsidRPr="00000000">
              <w:rPr>
                <w:rtl w:val="0"/>
              </w:rPr>
              <w:t xml:space="preserve">2,25±0,17</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F">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0">
            <w:pPr>
              <w:widowControl w:val="0"/>
              <w:spacing w:after="0" w:before="100" w:lineRule="auto"/>
              <w:ind w:left="0" w:hanging="2"/>
              <w:jc w:val="center"/>
              <w:rPr/>
            </w:pPr>
            <w:r w:rsidDel="00000000" w:rsidR="00000000" w:rsidRPr="00000000">
              <w:rPr>
                <w:rtl w:val="0"/>
              </w:rPr>
              <w:t xml:space="preserve">7,63</w:t>
            </w:r>
          </w:p>
        </w:tc>
      </w:tr>
      <w:tr>
        <w:trPr>
          <w:cantSplit w:val="0"/>
          <w:trHeight w:val="652"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1">
            <w:pPr>
              <w:widowControl w:val="0"/>
              <w:spacing w:after="0" w:before="100" w:lineRule="auto"/>
              <w:ind w:left="0" w:hanging="2"/>
              <w:rPr/>
            </w:pPr>
            <w:r w:rsidDel="00000000" w:rsidR="00000000" w:rsidRPr="00000000">
              <w:rPr>
                <w:rtl w:val="0"/>
              </w:rPr>
              <w:t xml:space="preserve">Lignina digestível</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2">
            <w:pPr>
              <w:widowControl w:val="0"/>
              <w:spacing w:after="0" w:before="100" w:lineRule="auto"/>
              <w:ind w:left="0" w:hanging="2"/>
              <w:jc w:val="center"/>
              <w:rPr/>
            </w:pPr>
            <w:r w:rsidDel="00000000" w:rsidR="00000000" w:rsidRPr="00000000">
              <w:rPr>
                <w:rtl w:val="0"/>
              </w:rPr>
              <w:t xml:space="preserve">0,50±0,01</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3">
            <w:pPr>
              <w:widowControl w:val="0"/>
              <w:spacing w:after="0" w:before="100" w:lineRule="auto"/>
              <w:ind w:left="0" w:hanging="2"/>
              <w:jc w:val="center"/>
              <w:rPr/>
            </w:pPr>
            <w:r w:rsidDel="00000000" w:rsidR="00000000" w:rsidRPr="00000000">
              <w:rPr>
                <w:rtl w:val="0"/>
              </w:rPr>
              <w:t xml:space="preserve">0,67±0,06</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4">
            <w:pPr>
              <w:widowControl w:val="0"/>
              <w:spacing w:after="0" w:before="100" w:lineRule="auto"/>
              <w:ind w:left="0" w:hanging="2"/>
              <w:jc w:val="center"/>
              <w:rPr/>
            </w:pPr>
            <w:r w:rsidDel="00000000" w:rsidR="00000000" w:rsidRPr="00000000">
              <w:rPr>
                <w:rtl w:val="0"/>
              </w:rPr>
              <w:t xml:space="preserve">0,63±0,04</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5">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6">
            <w:pPr>
              <w:widowControl w:val="0"/>
              <w:spacing w:after="0" w:before="100" w:lineRule="auto"/>
              <w:ind w:left="0" w:hanging="2"/>
              <w:jc w:val="center"/>
              <w:rPr/>
            </w:pPr>
            <w:r w:rsidDel="00000000" w:rsidR="00000000" w:rsidRPr="00000000">
              <w:rPr>
                <w:rtl w:val="0"/>
              </w:rPr>
              <w:t xml:space="preserve">7,09</w:t>
            </w:r>
          </w:p>
        </w:tc>
      </w:tr>
    </w:tbl>
    <w:p w:rsidR="00000000" w:rsidDel="00000000" w:rsidP="00000000" w:rsidRDefault="00000000" w:rsidRPr="00000000" w14:paraId="00000077">
      <w:pPr>
        <w:spacing w:after="0" w:before="100" w:lineRule="auto"/>
        <w:ind w:left="0" w:firstLine="0"/>
        <w:rPr>
          <w:sz w:val="16"/>
          <w:szCs w:val="16"/>
        </w:rPr>
      </w:pPr>
      <w:r w:rsidDel="00000000" w:rsidR="00000000" w:rsidRPr="00000000">
        <w:rPr>
          <w:sz w:val="16"/>
          <w:szCs w:val="16"/>
          <w:rtl w:val="0"/>
        </w:rPr>
        <w:t xml:space="preserve">Médias seguidas por uma mesma letra na coluna não diferem entre si pelo teste de Tukey α = 0,05.</w:t>
      </w:r>
    </w:p>
    <w:p w:rsidR="00000000" w:rsidDel="00000000" w:rsidP="00000000" w:rsidRDefault="00000000" w:rsidRPr="00000000" w14:paraId="00000078">
      <w:pPr>
        <w:spacing w:after="0" w:before="100" w:lineRule="auto"/>
        <w:ind w:left="0" w:hanging="2"/>
        <w:rPr/>
      </w:pPr>
      <w:r w:rsidDel="00000000" w:rsidR="00000000" w:rsidRPr="00000000">
        <w:rPr>
          <w:rtl w:val="0"/>
        </w:rPr>
        <w:t xml:space="preserve">Ao contrário do que constatamos na Tabela 2, os coeficientes de metabolização (Tabela 3) é parâmetro essencial para inferirmos sobre o aproveitamento de nutrientes para os animais. Verificamos que quando adicionamos alimentos alternativos a dieta das aves observamos que este geralmente tem maior teores de fibra. É sabido que o FDN quando em elevado na dieta diminuem a digestibilidade (Pinheiro et al., 2008) a nível intestinal o que pode repercutir no aproveitamento dos nutrientes da dieta. Os valores de coeficientes de metabolização da MS, PB, FDN e lignina decaem com a inclusão do milho hidropônico. </w:t>
      </w:r>
    </w:p>
    <w:p w:rsidR="00000000" w:rsidDel="00000000" w:rsidP="00000000" w:rsidRDefault="00000000" w:rsidRPr="00000000" w14:paraId="00000079">
      <w:pPr>
        <w:spacing w:after="0" w:before="100" w:lineRule="auto"/>
        <w:ind w:left="0" w:hanging="2"/>
        <w:rPr/>
      </w:pPr>
      <w:r w:rsidDel="00000000" w:rsidR="00000000" w:rsidRPr="00000000">
        <w:rPr>
          <w:rtl w:val="0"/>
        </w:rPr>
      </w:r>
    </w:p>
    <w:p w:rsidR="00000000" w:rsidDel="00000000" w:rsidP="00000000" w:rsidRDefault="00000000" w:rsidRPr="00000000" w14:paraId="0000007A">
      <w:pPr>
        <w:tabs>
          <w:tab w:val="left" w:leader="none" w:pos="426"/>
        </w:tabs>
        <w:spacing w:after="0" w:before="100" w:lineRule="auto"/>
        <w:ind w:left="0" w:hanging="2"/>
        <w:rPr/>
      </w:pPr>
      <w:r w:rsidDel="00000000" w:rsidR="00000000" w:rsidRPr="00000000">
        <w:rPr>
          <w:rtl w:val="0"/>
        </w:rPr>
        <w:t xml:space="preserve">Tabela 3. Valores dos coeficientes de metabolização (CM) dos nutrientes (MS, PB, FDN, FDA e lignina) presentes nas dietas sem ou com inclusão do milho colhido aos 15 e 20 dias após a semeadura.</w:t>
      </w:r>
    </w:p>
    <w:tbl>
      <w:tblPr>
        <w:tblStyle w:val="Table4"/>
        <w:tblpPr w:leftFromText="180" w:rightFromText="180" w:topFromText="180" w:bottomFromText="180" w:vertAnchor="text" w:horzAnchor="text" w:tblpX="0" w:tblpY="1"/>
        <w:tblW w:w="8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6"/>
        <w:gridCol w:w="1951"/>
        <w:gridCol w:w="1651"/>
        <w:gridCol w:w="1632"/>
        <w:gridCol w:w="1056"/>
        <w:gridCol w:w="827"/>
        <w:tblGridChange w:id="0">
          <w:tblGrid>
            <w:gridCol w:w="1226"/>
            <w:gridCol w:w="1951"/>
            <w:gridCol w:w="1651"/>
            <w:gridCol w:w="1632"/>
            <w:gridCol w:w="1056"/>
            <w:gridCol w:w="827"/>
          </w:tblGrid>
        </w:tblGridChange>
      </w:tblGrid>
      <w:tr>
        <w:trPr>
          <w:cantSplit w:val="0"/>
          <w:trHeight w:val="395" w:hRule="atLeast"/>
          <w:tblHeader w:val="0"/>
        </w:trPr>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7B">
            <w:pPr>
              <w:widowControl w:val="0"/>
              <w:spacing w:after="0" w:before="100" w:lineRule="auto"/>
              <w:ind w:left="0" w:hanging="2"/>
              <w:rPr/>
            </w:pPr>
            <w:r w:rsidDel="00000000" w:rsidR="00000000" w:rsidRPr="00000000">
              <w:rPr>
                <w:b w:val="1"/>
                <w:rtl w:val="0"/>
              </w:rPr>
              <w:t xml:space="preserve">Variáveis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C">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1 </w:t>
            </w:r>
            <w:r w:rsidDel="00000000" w:rsidR="00000000" w:rsidRPr="00000000">
              <w:rPr>
                <w:b w:val="1"/>
                <w:rtl w:val="0"/>
              </w:rPr>
              <w:t xml:space="preserve">- Ração Referência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D">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2 </w:t>
            </w:r>
            <w:r w:rsidDel="00000000" w:rsidR="00000000" w:rsidRPr="00000000">
              <w:rPr>
                <w:b w:val="1"/>
                <w:rtl w:val="0"/>
              </w:rPr>
              <w:t xml:space="preserve">– Milho 15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E">
            <w:pPr>
              <w:widowControl w:val="0"/>
              <w:spacing w:after="0" w:before="100" w:lineRule="auto"/>
              <w:ind w:left="0" w:hanging="2"/>
              <w:jc w:val="center"/>
              <w:rPr/>
            </w:pPr>
            <w:r w:rsidDel="00000000" w:rsidR="00000000" w:rsidRPr="00000000">
              <w:rPr>
                <w:b w:val="1"/>
                <w:rtl w:val="0"/>
              </w:rPr>
              <w:t xml:space="preserve">T</w:t>
            </w:r>
            <w:r w:rsidDel="00000000" w:rsidR="00000000" w:rsidRPr="00000000">
              <w:rPr>
                <w:b w:val="1"/>
                <w:vertAlign w:val="subscript"/>
                <w:rtl w:val="0"/>
              </w:rPr>
              <w:t xml:space="preserve">3 </w:t>
            </w:r>
            <w:r w:rsidDel="00000000" w:rsidR="00000000" w:rsidRPr="00000000">
              <w:rPr>
                <w:b w:val="1"/>
                <w:rtl w:val="0"/>
              </w:rPr>
              <w:t xml:space="preserve">–</w:t>
            </w:r>
            <w:r w:rsidDel="00000000" w:rsidR="00000000" w:rsidRPr="00000000">
              <w:rPr>
                <w:b w:val="1"/>
                <w:vertAlign w:val="subscript"/>
                <w:rtl w:val="0"/>
              </w:rPr>
              <w:t xml:space="preserve"> </w:t>
            </w:r>
            <w:r w:rsidDel="00000000" w:rsidR="00000000" w:rsidRPr="00000000">
              <w:rPr>
                <w:b w:val="1"/>
                <w:rtl w:val="0"/>
              </w:rPr>
              <w:t xml:space="preserve">Milho 20 dias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7F">
            <w:pPr>
              <w:widowControl w:val="0"/>
              <w:spacing w:after="0" w:before="100" w:lineRule="auto"/>
              <w:ind w:left="0" w:hanging="2"/>
              <w:jc w:val="center"/>
              <w:rPr/>
            </w:pPr>
            <w:r w:rsidDel="00000000" w:rsidR="00000000" w:rsidRPr="00000000">
              <w:rPr>
                <w:b w:val="1"/>
                <w:rtl w:val="0"/>
              </w:rPr>
              <w:t xml:space="preserve">Valor de P</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80">
            <w:pPr>
              <w:widowControl w:val="0"/>
              <w:spacing w:after="0" w:before="100" w:lineRule="auto"/>
              <w:ind w:left="0" w:hanging="2"/>
              <w:jc w:val="center"/>
              <w:rPr/>
            </w:pPr>
            <w:r w:rsidDel="00000000" w:rsidR="00000000" w:rsidRPr="00000000">
              <w:rPr>
                <w:b w:val="1"/>
                <w:rtl w:val="0"/>
              </w:rPr>
              <w:t xml:space="preserve">CV (%)</w:t>
            </w:r>
            <w:r w:rsidDel="00000000" w:rsidR="00000000" w:rsidRPr="00000000">
              <w:rPr>
                <w:rtl w:val="0"/>
              </w:rPr>
            </w:r>
          </w:p>
        </w:tc>
      </w:tr>
      <w:tr>
        <w:trPr>
          <w:cantSplit w:val="0"/>
          <w:trHeight w:val="395" w:hRule="atLeast"/>
          <w:tblHeader w:val="0"/>
        </w:trPr>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1">
            <w:pPr>
              <w:widowControl w:val="0"/>
              <w:spacing w:after="0" w:before="100" w:lineRule="auto"/>
              <w:ind w:left="0" w:hanging="2"/>
              <w:rPr/>
            </w:pPr>
            <w:r w:rsidDel="00000000" w:rsidR="00000000" w:rsidRPr="00000000">
              <w:rPr>
                <w:rtl w:val="0"/>
              </w:rPr>
              <w:t xml:space="preserve">CM-MS</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2">
            <w:pPr>
              <w:widowControl w:val="0"/>
              <w:spacing w:after="0" w:before="100" w:lineRule="auto"/>
              <w:ind w:left="0" w:hanging="2"/>
              <w:jc w:val="center"/>
              <w:rPr/>
            </w:pPr>
            <w:r w:rsidDel="00000000" w:rsidR="00000000" w:rsidRPr="00000000">
              <w:rPr>
                <w:rtl w:val="0"/>
              </w:rPr>
              <w:t xml:space="preserve">73,41±0,63</w:t>
            </w:r>
            <w:r w:rsidDel="00000000" w:rsidR="00000000" w:rsidRPr="00000000">
              <w:rPr>
                <w:vertAlign w:val="superscript"/>
                <w:rtl w:val="0"/>
              </w:rPr>
              <w:t xml:space="preserve">a</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3">
            <w:pPr>
              <w:widowControl w:val="0"/>
              <w:spacing w:after="0" w:before="100" w:lineRule="auto"/>
              <w:ind w:left="0" w:hanging="2"/>
              <w:jc w:val="center"/>
              <w:rPr/>
            </w:pPr>
            <w:r w:rsidDel="00000000" w:rsidR="00000000" w:rsidRPr="00000000">
              <w:rPr>
                <w:rtl w:val="0"/>
              </w:rPr>
              <w:t xml:space="preserve">68,61±0,37</w:t>
            </w:r>
            <w:r w:rsidDel="00000000" w:rsidR="00000000" w:rsidRPr="00000000">
              <w:rPr>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4">
            <w:pPr>
              <w:widowControl w:val="0"/>
              <w:spacing w:after="0" w:before="100" w:lineRule="auto"/>
              <w:ind w:left="0" w:hanging="2"/>
              <w:jc w:val="center"/>
              <w:rPr/>
            </w:pPr>
            <w:r w:rsidDel="00000000" w:rsidR="00000000" w:rsidRPr="00000000">
              <w:rPr>
                <w:rtl w:val="0"/>
              </w:rPr>
              <w:t xml:space="preserve">68,50±0,90</w:t>
            </w:r>
            <w:r w:rsidDel="00000000" w:rsidR="00000000" w:rsidRPr="00000000">
              <w:rPr>
                <w:vertAlign w:val="superscript"/>
                <w:rtl w:val="0"/>
              </w:rPr>
              <w:t xml:space="preserve">b</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5">
            <w:pPr>
              <w:widowControl w:val="0"/>
              <w:spacing w:after="0" w:before="100" w:lineRule="auto"/>
              <w:ind w:left="0" w:hanging="2"/>
              <w:jc w:val="center"/>
              <w:rPr/>
            </w:pPr>
            <w:r w:rsidDel="00000000" w:rsidR="00000000" w:rsidRPr="00000000">
              <w:rPr>
                <w:rtl w:val="0"/>
              </w:rPr>
              <w:t xml:space="preserve">&lt;0,0001</w:t>
            </w:r>
          </w:p>
        </w:tc>
        <w:tc>
          <w:tcPr>
            <w:tcBorders>
              <w:top w:color="000000" w:space="0" w:sz="4" w:val="single"/>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6">
            <w:pPr>
              <w:widowControl w:val="0"/>
              <w:spacing w:after="0" w:before="100" w:lineRule="auto"/>
              <w:ind w:left="0" w:hanging="2"/>
              <w:jc w:val="center"/>
              <w:rPr/>
            </w:pPr>
            <w:r w:rsidDel="00000000" w:rsidR="00000000" w:rsidRPr="00000000">
              <w:rPr>
                <w:rtl w:val="0"/>
              </w:rPr>
              <w:t xml:space="preserve">0,95</w:t>
            </w:r>
          </w:p>
        </w:tc>
      </w:tr>
      <w:tr>
        <w:trPr>
          <w:cantSplit w:val="0"/>
          <w:trHeight w:val="39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7">
            <w:pPr>
              <w:widowControl w:val="0"/>
              <w:spacing w:after="0" w:before="100" w:lineRule="auto"/>
              <w:ind w:left="0" w:hanging="2"/>
              <w:rPr/>
            </w:pPr>
            <w:r w:rsidDel="00000000" w:rsidR="00000000" w:rsidRPr="00000000">
              <w:rPr>
                <w:rtl w:val="0"/>
              </w:rPr>
              <w:t xml:space="preserve">CM-PB</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8">
            <w:pPr>
              <w:widowControl w:val="0"/>
              <w:spacing w:after="0" w:before="100" w:lineRule="auto"/>
              <w:ind w:left="0" w:hanging="2"/>
              <w:jc w:val="center"/>
              <w:rPr/>
            </w:pPr>
            <w:r w:rsidDel="00000000" w:rsidR="00000000" w:rsidRPr="00000000">
              <w:rPr>
                <w:rtl w:val="0"/>
              </w:rPr>
              <w:t xml:space="preserve">66,59±1,07</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9">
            <w:pPr>
              <w:widowControl w:val="0"/>
              <w:spacing w:after="0" w:before="100" w:lineRule="auto"/>
              <w:ind w:left="0" w:hanging="2"/>
              <w:jc w:val="center"/>
              <w:rPr/>
            </w:pPr>
            <w:r w:rsidDel="00000000" w:rsidR="00000000" w:rsidRPr="00000000">
              <w:rPr>
                <w:rtl w:val="0"/>
              </w:rPr>
              <w:t xml:space="preserve">59,98±1,09</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A">
            <w:pPr>
              <w:widowControl w:val="0"/>
              <w:spacing w:after="0" w:before="100" w:lineRule="auto"/>
              <w:ind w:left="0" w:hanging="2"/>
              <w:jc w:val="center"/>
              <w:rPr/>
            </w:pPr>
            <w:r w:rsidDel="00000000" w:rsidR="00000000" w:rsidRPr="00000000">
              <w:rPr>
                <w:rtl w:val="0"/>
              </w:rPr>
              <w:t xml:space="preserve">56,11±1,96</w:t>
            </w:r>
            <w:r w:rsidDel="00000000" w:rsidR="00000000" w:rsidRPr="00000000">
              <w:rPr>
                <w:vertAlign w:val="superscript"/>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B">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C">
            <w:pPr>
              <w:widowControl w:val="0"/>
              <w:spacing w:after="0" w:before="100" w:lineRule="auto"/>
              <w:ind w:left="0" w:hanging="2"/>
              <w:jc w:val="center"/>
              <w:rPr/>
            </w:pPr>
            <w:r w:rsidDel="00000000" w:rsidR="00000000" w:rsidRPr="00000000">
              <w:rPr>
                <w:rtl w:val="0"/>
              </w:rPr>
              <w:t xml:space="preserve">2,36</w:t>
            </w:r>
          </w:p>
        </w:tc>
      </w:tr>
      <w:tr>
        <w:trPr>
          <w:cantSplit w:val="0"/>
          <w:trHeight w:val="39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D">
            <w:pPr>
              <w:widowControl w:val="0"/>
              <w:spacing w:after="0" w:before="100" w:lineRule="auto"/>
              <w:ind w:left="0" w:hanging="2"/>
              <w:rPr/>
            </w:pPr>
            <w:r w:rsidDel="00000000" w:rsidR="00000000" w:rsidRPr="00000000">
              <w:rPr>
                <w:rtl w:val="0"/>
              </w:rPr>
              <w:t xml:space="preserve">CM-FDN</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E">
            <w:pPr>
              <w:widowControl w:val="0"/>
              <w:spacing w:after="0" w:before="100" w:lineRule="auto"/>
              <w:ind w:left="0" w:hanging="2"/>
              <w:jc w:val="center"/>
              <w:rPr/>
            </w:pPr>
            <w:r w:rsidDel="00000000" w:rsidR="00000000" w:rsidRPr="00000000">
              <w:rPr>
                <w:rtl w:val="0"/>
              </w:rPr>
              <w:t xml:space="preserve">70,38±1,38</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F">
            <w:pPr>
              <w:widowControl w:val="0"/>
              <w:spacing w:after="0" w:before="100" w:lineRule="auto"/>
              <w:ind w:left="0" w:hanging="2"/>
              <w:jc w:val="center"/>
              <w:rPr/>
            </w:pPr>
            <w:r w:rsidDel="00000000" w:rsidR="00000000" w:rsidRPr="00000000">
              <w:rPr>
                <w:rtl w:val="0"/>
              </w:rPr>
              <w:t xml:space="preserve">65,92±0,46</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0">
            <w:pPr>
              <w:widowControl w:val="0"/>
              <w:spacing w:after="0" w:before="100" w:lineRule="auto"/>
              <w:ind w:left="0" w:hanging="2"/>
              <w:jc w:val="center"/>
              <w:rPr/>
            </w:pPr>
            <w:r w:rsidDel="00000000" w:rsidR="00000000" w:rsidRPr="00000000">
              <w:rPr>
                <w:rtl w:val="0"/>
              </w:rPr>
              <w:t xml:space="preserve">63,48±0,34</w:t>
            </w:r>
            <w:r w:rsidDel="00000000" w:rsidR="00000000" w:rsidRPr="00000000">
              <w:rPr>
                <w:vertAlign w:val="superscript"/>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1">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2">
            <w:pPr>
              <w:widowControl w:val="0"/>
              <w:spacing w:after="0" w:before="100" w:lineRule="auto"/>
              <w:ind w:left="0" w:hanging="2"/>
              <w:jc w:val="center"/>
              <w:rPr/>
            </w:pPr>
            <w:r w:rsidDel="00000000" w:rsidR="00000000" w:rsidRPr="00000000">
              <w:rPr>
                <w:rtl w:val="0"/>
              </w:rPr>
              <w:t xml:space="preserve">1,29</w:t>
            </w:r>
          </w:p>
        </w:tc>
      </w:tr>
      <w:tr>
        <w:trPr>
          <w:cantSplit w:val="0"/>
          <w:trHeight w:val="412"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3">
            <w:pPr>
              <w:widowControl w:val="0"/>
              <w:spacing w:after="0" w:before="100" w:lineRule="auto"/>
              <w:ind w:left="0" w:hanging="2"/>
              <w:rPr/>
            </w:pPr>
            <w:r w:rsidDel="00000000" w:rsidR="00000000" w:rsidRPr="00000000">
              <w:rPr>
                <w:rtl w:val="0"/>
              </w:rPr>
              <w:t xml:space="preserve">CM-FDA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4">
            <w:pPr>
              <w:widowControl w:val="0"/>
              <w:spacing w:after="0" w:before="100" w:lineRule="auto"/>
              <w:ind w:left="0" w:hanging="2"/>
              <w:jc w:val="center"/>
              <w:rPr/>
            </w:pPr>
            <w:r w:rsidDel="00000000" w:rsidR="00000000" w:rsidRPr="00000000">
              <w:rPr>
                <w:rtl w:val="0"/>
              </w:rPr>
              <w:t xml:space="preserve">13,82±1,93</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5">
            <w:pPr>
              <w:widowControl w:val="0"/>
              <w:spacing w:after="0" w:before="100" w:lineRule="auto"/>
              <w:ind w:left="0" w:hanging="2"/>
              <w:jc w:val="center"/>
              <w:rPr/>
            </w:pPr>
            <w:r w:rsidDel="00000000" w:rsidR="00000000" w:rsidRPr="00000000">
              <w:rPr>
                <w:rtl w:val="0"/>
              </w:rPr>
              <w:t xml:space="preserve">13,87±1,35</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6">
            <w:pPr>
              <w:widowControl w:val="0"/>
              <w:spacing w:after="0" w:before="100" w:lineRule="auto"/>
              <w:ind w:left="0" w:hanging="2"/>
              <w:jc w:val="center"/>
              <w:rPr/>
            </w:pPr>
            <w:r w:rsidDel="00000000" w:rsidR="00000000" w:rsidRPr="00000000">
              <w:rPr>
                <w:rtl w:val="0"/>
              </w:rPr>
              <w:t xml:space="preserve">15,52±2,02</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7">
            <w:pPr>
              <w:widowControl w:val="0"/>
              <w:spacing w:after="0" w:before="100" w:lineRule="auto"/>
              <w:ind w:left="0" w:hanging="2"/>
              <w:jc w:val="center"/>
              <w:rPr/>
            </w:pPr>
            <w:r w:rsidDel="00000000" w:rsidR="00000000" w:rsidRPr="00000000">
              <w:rPr>
                <w:rtl w:val="0"/>
              </w:rPr>
              <w:t xml:space="preserve">0,2710</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98">
            <w:pPr>
              <w:widowControl w:val="0"/>
              <w:spacing w:after="0" w:before="100" w:lineRule="auto"/>
              <w:ind w:left="0" w:hanging="2"/>
              <w:jc w:val="center"/>
              <w:rPr/>
            </w:pPr>
            <w:r w:rsidDel="00000000" w:rsidR="00000000" w:rsidRPr="00000000">
              <w:rPr>
                <w:rtl w:val="0"/>
              </w:rPr>
              <w:t xml:space="preserve">12,43</w:t>
            </w:r>
          </w:p>
        </w:tc>
      </w:tr>
      <w:tr>
        <w:trPr>
          <w:cantSplit w:val="0"/>
          <w:trHeight w:val="395" w:hRule="atLeast"/>
          <w:tblHeader w:val="0"/>
        </w:trPr>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9">
            <w:pPr>
              <w:widowControl w:val="0"/>
              <w:spacing w:after="0" w:before="100" w:lineRule="auto"/>
              <w:ind w:left="0" w:hanging="2"/>
              <w:rPr/>
            </w:pPr>
            <w:r w:rsidDel="00000000" w:rsidR="00000000" w:rsidRPr="00000000">
              <w:rPr>
                <w:rtl w:val="0"/>
              </w:rPr>
              <w:t xml:space="preserve">CM-Lignina</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A">
            <w:pPr>
              <w:widowControl w:val="0"/>
              <w:spacing w:after="0" w:before="100" w:lineRule="auto"/>
              <w:ind w:left="0" w:hanging="2"/>
              <w:jc w:val="center"/>
              <w:rPr/>
            </w:pPr>
            <w:r w:rsidDel="00000000" w:rsidR="00000000" w:rsidRPr="00000000">
              <w:rPr>
                <w:rtl w:val="0"/>
              </w:rPr>
              <w:t xml:space="preserve">66,77±1,91</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B">
            <w:pPr>
              <w:widowControl w:val="0"/>
              <w:spacing w:after="0" w:before="100" w:lineRule="auto"/>
              <w:ind w:left="0" w:hanging="2"/>
              <w:jc w:val="center"/>
              <w:rPr/>
            </w:pPr>
            <w:r w:rsidDel="00000000" w:rsidR="00000000" w:rsidRPr="00000000">
              <w:rPr>
                <w:rtl w:val="0"/>
              </w:rPr>
              <w:t xml:space="preserve">60,99±5,71</w:t>
            </w:r>
            <w:r w:rsidDel="00000000" w:rsidR="00000000" w:rsidRPr="00000000">
              <w:rPr>
                <w:vertAlign w:val="superscript"/>
                <w:rtl w:val="0"/>
              </w:rPr>
              <w:t xml:space="preserve">a</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C">
            <w:pPr>
              <w:widowControl w:val="0"/>
              <w:spacing w:after="0" w:before="100" w:lineRule="auto"/>
              <w:ind w:left="0" w:hanging="2"/>
              <w:jc w:val="center"/>
              <w:rPr/>
            </w:pPr>
            <w:r w:rsidDel="00000000" w:rsidR="00000000" w:rsidRPr="00000000">
              <w:rPr>
                <w:rtl w:val="0"/>
              </w:rPr>
              <w:t xml:space="preserve">50,49±3,20</w:t>
            </w:r>
            <w:r w:rsidDel="00000000" w:rsidR="00000000" w:rsidRPr="00000000">
              <w:rPr>
                <w:vertAlign w:val="superscript"/>
                <w:rtl w:val="0"/>
              </w:rPr>
              <w:t xml:space="preserve">b</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D">
            <w:pPr>
              <w:widowControl w:val="0"/>
              <w:spacing w:after="0" w:before="100" w:lineRule="auto"/>
              <w:ind w:left="0" w:hanging="2"/>
              <w:jc w:val="center"/>
              <w:rPr/>
            </w:pPr>
            <w:r w:rsidDel="00000000" w:rsidR="00000000" w:rsidRPr="00000000">
              <w:rPr>
                <w:rtl w:val="0"/>
              </w:rPr>
              <w:t xml:space="preserve">&lt;0,0001</w:t>
            </w:r>
          </w:p>
        </w:tc>
        <w:tc>
          <w:tcPr>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9E">
            <w:pPr>
              <w:widowControl w:val="0"/>
              <w:spacing w:after="0" w:before="100" w:lineRule="auto"/>
              <w:ind w:left="0" w:hanging="2"/>
              <w:jc w:val="center"/>
              <w:rPr/>
            </w:pPr>
            <w:r w:rsidDel="00000000" w:rsidR="00000000" w:rsidRPr="00000000">
              <w:rPr>
                <w:rtl w:val="0"/>
              </w:rPr>
              <w:t xml:space="preserve">6,63</w:t>
            </w:r>
          </w:p>
        </w:tc>
      </w:tr>
    </w:tbl>
    <w:p w:rsidR="00000000" w:rsidDel="00000000" w:rsidP="00000000" w:rsidRDefault="00000000" w:rsidRPr="00000000" w14:paraId="0000009F">
      <w:pPr>
        <w:spacing w:after="0" w:before="100" w:lineRule="auto"/>
        <w:ind w:left="0" w:hanging="2"/>
        <w:rPr/>
      </w:pP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Considerações Finais</w:t>
      </w:r>
    </w:p>
    <w:p w:rsidR="00000000" w:rsidDel="00000000" w:rsidP="00000000" w:rsidRDefault="00000000" w:rsidRPr="00000000" w14:paraId="000000A1">
      <w:pPr>
        <w:spacing w:line="360" w:lineRule="auto"/>
        <w:ind w:left="0" w:hanging="2"/>
        <w:rPr/>
      </w:pPr>
      <w:r w:rsidDel="00000000" w:rsidR="00000000" w:rsidRPr="00000000">
        <w:rPr>
          <w:rtl w:val="0"/>
        </w:rPr>
        <w:t xml:space="preserve"> </w:t>
        <w:tab/>
        <w:t xml:space="preserve">O milho hidropônico tem potencial de uso na alimentação de frangos de crescimento lento uma vez que os princípios da criação são mais baseados em subsistência dos pequenos produtores do que obterem lucros extraordinários com a criação, querendo muita das vezes adicionar ingrediente a dieta somente para diminuir o uso de ração comercial.</w:t>
      </w:r>
    </w:p>
    <w:p w:rsidR="00000000" w:rsidDel="00000000" w:rsidP="00000000" w:rsidRDefault="00000000" w:rsidRPr="00000000" w14:paraId="000000A2">
      <w:pPr>
        <w:spacing w:line="360" w:lineRule="auto"/>
        <w:ind w:left="0" w:hanging="2"/>
        <w:rPr/>
      </w:pPr>
      <w:r w:rsidDel="00000000" w:rsidR="00000000" w:rsidRPr="00000000">
        <w:rPr>
          <w:rtl w:val="0"/>
        </w:rPr>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Referências Bibliográficas</w:t>
      </w:r>
    </w:p>
    <w:p w:rsidR="00000000" w:rsidDel="00000000" w:rsidP="00000000" w:rsidRDefault="00000000" w:rsidRPr="00000000" w14:paraId="000000A4">
      <w:pPr>
        <w:spacing w:line="360" w:lineRule="auto"/>
        <w:ind w:left="0" w:hanging="2"/>
        <w:rPr/>
      </w:pPr>
      <w:r w:rsidDel="00000000" w:rsidR="00000000" w:rsidRPr="00000000">
        <w:rPr>
          <w:rtl w:val="0"/>
        </w:rPr>
        <w:t xml:space="preserve">ALMEIDA, J. C. S.; VALENTIM, J. K.; FARIA, D. J. G.; NORONHA, C. M. S.; VELARDE, J. M. D. S.; MENDES, J. P.; Bromatological composition and dry matter production of corn hydroponic fodder. </w:t>
      </w:r>
      <w:r w:rsidDel="00000000" w:rsidR="00000000" w:rsidRPr="00000000">
        <w:rPr>
          <w:b w:val="1"/>
          <w:rtl w:val="0"/>
        </w:rPr>
        <w:t xml:space="preserve">Acta Scientiarum Animal Science</w:t>
      </w:r>
      <w:r w:rsidDel="00000000" w:rsidR="00000000" w:rsidRPr="00000000">
        <w:rPr>
          <w:rtl w:val="0"/>
        </w:rPr>
        <w:t xml:space="preserve">, v.43, n.1, e48800, 2021. DOI: 10.4025/actascianimsci.v43i1.48800</w:t>
      </w:r>
    </w:p>
    <w:p w:rsidR="00000000" w:rsidDel="00000000" w:rsidP="00000000" w:rsidRDefault="00000000" w:rsidRPr="00000000" w14:paraId="000000A5">
      <w:pPr>
        <w:spacing w:line="360" w:lineRule="auto"/>
        <w:ind w:left="0" w:hanging="2"/>
        <w:rPr/>
      </w:pPr>
      <w:r w:rsidDel="00000000" w:rsidR="00000000" w:rsidRPr="00000000">
        <w:rPr>
          <w:rtl w:val="0"/>
        </w:rPr>
        <w:t xml:space="preserve">ARAUJO, V. S.; COELHO, F. C.; CUNHA, R. C. V.; LOMBARDI, C. T. Forragem hidropônica de milho cultivado em bagaço de cana e vinhoto. </w:t>
      </w:r>
      <w:r w:rsidDel="00000000" w:rsidR="00000000" w:rsidRPr="00000000">
        <w:rPr>
          <w:b w:val="1"/>
          <w:rtl w:val="0"/>
        </w:rPr>
        <w:t xml:space="preserve">Revista Brasileira de Milho e Sorgo</w:t>
      </w:r>
      <w:r w:rsidDel="00000000" w:rsidR="00000000" w:rsidRPr="00000000">
        <w:rPr>
          <w:rtl w:val="0"/>
        </w:rPr>
        <w:t xml:space="preserve">, v.7, n.3, p. 251-264, 2008; DOI: chromeextension://efaidnbmnnnibpcajpcglclefindmkaj/https://ainfo.cnptia.embrapa.br/digital/bitstream/item/101778/1/Forragem-hidroponica.pdf </w:t>
      </w:r>
    </w:p>
    <w:p w:rsidR="00000000" w:rsidDel="00000000" w:rsidP="00000000" w:rsidRDefault="00000000" w:rsidRPr="00000000" w14:paraId="000000A6">
      <w:pPr>
        <w:spacing w:line="360" w:lineRule="auto"/>
        <w:ind w:left="0" w:hanging="2"/>
        <w:rPr/>
      </w:pPr>
      <w:r w:rsidDel="00000000" w:rsidR="00000000" w:rsidRPr="00000000">
        <w:rPr>
          <w:rtl w:val="0"/>
        </w:rPr>
        <w:t xml:space="preserve">ASSOCIATION OF OFFICIAL AGRICULTURAL CHEMISTS. </w:t>
      </w:r>
      <w:r w:rsidDel="00000000" w:rsidR="00000000" w:rsidRPr="00000000">
        <w:rPr>
          <w:b w:val="1"/>
          <w:rtl w:val="0"/>
        </w:rPr>
        <w:t xml:space="preserve">Official methods of analysis</w:t>
      </w:r>
      <w:r w:rsidDel="00000000" w:rsidR="00000000" w:rsidRPr="00000000">
        <w:rPr>
          <w:rtl w:val="0"/>
        </w:rPr>
        <w:t xml:space="preserve">. 16th. ed. Washington: AOAC, v. 2, p. 5-9, 1995. </w:t>
      </w:r>
    </w:p>
    <w:p w:rsidR="00000000" w:rsidDel="00000000" w:rsidP="00000000" w:rsidRDefault="00000000" w:rsidRPr="00000000" w14:paraId="000000A7">
      <w:pPr>
        <w:spacing w:line="360" w:lineRule="auto"/>
        <w:ind w:left="0" w:hanging="2"/>
        <w:rPr/>
      </w:pPr>
      <w:r w:rsidDel="00000000" w:rsidR="00000000" w:rsidRPr="00000000">
        <w:rPr>
          <w:rtl w:val="0"/>
        </w:rPr>
        <w:t xml:space="preserve">CAMPÊLO, J. E. G.; OLIVEIRA, J. C. G.; ROCHA, A. S.; CARVALHO, J. F.; MOURA, G. C.; OLIVEIRA, M. E.; SILVA, J. A. L.; MOURA, J. W. S.; COSTA, V. M.; UCHOA, L. M. Forragem de milho hidropônico produzida com diferentes substratos. </w:t>
      </w:r>
      <w:r w:rsidDel="00000000" w:rsidR="00000000" w:rsidRPr="00000000">
        <w:rPr>
          <w:b w:val="1"/>
          <w:rtl w:val="0"/>
        </w:rPr>
        <w:t xml:space="preserve">Revista Brasileira de Zootecnia</w:t>
      </w:r>
      <w:r w:rsidDel="00000000" w:rsidR="00000000" w:rsidRPr="00000000">
        <w:rPr>
          <w:rtl w:val="0"/>
        </w:rPr>
        <w:t xml:space="preserve">, v.36, n.2, p. 276-281, 2007. DOI: 10.1590/S1516-35982007000200002</w:t>
      </w:r>
    </w:p>
    <w:p w:rsidR="00000000" w:rsidDel="00000000" w:rsidP="00000000" w:rsidRDefault="00000000" w:rsidRPr="00000000" w14:paraId="000000A8">
      <w:pPr>
        <w:spacing w:line="360" w:lineRule="auto"/>
        <w:ind w:left="0" w:hanging="2"/>
        <w:rPr/>
      </w:pPr>
      <w:r w:rsidDel="00000000" w:rsidR="00000000" w:rsidRPr="00000000">
        <w:rPr>
          <w:rtl w:val="0"/>
        </w:rPr>
        <w:t xml:space="preserve">CHAVES, J. S.; LEAL, M. L. A.; ALVES, R. N.; RODRIGUES, T. G.; SOUZA, F. G.; MIRANDA, A. F. M.; NASCIMENTO, J. P. S.; SOARES, R. B. Avaliação da produtividade de milho hidropônico sobre substrato de bagaço de cana-de-açúcar. </w:t>
      </w:r>
      <w:r w:rsidDel="00000000" w:rsidR="00000000" w:rsidRPr="00000000">
        <w:rPr>
          <w:b w:val="1"/>
          <w:rtl w:val="0"/>
        </w:rPr>
        <w:t xml:space="preserve">Brazilian Applied Science Review</w:t>
      </w:r>
      <w:r w:rsidDel="00000000" w:rsidR="00000000" w:rsidRPr="00000000">
        <w:rPr>
          <w:rtl w:val="0"/>
        </w:rPr>
        <w:t xml:space="preserve">, v.4, n.4, p. 2236-2247, 2020. DOI: 10.34115/basrv4n4-009 </w:t>
      </w:r>
    </w:p>
    <w:p w:rsidR="00000000" w:rsidDel="00000000" w:rsidP="00000000" w:rsidRDefault="00000000" w:rsidRPr="00000000" w14:paraId="000000A9">
      <w:pPr>
        <w:spacing w:line="360" w:lineRule="auto"/>
        <w:ind w:left="0" w:hanging="2"/>
        <w:rPr/>
      </w:pPr>
      <w:r w:rsidDel="00000000" w:rsidR="00000000" w:rsidRPr="00000000">
        <w:rPr>
          <w:rtl w:val="0"/>
        </w:rPr>
        <w:t xml:space="preserve">ESPINOZA, F.; ARGENTI, P.; URDANETA, G.; ARAQUE, C.; FUENTES, A.; PALMA, J.; BELLO, C. Uso del forraje de maíz (Zea mays) hidropónico en la alimentación de toretes mestizos. </w:t>
      </w:r>
      <w:r w:rsidDel="00000000" w:rsidR="00000000" w:rsidRPr="00000000">
        <w:rPr>
          <w:b w:val="1"/>
          <w:rtl w:val="0"/>
        </w:rPr>
        <w:t xml:space="preserve">Zootecnia Tropical</w:t>
      </w:r>
      <w:r w:rsidDel="00000000" w:rsidR="00000000" w:rsidRPr="00000000">
        <w:rPr>
          <w:rtl w:val="0"/>
        </w:rPr>
        <w:t xml:space="preserve">, v.22, n.4, p.303-315, 2004. DOI: </w:t>
      </w:r>
      <w:hyperlink r:id="rId9">
        <w:r w:rsidDel="00000000" w:rsidR="00000000" w:rsidRPr="00000000">
          <w:rPr>
            <w:color w:val="1155cc"/>
            <w:u w:val="single"/>
            <w:rtl w:val="0"/>
          </w:rPr>
          <w:t xml:space="preserve">http://ve.scielo.org/scielo.php?script=sci_arttext&amp;pid=S0798-72692004000400001</w:t>
        </w:r>
      </w:hyperlink>
      <w:r w:rsidDel="00000000" w:rsidR="00000000" w:rsidRPr="00000000">
        <w:rPr>
          <w:rtl w:val="0"/>
        </w:rPr>
      </w:r>
    </w:p>
    <w:p w:rsidR="00000000" w:rsidDel="00000000" w:rsidP="00000000" w:rsidRDefault="00000000" w:rsidRPr="00000000" w14:paraId="000000AA">
      <w:pPr>
        <w:spacing w:line="360" w:lineRule="auto"/>
        <w:ind w:left="0" w:hanging="2"/>
        <w:rPr/>
      </w:pPr>
      <w:r w:rsidDel="00000000" w:rsidR="00000000" w:rsidRPr="00000000">
        <w:rPr>
          <w:rtl w:val="0"/>
        </w:rPr>
        <w:t xml:space="preserve">HOLANDA J. M. F.; LAZARINI, E.; SANCHES, I. R. Produção de matéria seca e composição bromatológica de milho e soja hidropônicos em palha de arroz e N em cobertura. </w:t>
      </w:r>
      <w:r w:rsidDel="00000000" w:rsidR="00000000" w:rsidRPr="00000000">
        <w:rPr>
          <w:b w:val="1"/>
          <w:rtl w:val="0"/>
        </w:rPr>
        <w:t xml:space="preserve">Research, Society and Development</w:t>
      </w:r>
      <w:r w:rsidDel="00000000" w:rsidR="00000000" w:rsidRPr="00000000">
        <w:rPr>
          <w:rtl w:val="0"/>
        </w:rPr>
        <w:t xml:space="preserve">, v.10, n.6, e26310615765, 2021. DOI: 10.33448/rsd-v10i6.15765</w:t>
      </w:r>
    </w:p>
    <w:p w:rsidR="00000000" w:rsidDel="00000000" w:rsidP="00000000" w:rsidRDefault="00000000" w:rsidRPr="00000000" w14:paraId="000000AB">
      <w:pPr>
        <w:spacing w:line="360" w:lineRule="auto"/>
        <w:ind w:left="0" w:hanging="2"/>
        <w:rPr/>
      </w:pPr>
      <w:r w:rsidDel="00000000" w:rsidR="00000000" w:rsidRPr="00000000">
        <w:rPr>
          <w:rtl w:val="0"/>
        </w:rPr>
        <w:t xml:space="preserve">MÜLLER, L.; MANFRON, P. A.; SANTOS, O. S.; MEDEIROS, S. L . P.; HAUT, V.; NETO, D. D.; FAGAN, E. B.; BANDEIRA, A. H. Produção e composição bromatológica da forragem hidropônica de milho, Zea mays L., com diferentes densidades de semeadura e datas de colheita. </w:t>
      </w:r>
      <w:r w:rsidDel="00000000" w:rsidR="00000000" w:rsidRPr="00000000">
        <w:rPr>
          <w:b w:val="1"/>
          <w:rtl w:val="0"/>
        </w:rPr>
        <w:t xml:space="preserve">Zootecnia Tropical</w:t>
      </w:r>
      <w:r w:rsidDel="00000000" w:rsidR="00000000" w:rsidRPr="00000000">
        <w:rPr>
          <w:rtl w:val="0"/>
        </w:rPr>
        <w:t xml:space="preserve">. v.23 n.2, 2005. DOI: </w:t>
      </w:r>
      <w:hyperlink r:id="rId10">
        <w:r w:rsidDel="00000000" w:rsidR="00000000" w:rsidRPr="00000000">
          <w:rPr>
            <w:color w:val="1155cc"/>
            <w:u w:val="single"/>
            <w:rtl w:val="0"/>
          </w:rPr>
          <w:t xml:space="preserve">http://ve.scielo.org/scielo.php?script=sci_arttext&amp;pid=S0798-72692005000200002</w:t>
        </w:r>
      </w:hyperlink>
      <w:r w:rsidDel="00000000" w:rsidR="00000000" w:rsidRPr="00000000">
        <w:rPr>
          <w:rtl w:val="0"/>
        </w:rPr>
      </w:r>
    </w:p>
    <w:p w:rsidR="00000000" w:rsidDel="00000000" w:rsidP="00000000" w:rsidRDefault="00000000" w:rsidRPr="00000000" w14:paraId="000000AC">
      <w:pPr>
        <w:spacing w:line="360" w:lineRule="auto"/>
        <w:ind w:left="0" w:hanging="2"/>
        <w:rPr/>
      </w:pPr>
      <w:r w:rsidDel="00000000" w:rsidR="00000000" w:rsidRPr="00000000">
        <w:rPr>
          <w:rtl w:val="0"/>
        </w:rPr>
        <w:t xml:space="preserve">PÍCCOLO, M. A; COELHO, F. C; GRAVINA, G. A.; MARCIANO, C. R.; RANGEL, O. J. P. Produção de forragem verde hidropônica de milho, utilizando substratos orgânicos e água residuária de bovinos. </w:t>
      </w:r>
      <w:r w:rsidDel="00000000" w:rsidR="00000000" w:rsidRPr="00000000">
        <w:rPr>
          <w:b w:val="1"/>
          <w:rtl w:val="0"/>
        </w:rPr>
        <w:t xml:space="preserve">Revista Ceres</w:t>
      </w:r>
      <w:r w:rsidDel="00000000" w:rsidR="00000000" w:rsidRPr="00000000">
        <w:rPr>
          <w:rtl w:val="0"/>
        </w:rPr>
        <w:t xml:space="preserve">, v.60, n.4, p.544-551, 2013. DOI: 10.1590/S0034-737X2013000400014</w:t>
      </w:r>
    </w:p>
    <w:p w:rsidR="00000000" w:rsidDel="00000000" w:rsidP="00000000" w:rsidRDefault="00000000" w:rsidRPr="00000000" w14:paraId="000000AD">
      <w:pPr>
        <w:spacing w:line="360" w:lineRule="auto"/>
        <w:ind w:left="0" w:hanging="2"/>
        <w:rPr/>
      </w:pPr>
      <w:r w:rsidDel="00000000" w:rsidR="00000000" w:rsidRPr="00000000">
        <w:rPr>
          <w:rtl w:val="0"/>
        </w:rPr>
        <w:t xml:space="preserve">ROCHA, R. J. S.; SALVIANO, A. A. C.; ALVES, A. A.; NEIVA, J. N. M.; LOPES, J. B.; SILVA, L. R. F. Produtividade e composição química da forragem hidropônica de milho em diferentes densidades de semeadura no substrato casca de arroz. Revista Científica de Produção Animal, v.16, n.1, p.25-31, 2014. DOI: 10.15528/2176-4158/rcpa.v16n1p25-31</w:t>
      </w:r>
    </w:p>
    <w:p w:rsidR="00000000" w:rsidDel="00000000" w:rsidP="00000000" w:rsidRDefault="00000000" w:rsidRPr="00000000" w14:paraId="000000AE">
      <w:pPr>
        <w:spacing w:line="360" w:lineRule="auto"/>
        <w:ind w:left="0" w:hanging="2"/>
        <w:rPr/>
      </w:pPr>
      <w:r w:rsidDel="00000000" w:rsidR="00000000" w:rsidRPr="00000000">
        <w:rPr>
          <w:rtl w:val="0"/>
        </w:rPr>
        <w:t xml:space="preserve">ROSTAGNO, H. S.; ALBINO, L. F. T.; HANNAS, M.I.; DONZELE, J.L.;SAKOMURA, N.K.; PERAZZO, F.G.; SARAIVA, A.; TEIXEIRA, M.V.;RODRIGUES, P.B.;OLIVEIRA, R.F.; BARRETO, S.L.T.; BRITO, C.O. </w:t>
      </w:r>
      <w:r w:rsidDel="00000000" w:rsidR="00000000" w:rsidRPr="00000000">
        <w:rPr>
          <w:b w:val="1"/>
          <w:rtl w:val="0"/>
        </w:rPr>
        <w:t xml:space="preserve">Tabelas brasileiras para aves e suínos: composição de alimentos e exigências nutricionais</w:t>
      </w:r>
      <w:r w:rsidDel="00000000" w:rsidR="00000000" w:rsidRPr="00000000">
        <w:rPr>
          <w:rtl w:val="0"/>
        </w:rPr>
        <w:t xml:space="preserve">. 4a edição. Viçosa, MG: Departamento de Zootecnia, Universidade Federal de Viçosa, 2017. 488p.</w:t>
      </w:r>
    </w:p>
    <w:p w:rsidR="00000000" w:rsidDel="00000000" w:rsidP="00000000" w:rsidRDefault="00000000" w:rsidRPr="00000000" w14:paraId="000000AF">
      <w:pPr>
        <w:spacing w:line="360" w:lineRule="auto"/>
        <w:ind w:left="0" w:hanging="2"/>
        <w:rPr/>
      </w:pPr>
      <w:r w:rsidDel="00000000" w:rsidR="00000000" w:rsidRPr="00000000">
        <w:rPr>
          <w:rtl w:val="0"/>
        </w:rPr>
        <w:t xml:space="preserve">SAKOMURA, N. K.; ROSTAGNO, H. S. </w:t>
      </w:r>
      <w:r w:rsidDel="00000000" w:rsidR="00000000" w:rsidRPr="00000000">
        <w:rPr>
          <w:b w:val="1"/>
          <w:rtl w:val="0"/>
        </w:rPr>
        <w:t xml:space="preserve">Métodos de pesquisa em nutrição de monogástricos</w:t>
      </w:r>
      <w:r w:rsidDel="00000000" w:rsidR="00000000" w:rsidRPr="00000000">
        <w:rPr>
          <w:rtl w:val="0"/>
        </w:rPr>
        <w:t xml:space="preserve">. 2.ed. Jaboticabal: Funep, 2016. 283p.</w:t>
      </w:r>
    </w:p>
    <w:p w:rsidR="00000000" w:rsidDel="00000000" w:rsidP="00000000" w:rsidRDefault="00000000" w:rsidRPr="00000000" w14:paraId="000000B0">
      <w:pPr>
        <w:spacing w:line="360" w:lineRule="auto"/>
        <w:ind w:left="0" w:hanging="2"/>
        <w:rPr/>
      </w:pPr>
      <w:r w:rsidDel="00000000" w:rsidR="00000000" w:rsidRPr="00000000">
        <w:rPr>
          <w:rtl w:val="0"/>
        </w:rPr>
        <w:t xml:space="preserve">SAS INSTITUTE. </w:t>
      </w:r>
      <w:r w:rsidDel="00000000" w:rsidR="00000000" w:rsidRPr="00000000">
        <w:rPr>
          <w:b w:val="1"/>
          <w:rtl w:val="0"/>
        </w:rPr>
        <w:t xml:space="preserve">SAS/STAT: User’s Guide</w:t>
      </w:r>
      <w:r w:rsidDel="00000000" w:rsidR="00000000" w:rsidRPr="00000000">
        <w:rPr>
          <w:rtl w:val="0"/>
        </w:rPr>
        <w:t xml:space="preserve">. Versão 6.11. 4th ed. Cary: SAS Institute, v. 2, 2000, 842p.</w:t>
      </w:r>
    </w:p>
    <w:p w:rsidR="00000000" w:rsidDel="00000000" w:rsidP="00000000" w:rsidRDefault="00000000" w:rsidRPr="00000000" w14:paraId="000000B1">
      <w:pPr>
        <w:spacing w:line="360" w:lineRule="auto"/>
        <w:ind w:left="0" w:hanging="2"/>
        <w:rPr/>
      </w:pPr>
      <w:r w:rsidDel="00000000" w:rsidR="00000000" w:rsidRPr="00000000">
        <w:rPr>
          <w:rtl w:val="0"/>
        </w:rPr>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80" w:before="0" w:line="360" w:lineRule="auto"/>
        <w:ind w:left="2" w:hanging="4"/>
        <w:jc w:val="left"/>
        <w:rPr>
          <w:color w:val="000000"/>
          <w:sz w:val="44"/>
          <w:szCs w:val="44"/>
        </w:rPr>
      </w:pPr>
      <w:r w:rsidDel="00000000" w:rsidR="00000000" w:rsidRPr="00000000">
        <w:rPr>
          <w:color w:val="000000"/>
          <w:sz w:val="44"/>
          <w:szCs w:val="44"/>
          <w:rtl w:val="0"/>
        </w:rPr>
        <w:t xml:space="preserve">Agradecimentos</w:t>
      </w:r>
    </w:p>
    <w:p w:rsidR="00000000" w:rsidDel="00000000" w:rsidP="00000000" w:rsidRDefault="00000000" w:rsidRPr="00000000" w14:paraId="000000B3">
      <w:pPr>
        <w:spacing w:after="0" w:line="360" w:lineRule="auto"/>
        <w:ind w:left="0" w:hanging="2"/>
        <w:rPr/>
      </w:pPr>
      <w:r w:rsidDel="00000000" w:rsidR="00000000" w:rsidRPr="00000000">
        <w:rPr>
          <w:color w:val="222222"/>
          <w:highlight w:val="white"/>
          <w:rtl w:val="0"/>
        </w:rPr>
        <w:t xml:space="preserve">O presente trabalho foi realizado com o apoio do Conselho Nacional de Desenvolvimento Científico e Tecnológico – CNPq – Brasil</w:t>
      </w:r>
      <w:r w:rsidDel="00000000" w:rsidR="00000000" w:rsidRPr="00000000">
        <w:rPr>
          <w:rtl w:val="0"/>
        </w:rPr>
      </w:r>
    </w:p>
    <w:p w:rsidR="00000000" w:rsidDel="00000000" w:rsidP="00000000" w:rsidRDefault="00000000" w:rsidRPr="00000000" w14:paraId="000000B4">
      <w:pPr>
        <w:spacing w:after="0" w:line="360" w:lineRule="auto"/>
        <w:ind w:left="0" w:hanging="2"/>
        <w:rPr>
          <w:sz w:val="24"/>
          <w:szCs w:val="24"/>
        </w:rPr>
      </w:pPr>
      <w:r w:rsidDel="00000000" w:rsidR="00000000" w:rsidRPr="00000000">
        <w:rPr>
          <w:rtl w:val="0"/>
        </w:rPr>
      </w:r>
    </w:p>
    <w:sectPr>
      <w:footerReference r:id="rId11" w:type="default"/>
      <w:type w:val="nextPage"/>
      <w:pgSz w:h="16840"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567"/>
        <w:tab w:val="left" w:leader="none" w:pos="1110"/>
      </w:tabs>
      <w:spacing w:line="240" w:lineRule="auto"/>
      <w:ind w:left="0" w:hanging="2"/>
      <w:jc w:val="center"/>
      <w:rPr>
        <w:color w:val="000000"/>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-209547</wp:posOffset>
          </wp:positionH>
          <wp:positionV relativeFrom="paragraph">
            <wp:posOffset>-247647</wp:posOffset>
          </wp:positionV>
          <wp:extent cx="5595692" cy="18716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95692" cy="1871663"/>
                  </a:xfrm>
                  <a:prstGeom prst="rect"/>
                  <a:ln/>
                </pic:spPr>
              </pic:pic>
            </a:graphicData>
          </a:graphic>
        </wp:anchor>
      </w:drawing>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110"/>
        <w:tab w:val="center" w:leader="none" w:pos="4513"/>
        <w:tab w:val="right" w:leader="none" w:pos="8307"/>
      </w:tabs>
      <w:spacing w:line="240" w:lineRule="auto"/>
      <w:ind w:left="1" w:hanging="3"/>
      <w:jc w:val="left"/>
      <w:rPr>
        <w:color w:val="000000"/>
        <w:sz w:val="36"/>
        <w:szCs w:val="36"/>
      </w:rPr>
    </w:pPr>
    <w:r w:rsidDel="00000000" w:rsidR="00000000" w:rsidRPr="00000000">
      <w:rPr>
        <w:b w:val="1"/>
        <w:color w:val="000000"/>
        <w:sz w:val="28"/>
        <w:szCs w:val="28"/>
        <w:rtl w:val="0"/>
      </w:rPr>
      <w:tab/>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110"/>
      </w:tabs>
      <w:spacing w:line="240" w:lineRule="auto"/>
      <w:ind w:left="0" w:hanging="2"/>
      <w:jc w:val="center"/>
      <w:rPr>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60" w:before="6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2">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3">
    <w:basedOn w:val="TableNormal"/>
    <w:tblPr>
      <w:tblStyleRowBandSize w:val="1"/>
      <w:tblStyleColBandSize w:val="1"/>
      <w:tblCellMar>
        <w:top w:w="0.0" w:type="dxa"/>
        <w:left w:w="108.0" w:type="dxa"/>
        <w:bottom w:w="0.0" w:type="dxa"/>
        <w:right w:w="108.0" w:type="dxa"/>
      </w:tblCellMar>
    </w:tblPr>
    <w:tcPr>
      <w:shd w:fill="ffffff" w:val="clear"/>
    </w:tcPr>
  </w:style>
  <w:style w:type="table" w:styleId="Table4">
    <w:basedOn w:val="TableNormal"/>
    <w:tblPr>
      <w:tblStyleRowBandSize w:val="1"/>
      <w:tblStyleColBandSize w:val="1"/>
      <w:tblCellMar>
        <w:top w:w="0.0" w:type="dxa"/>
        <w:left w:w="108.0" w:type="dxa"/>
        <w:bottom w:w="0.0" w:type="dxa"/>
        <w:right w:w="108.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http://ve.scielo.org/scielo.php?script=sci_arttext&amp;pid=S0798-72692005000200002" TargetMode="External"/><Relationship Id="rId9" Type="http://schemas.openxmlformats.org/officeDocument/2006/relationships/hyperlink" Target="http://ve.scielo.org/scielo.php?script=sci_arttext&amp;pid=S0798-72692004000400001"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