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Arial" w:hAnsi="Arial" w:eastAsia="Arial" w:cs="Arial"/>
          <w:b/>
          <w:b/>
        </w:rPr>
      </w:pPr>
      <w:r>
        <w:rPr>
          <w:rFonts w:eastAsia="Arial" w:cs="Arial" w:ascii="Arial" w:hAnsi="Arial"/>
          <w:b/>
        </w:rPr>
      </w:r>
    </w:p>
    <w:p>
      <w:pPr>
        <w:pStyle w:val="Normal1"/>
        <w:jc w:val="center"/>
        <w:rPr>
          <w:rFonts w:ascii="Arial" w:hAnsi="Arial" w:eastAsia="Arial" w:cs="Arial"/>
          <w:b/>
          <w:b/>
          <w:sz w:val="28"/>
          <w:szCs w:val="28"/>
        </w:rPr>
      </w:pPr>
      <w:r>
        <w:rPr>
          <w:rFonts w:eastAsia="Arial" w:cs="Arial" w:ascii="Arial" w:hAnsi="Arial"/>
          <w:b/>
          <w:sz w:val="28"/>
          <w:szCs w:val="28"/>
        </w:rPr>
        <w:t xml:space="preserve">Os temas geradores e a articulação com as diferentes áreas do conhecimento na formação de professores </w:t>
      </w:r>
    </w:p>
    <w:p>
      <w:pPr>
        <w:pStyle w:val="Normal1"/>
        <w:jc w:val="center"/>
        <w:rPr>
          <w:rFonts w:ascii="Arial" w:hAnsi="Arial" w:eastAsia="Arial" w:cs="Arial"/>
          <w:b/>
          <w:b/>
          <w:sz w:val="28"/>
          <w:szCs w:val="28"/>
        </w:rPr>
      </w:pPr>
      <w:r>
        <w:rPr>
          <w:rFonts w:eastAsia="Arial" w:cs="Arial" w:ascii="Arial" w:hAnsi="Arial"/>
          <w:b/>
          <w:sz w:val="28"/>
          <w:szCs w:val="28"/>
        </w:rPr>
      </w:r>
    </w:p>
    <w:p>
      <w:pPr>
        <w:pStyle w:val="Normal1"/>
        <w:spacing w:lineRule="auto" w:line="240" w:before="0" w:after="0"/>
        <w:rPr>
          <w:rFonts w:ascii="Arial" w:hAnsi="Arial" w:eastAsia="Arial" w:cs="Arial"/>
          <w:b/>
          <w:b/>
        </w:rPr>
      </w:pPr>
      <w:r>
        <w:rPr>
          <w:rFonts w:eastAsia="Arial" w:cs="Arial" w:ascii="Arial" w:hAnsi="Arial"/>
          <w:b/>
        </w:rPr>
        <w:t>Introdução</w:t>
      </w:r>
    </w:p>
    <w:p>
      <w:pPr>
        <w:pStyle w:val="Normal1"/>
        <w:spacing w:lineRule="auto" w:line="360" w:before="0" w:after="0"/>
        <w:ind w:firstLine="720"/>
        <w:jc w:val="both"/>
        <w:rPr>
          <w:rFonts w:ascii="Arial" w:hAnsi="Arial" w:eastAsia="Arial" w:cs="Arial"/>
        </w:rPr>
      </w:pPr>
      <w:r>
        <w:rPr>
          <w:rFonts w:eastAsia="Arial" w:cs="Arial" w:ascii="Arial" w:hAnsi="Arial"/>
        </w:rPr>
        <w:t xml:space="preserve">O presente estudo busca refletir como os temas geradores contribuem para o desenvolvimento de práticas pedagógicas que visam a articulação de diferentes áreas do conhecimento a partir das Disciplinas Eletivas, que compõem a Parte Diversificada (PD) do Currículo das escolas em tempo integral. Para tanto, adota os processos formativos desenvolvidos com professores dos anos iniciais e finais que atuam com essa disciplina nas escolas em tempo integral da rede municipal de Vitória (ES), para fomentar os diálogos sobre a importância desses temas que emergem das inquietações e escolhas dos estudantes. </w:t>
      </w:r>
    </w:p>
    <w:p>
      <w:pPr>
        <w:pStyle w:val="Normal1"/>
        <w:spacing w:lineRule="auto" w:line="360" w:before="0" w:after="0"/>
        <w:ind w:left="0" w:firstLine="720"/>
        <w:jc w:val="both"/>
        <w:rPr>
          <w:rFonts w:ascii="Arial" w:hAnsi="Arial" w:eastAsia="Arial" w:cs="Arial"/>
        </w:rPr>
      </w:pPr>
      <w:r>
        <w:rPr>
          <w:rFonts w:eastAsia="Arial" w:cs="Arial" w:ascii="Arial" w:hAnsi="Arial"/>
        </w:rPr>
        <w:t xml:space="preserve">A Educação em Tempo Integral é uma modalidade de ensino prevista nos documentos legais e que vem sendo implementada no município, conforme acena o Plano Nacional de Educação (PNE) 2014-2024 e o Plano Municipal de Educação da cidade. Em Vitória, atualmente há 11 Escolas Municipais de Ensino Fundamental em Tempo Integral (Emef TI), atendendo estudantes com jornada de nove horas diárias. Para além da carga horária ampliada, a proposta pedagógica das unidades de ensino em tempo integral visa assegurar uma educação humanizada, com vistas ao desenvolvimento das múltiplas dimensões dos sujeitos matriculados nas unidades escolares. </w:t>
      </w:r>
    </w:p>
    <w:p>
      <w:pPr>
        <w:pStyle w:val="Normal1"/>
        <w:spacing w:lineRule="auto" w:line="360" w:before="0" w:after="0"/>
        <w:ind w:firstLine="720"/>
        <w:jc w:val="both"/>
        <w:rPr>
          <w:rFonts w:ascii="Arial" w:hAnsi="Arial" w:eastAsia="Arial" w:cs="Arial"/>
        </w:rPr>
      </w:pPr>
      <w:r>
        <w:rPr>
          <w:rFonts w:eastAsia="Arial" w:cs="Arial" w:ascii="Arial" w:hAnsi="Arial"/>
        </w:rPr>
        <w:t xml:space="preserve">Nesse contexto, a organização do currículo é sistematizada da seguinte forma: parte comum (PC), que envolve aqueles relacionados à Base Nacional Comum Curricular (BNCC) e a parte diversificada (PD), fundamentada na Política Municipal de Educação em Tempo Integral de Vitória. A Parte Diversificada abrange Orientação de Estudos, Educação Científica e Tecnológica, Protagonismo, Projeto de Vida e as Disciplinas Eletivas. Esta última, foco de nosso estudo. </w:t>
      </w:r>
    </w:p>
    <w:p>
      <w:pPr>
        <w:pStyle w:val="Normal1"/>
        <w:spacing w:lineRule="auto" w:line="360" w:before="0" w:after="0"/>
        <w:ind w:firstLine="720"/>
        <w:jc w:val="both"/>
        <w:rPr>
          <w:rFonts w:ascii="Arial" w:hAnsi="Arial" w:eastAsia="Arial" w:cs="Arial"/>
        </w:rPr>
      </w:pPr>
      <w:r>
        <w:rPr>
          <w:rFonts w:eastAsia="Arial" w:cs="Arial" w:ascii="Arial" w:hAnsi="Arial"/>
        </w:rPr>
        <w:t xml:space="preserve">Considerando que a formação inicial dos professores não contempla a parte diversificada, a Coordenação de Educação em Tempo Integral da Secretaria Municipal de Educação (Ceti/Seme) atua na condução de processos formativos específicos para aprofundar bases teóricas e conceituais de cada um desses componentes. </w:t>
      </w:r>
    </w:p>
    <w:p>
      <w:pPr>
        <w:pStyle w:val="Normal1"/>
        <w:spacing w:lineRule="auto" w:line="360" w:before="0" w:after="0"/>
        <w:ind w:firstLine="720"/>
        <w:jc w:val="both"/>
        <w:rPr>
          <w:rFonts w:ascii="Arial" w:hAnsi="Arial" w:eastAsia="Arial" w:cs="Arial"/>
        </w:rPr>
      </w:pPr>
      <w:r>
        <w:rPr>
          <w:rFonts w:eastAsia="Arial" w:cs="Arial" w:ascii="Arial" w:hAnsi="Arial"/>
        </w:rPr>
        <w:t xml:space="preserve">Essas formações são desenvolvidas no decorrer do ano letivo, visando à apropriação e o aprofundamento sobre as práticas pedagógicas das Escolas Municipais de Ensino Fundamental em Tempo Integral (Emef TI). Dessa forma, toma como aporte teórico o conceito de Temas Geradores (Freire, 2007) e como essa concepção contribui para pensar as temáticas elencadas pelos estudantes. </w:t>
      </w:r>
    </w:p>
    <w:p>
      <w:pPr>
        <w:pStyle w:val="Normal1"/>
        <w:spacing w:lineRule="auto" w:line="360" w:before="0" w:after="0"/>
        <w:ind w:firstLine="720"/>
        <w:jc w:val="both"/>
        <w:rPr>
          <w:rFonts w:ascii="Arial" w:hAnsi="Arial" w:eastAsia="Arial" w:cs="Arial"/>
        </w:rPr>
      </w:pPr>
      <w:r>
        <w:rPr>
          <w:rFonts w:eastAsia="Arial" w:cs="Arial" w:ascii="Arial" w:hAnsi="Arial"/>
        </w:rPr>
        <w:t>Para isso, direcionamos nossa atenção aos processos formativos presentes nas Disciplinas Eletivas, oferecidas em todas as turmas do 1º ao 9º ano do ensino fundamental. Essas disciplinas têm como objetivo diversificar, aprofundar e/ou enriquecer os conteúdos e</w:t>
      </w:r>
      <w:r>
        <w:rPr>
          <w:rFonts w:eastAsia="Arial" w:cs="Arial" w:ascii="Arial" w:hAnsi="Arial"/>
          <w:color w:val="FF0000"/>
        </w:rPr>
        <w:t xml:space="preserve"> </w:t>
      </w:r>
      <w:r>
        <w:rPr>
          <w:rFonts w:eastAsia="Arial" w:cs="Arial" w:ascii="Arial" w:hAnsi="Arial"/>
        </w:rPr>
        <w:t>articular as diferentes áreas do conhecimento, possibilitando a ampliação dos saberes e as experiências curriculares entre professores e alunos.</w:t>
      </w:r>
    </w:p>
    <w:p>
      <w:pPr>
        <w:pStyle w:val="Normal1"/>
        <w:spacing w:lineRule="auto" w:line="360" w:before="0" w:after="0"/>
        <w:ind w:left="0" w:firstLine="720"/>
        <w:jc w:val="both"/>
        <w:rPr>
          <w:rFonts w:ascii="Arial" w:hAnsi="Arial" w:eastAsia="Arial" w:cs="Arial"/>
        </w:rPr>
      </w:pPr>
      <w:r>
        <w:rPr>
          <w:rFonts w:eastAsia="Arial" w:cs="Arial" w:ascii="Arial" w:hAnsi="Arial"/>
        </w:rPr>
        <w:t xml:space="preserve">Nesse cenário, os temas geradores desempenham um papel crucial no debate pedagógico, pois possibilitam a construção de processos de aprendizagem que dialogam com as realidades vividas pelos estudantes.  </w:t>
      </w:r>
    </w:p>
    <w:p>
      <w:pPr>
        <w:pStyle w:val="Normal1"/>
        <w:spacing w:lineRule="auto" w:line="360" w:before="0" w:after="0"/>
        <w:ind w:firstLine="720"/>
        <w:jc w:val="both"/>
        <w:rPr>
          <w:rFonts w:ascii="Arial" w:hAnsi="Arial" w:eastAsia="Arial" w:cs="Arial"/>
        </w:rPr>
      </w:pPr>
      <w:r>
        <w:rPr>
          <w:rFonts w:eastAsia="Arial" w:cs="Arial" w:ascii="Arial" w:hAnsi="Arial"/>
        </w:rPr>
      </w:r>
    </w:p>
    <w:p>
      <w:pPr>
        <w:pStyle w:val="Normal1"/>
        <w:spacing w:lineRule="auto" w:line="360" w:before="0" w:after="0"/>
        <w:ind w:left="0" w:hanging="0"/>
        <w:jc w:val="both"/>
        <w:rPr>
          <w:rFonts w:ascii="Arial" w:hAnsi="Arial" w:eastAsia="Arial" w:cs="Arial"/>
          <w:b/>
          <w:b/>
        </w:rPr>
      </w:pPr>
      <w:r>
        <w:rPr>
          <w:rFonts w:eastAsia="Arial" w:cs="Arial" w:ascii="Arial" w:hAnsi="Arial"/>
          <w:b/>
        </w:rPr>
        <w:t>Metodologia</w:t>
      </w:r>
    </w:p>
    <w:p>
      <w:pPr>
        <w:pStyle w:val="Normal1"/>
        <w:spacing w:lineRule="auto" w:line="360" w:before="0" w:after="0"/>
        <w:ind w:firstLine="720"/>
        <w:jc w:val="both"/>
        <w:rPr>
          <w:rFonts w:ascii="Arial" w:hAnsi="Arial" w:eastAsia="Arial" w:cs="Arial"/>
        </w:rPr>
      </w:pPr>
      <w:r>
        <w:rPr>
          <w:rFonts w:eastAsia="Arial" w:cs="Arial" w:ascii="Arial" w:hAnsi="Arial"/>
        </w:rPr>
      </w:r>
    </w:p>
    <w:p>
      <w:pPr>
        <w:pStyle w:val="Normal1"/>
        <w:spacing w:lineRule="auto" w:line="360" w:before="0" w:after="0"/>
        <w:ind w:firstLine="720"/>
        <w:jc w:val="both"/>
        <w:rPr>
          <w:rFonts w:ascii="Arial" w:hAnsi="Arial" w:eastAsia="Arial" w:cs="Arial"/>
        </w:rPr>
      </w:pPr>
      <w:r>
        <w:rPr>
          <w:rFonts w:eastAsia="Arial" w:cs="Arial" w:ascii="Arial" w:hAnsi="Arial"/>
        </w:rPr>
      </w:r>
    </w:p>
    <w:p>
      <w:pPr>
        <w:pStyle w:val="Normal1"/>
        <w:spacing w:lineRule="auto" w:line="360" w:before="0" w:after="0"/>
        <w:ind w:firstLine="720"/>
        <w:jc w:val="both"/>
        <w:rPr>
          <w:rFonts w:ascii="Arial" w:hAnsi="Arial" w:eastAsia="Arial" w:cs="Arial"/>
        </w:rPr>
      </w:pPr>
      <w:r>
        <w:rPr>
          <w:rFonts w:eastAsia="Arial" w:cs="Arial" w:ascii="Arial" w:hAnsi="Arial"/>
        </w:rPr>
        <w:t xml:space="preserve">Para a condução deste estudo, adotamos a metodologia da pesquisa-ação, enfatizando sua relevância ao impulsionar mudanças significativas nas práticas pedagógicas. Essa abordagem propicia um diálogo contínuo com os docentes, estimulando o processo dinâmico de ação-reflexão, que se entrelaça com a pesquisa e criação docente e com os processos de ensino-aprendizagem. </w:t>
      </w:r>
    </w:p>
    <w:p>
      <w:pPr>
        <w:pStyle w:val="Normal1"/>
        <w:spacing w:lineRule="auto" w:line="360" w:before="0" w:after="0"/>
        <w:ind w:firstLine="720"/>
        <w:jc w:val="both"/>
        <w:rPr>
          <w:rFonts w:ascii="Arial" w:hAnsi="Arial" w:eastAsia="Arial" w:cs="Arial"/>
        </w:rPr>
      </w:pPr>
      <w:r>
        <w:rPr>
          <w:rFonts w:eastAsia="Arial" w:cs="Arial" w:ascii="Arial" w:hAnsi="Arial"/>
        </w:rPr>
        <w:t xml:space="preserve">Barbier (2002) esclarece que a pesquisa-ação se alicerça na ideia de espiralidade, permitindo a construção colaborativa do conhecimento e a ressignificação das práticas pedagógicas. Dessa maneira, essa metodologia não apenas atua sobre as realidades, como também fomenta um ciclo contínuo de (re)pensar sobre elas. </w:t>
      </w:r>
    </w:p>
    <w:p>
      <w:pPr>
        <w:pStyle w:val="Normal1"/>
        <w:spacing w:lineRule="auto" w:line="360" w:before="0" w:after="0"/>
        <w:ind w:firstLine="720"/>
        <w:jc w:val="both"/>
        <w:rPr>
          <w:rFonts w:ascii="Arial" w:hAnsi="Arial" w:eastAsia="Arial" w:cs="Arial"/>
        </w:rPr>
      </w:pPr>
      <w:r>
        <w:rPr>
          <w:rFonts w:eastAsia="Arial" w:cs="Arial" w:ascii="Arial" w:hAnsi="Arial"/>
        </w:rPr>
        <w:t>Para tanto, desenvolvemos, no decorrer do ano de 2024,  encontros formativos com a participação de professores dos diferentes segmentos que atuam como docentes das disciplinas eletivas das Emef Tl,  conforme organização apresentada a seguir:</w:t>
      </w:r>
    </w:p>
    <w:p>
      <w:pPr>
        <w:pStyle w:val="Normal1"/>
        <w:spacing w:lineRule="auto" w:line="360" w:before="0" w:after="0"/>
        <w:ind w:firstLine="720"/>
        <w:jc w:val="both"/>
        <w:rPr>
          <w:rFonts w:ascii="Arial" w:hAnsi="Arial" w:eastAsia="Arial" w:cs="Arial"/>
        </w:rPr>
      </w:pPr>
      <w:r>
        <w:rPr>
          <w:rFonts w:eastAsia="Arial" w:cs="Arial" w:ascii="Arial" w:hAnsi="Arial"/>
        </w:rPr>
      </w:r>
    </w:p>
    <w:tbl>
      <w:tblPr>
        <w:tblStyle w:val="Table1"/>
        <w:tblW w:w="8460" w:type="dxa"/>
        <w:jc w:val="left"/>
        <w:tblInd w:w="0" w:type="dxa"/>
        <w:tblLayout w:type="fixed"/>
        <w:tblCellMar>
          <w:top w:w="100" w:type="dxa"/>
          <w:left w:w="100" w:type="dxa"/>
          <w:bottom w:w="100" w:type="dxa"/>
          <w:right w:w="100" w:type="dxa"/>
        </w:tblCellMar>
        <w:tblLook w:val="0600"/>
      </w:tblPr>
      <w:tblGrid>
        <w:gridCol w:w="1530"/>
        <w:gridCol w:w="5189"/>
        <w:gridCol w:w="1741"/>
      </w:tblGrid>
      <w:tr>
        <w:trPr/>
        <w:tc>
          <w:tcPr>
            <w:tcW w:w="15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fldChar w:fldCharType="begin"/>
            </w:r>
            <w:r>
              <w:rPr/>
              <w:instrText xml:space="preserve"> FILLIN ""</w:instrText>
            </w:r>
            <w:r>
              <w:rPr/>
              <w:fldChar w:fldCharType="separate"/>
            </w:r>
            <w:r>
              <w:rPr/>
              <w:t>Data</w:t>
            </w:r>
            <w:r>
              <w:rPr/>
              <w:fldChar w:fldCharType="end"/>
            </w:r>
          </w:p>
        </w:tc>
        <w:tc>
          <w:tcPr>
            <w:tcW w:w="51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Temática da Formação</w:t>
            </w:r>
          </w:p>
        </w:tc>
        <w:tc>
          <w:tcPr>
            <w:tcW w:w="174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Carga Horária</w:t>
            </w:r>
          </w:p>
        </w:tc>
      </w:tr>
      <w:tr>
        <w:trPr>
          <w:trHeight w:val="440" w:hRule="atLeast"/>
        </w:trPr>
        <w:tc>
          <w:tcPr>
            <w:tcW w:w="1530"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01/02</w:t>
            </w:r>
          </w:p>
        </w:tc>
        <w:tc>
          <w:tcPr>
            <w:tcW w:w="5189" w:type="dxa"/>
            <w:vMerge w:val="restart"/>
            <w:tcBorders>
              <w:top w:val="single" w:sz="12" w:space="0" w:color="000000"/>
              <w:left w:val="single" w:sz="12" w:space="0" w:color="000000"/>
              <w:bottom w:val="single" w:sz="12" w:space="0" w:color="000000"/>
              <w:right w:val="single" w:sz="12" w:space="0" w:color="000000"/>
            </w:tcBorders>
            <w:shd w:fill="auto" w:val="clear"/>
            <w:tcMar>
              <w:top w:w="0" w:type="dxa"/>
              <w:left w:w="108" w:type="dxa"/>
              <w:bottom w:w="0" w:type="dxa"/>
              <w:right w:w="108" w:type="dxa"/>
            </w:tcMar>
          </w:tcPr>
          <w:p>
            <w:pPr>
              <w:pStyle w:val="Normal1"/>
              <w:widowControl w:val="false"/>
              <w:spacing w:lineRule="auto" w:line="276" w:before="0" w:after="0"/>
              <w:ind w:right="52" w:hanging="0"/>
              <w:jc w:val="both"/>
              <w:rPr>
                <w:rFonts w:ascii="Times New Roman" w:hAnsi="Times New Roman" w:eastAsia="Times New Roman" w:cs="Times New Roman"/>
              </w:rPr>
            </w:pPr>
            <w:r>
              <w:rPr>
                <w:rFonts w:eastAsia="Arial" w:cs="Arial" w:ascii="Arial" w:hAnsi="Arial"/>
              </w:rPr>
              <w:t>Os Fundamentos da Escola em Tempo Integral e Parte Diversificada (Disciplinas Eletivas)</w:t>
            </w:r>
          </w:p>
        </w:tc>
        <w:tc>
          <w:tcPr>
            <w:tcW w:w="1741"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2 horas</w:t>
            </w:r>
          </w:p>
        </w:tc>
      </w:tr>
      <w:tr>
        <w:trPr>
          <w:trHeight w:val="440" w:hRule="atLeast"/>
        </w:trPr>
        <w:tc>
          <w:tcPr>
            <w:tcW w:w="153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5189" w:type="dxa"/>
            <w:vMerge w:val="continue"/>
            <w:tcBorders>
              <w:top w:val="single" w:sz="12" w:space="0" w:color="000000"/>
              <w:left w:val="single" w:sz="12" w:space="0" w:color="000000"/>
              <w:bottom w:val="single" w:sz="12" w:space="0" w:color="000000"/>
              <w:right w:val="single" w:sz="12" w:space="0" w:color="000000"/>
            </w:tcBorders>
            <w:shd w:fill="auto" w:val="clear"/>
            <w:tcMar>
              <w:top w:w="0" w:type="dxa"/>
              <w:left w:w="108" w:type="dxa"/>
              <w:bottom w:w="0" w:type="dxa"/>
              <w:right w:w="108" w:type="dxa"/>
            </w:tcM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1741"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c>
          <w:tcPr>
            <w:tcW w:w="15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04/03</w:t>
            </w:r>
          </w:p>
        </w:tc>
        <w:tc>
          <w:tcPr>
            <w:tcW w:w="51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Temas Geradores: Bases Conceituais e teóricas</w:t>
            </w:r>
          </w:p>
        </w:tc>
        <w:tc>
          <w:tcPr>
            <w:tcW w:w="174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rFonts w:ascii="Arial" w:hAnsi="Arial" w:eastAsia="Arial" w:cs="Arial"/>
              </w:rPr>
            </w:pPr>
            <w:r>
              <w:rPr>
                <w:rFonts w:eastAsia="Arial" w:cs="Arial" w:ascii="Arial" w:hAnsi="Arial"/>
              </w:rPr>
              <w:t>2 horas</w:t>
            </w:r>
          </w:p>
        </w:tc>
      </w:tr>
      <w:tr>
        <w:trPr/>
        <w:tc>
          <w:tcPr>
            <w:tcW w:w="15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07/08</w:t>
            </w:r>
          </w:p>
        </w:tc>
        <w:tc>
          <w:tcPr>
            <w:tcW w:w="51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A relação dos temas geradores, com as diferentes áreas de conhecimento</w:t>
            </w:r>
          </w:p>
        </w:tc>
        <w:tc>
          <w:tcPr>
            <w:tcW w:w="174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rFonts w:ascii="Arial" w:hAnsi="Arial" w:eastAsia="Arial" w:cs="Arial"/>
              </w:rPr>
            </w:pPr>
            <w:r>
              <w:rPr>
                <w:rFonts w:eastAsia="Arial" w:cs="Arial" w:ascii="Arial" w:hAnsi="Arial"/>
              </w:rPr>
              <w:t>2 horas</w:t>
            </w:r>
          </w:p>
        </w:tc>
      </w:tr>
      <w:tr>
        <w:trPr/>
        <w:tc>
          <w:tcPr>
            <w:tcW w:w="15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14/08</w:t>
            </w:r>
          </w:p>
        </w:tc>
        <w:tc>
          <w:tcPr>
            <w:tcW w:w="51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Diálogo sobre a sistematização escrita das Disciplinas Eletivas</w:t>
            </w:r>
          </w:p>
        </w:tc>
        <w:tc>
          <w:tcPr>
            <w:tcW w:w="174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rFonts w:ascii="Arial" w:hAnsi="Arial" w:eastAsia="Arial" w:cs="Arial"/>
              </w:rPr>
            </w:pPr>
            <w:r>
              <w:rPr>
                <w:rFonts w:eastAsia="Arial" w:cs="Arial" w:ascii="Arial" w:hAnsi="Arial"/>
              </w:rPr>
              <w:t>2 horas</w:t>
            </w:r>
          </w:p>
        </w:tc>
      </w:tr>
      <w:tr>
        <w:trPr/>
        <w:tc>
          <w:tcPr>
            <w:tcW w:w="153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19/08</w:t>
            </w:r>
          </w:p>
        </w:tc>
        <w:tc>
          <w:tcPr>
            <w:tcW w:w="51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rPr>
            </w:pPr>
            <w:r>
              <w:rPr>
                <w:rFonts w:eastAsia="Arial" w:cs="Arial" w:ascii="Arial" w:hAnsi="Arial"/>
              </w:rPr>
              <w:t>Compartilhando Experiências das Disciplinas Eletivas</w:t>
            </w:r>
          </w:p>
        </w:tc>
        <w:tc>
          <w:tcPr>
            <w:tcW w:w="174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rFonts w:ascii="Arial" w:hAnsi="Arial" w:eastAsia="Arial" w:cs="Arial"/>
              </w:rPr>
            </w:pPr>
            <w:r>
              <w:rPr>
                <w:rFonts w:eastAsia="Arial" w:cs="Arial" w:ascii="Arial" w:hAnsi="Arial"/>
              </w:rPr>
              <w:t>4 horas</w:t>
            </w:r>
          </w:p>
        </w:tc>
      </w:tr>
    </w:tbl>
    <w:p>
      <w:pPr>
        <w:pStyle w:val="Normal1"/>
        <w:spacing w:lineRule="auto" w:line="360" w:before="0" w:after="0"/>
        <w:ind w:left="0" w:hanging="0"/>
        <w:jc w:val="both"/>
        <w:rPr>
          <w:rFonts w:ascii="Arial" w:hAnsi="Arial" w:eastAsia="Arial" w:cs="Arial"/>
          <w:sz w:val="20"/>
          <w:szCs w:val="20"/>
        </w:rPr>
      </w:pPr>
      <w:r>
        <w:rPr>
          <w:rFonts w:eastAsia="Arial" w:cs="Arial" w:ascii="Arial" w:hAnsi="Arial"/>
          <w:sz w:val="20"/>
          <w:szCs w:val="20"/>
        </w:rPr>
        <w:t xml:space="preserve">Fonte: Organizado pelas autoras, 2025. </w:t>
      </w:r>
    </w:p>
    <w:p>
      <w:pPr>
        <w:pStyle w:val="Normal1"/>
        <w:spacing w:lineRule="auto" w:line="360" w:before="0" w:after="0"/>
        <w:ind w:left="0" w:hanging="0"/>
        <w:jc w:val="both"/>
        <w:rPr>
          <w:rFonts w:ascii="Arial" w:hAnsi="Arial" w:eastAsia="Arial" w:cs="Arial"/>
          <w:sz w:val="20"/>
          <w:szCs w:val="20"/>
        </w:rPr>
      </w:pPr>
      <w:r>
        <w:rPr>
          <w:rFonts w:eastAsia="Arial" w:cs="Arial" w:ascii="Arial" w:hAnsi="Arial"/>
          <w:sz w:val="20"/>
          <w:szCs w:val="20"/>
        </w:rPr>
      </w:r>
    </w:p>
    <w:p>
      <w:pPr>
        <w:pStyle w:val="Normal1"/>
        <w:spacing w:lineRule="auto" w:line="360" w:before="0" w:after="0"/>
        <w:ind w:firstLine="720"/>
        <w:jc w:val="both"/>
        <w:rPr>
          <w:rFonts w:ascii="Arial" w:hAnsi="Arial" w:eastAsia="Arial" w:cs="Arial"/>
        </w:rPr>
      </w:pPr>
      <w:r>
        <w:rPr>
          <w:rFonts w:eastAsia="Arial" w:cs="Arial" w:ascii="Arial" w:hAnsi="Arial"/>
        </w:rPr>
        <w:t xml:space="preserve">Os encontros formativos possibilitaram aos docentes compreender como os temas geradores levam em consideração as questões que atravessam os estudantes, seus saberes e interesses. A partir da escolha do tema, as disciplinas eletivas são sistematizadas de modo a ampliar os diálogos, aprofundar os saberes e alargar os conhecimentos, compreendendo-os de forma mais ampla. </w:t>
      </w:r>
    </w:p>
    <w:p>
      <w:pPr>
        <w:pStyle w:val="Normal1"/>
        <w:tabs>
          <w:tab w:val="clear" w:pos="720"/>
          <w:tab w:val="center" w:pos="4252" w:leader="none"/>
          <w:tab w:val="left" w:pos="5445" w:leader="none"/>
          <w:tab w:val="right" w:pos="8504" w:leader="none"/>
        </w:tabs>
        <w:spacing w:lineRule="auto" w:line="240" w:before="0" w:after="0"/>
        <w:ind w:left="0" w:hanging="0"/>
        <w:jc w:val="both"/>
        <w:rPr>
          <w:rFonts w:ascii="Arial" w:hAnsi="Arial" w:eastAsia="Arial" w:cs="Arial"/>
        </w:rPr>
      </w:pPr>
      <w:r>
        <w:rPr>
          <w:rFonts w:eastAsia="Arial" w:cs="Arial" w:ascii="Arial" w:hAnsi="Arial"/>
        </w:rPr>
      </w:r>
    </w:p>
    <w:p>
      <w:pPr>
        <w:pStyle w:val="Normal1"/>
        <w:spacing w:lineRule="auto" w:line="360" w:before="0" w:after="0"/>
        <w:jc w:val="both"/>
        <w:rPr>
          <w:rFonts w:ascii="Arial" w:hAnsi="Arial" w:eastAsia="Arial" w:cs="Arial"/>
          <w:b/>
          <w:b/>
        </w:rPr>
      </w:pPr>
      <w:r>
        <w:rPr>
          <w:rFonts w:eastAsia="Arial" w:cs="Arial" w:ascii="Arial" w:hAnsi="Arial"/>
          <w:b/>
        </w:rPr>
        <w:t>Resultados: algumas reflexões</w:t>
      </w:r>
    </w:p>
    <w:p>
      <w:pPr>
        <w:pStyle w:val="Normal1"/>
        <w:spacing w:lineRule="auto" w:line="360" w:before="0" w:after="0"/>
        <w:jc w:val="both"/>
        <w:rPr>
          <w:rFonts w:ascii="Arial" w:hAnsi="Arial" w:eastAsia="Arial" w:cs="Arial"/>
        </w:rPr>
      </w:pPr>
      <w:r>
        <w:rPr>
          <w:rFonts w:eastAsia="Arial" w:cs="Arial" w:ascii="Arial" w:hAnsi="Arial"/>
          <w:b/>
        </w:rPr>
        <w:tab/>
      </w:r>
      <w:r>
        <w:rPr>
          <w:rFonts w:eastAsia="Arial" w:cs="Arial" w:ascii="Arial" w:hAnsi="Arial"/>
        </w:rPr>
        <w:t xml:space="preserve">Na Emef TI, os componentes curriculares são elementos fundamentais no processo de formação do estudante, tendo as Eletivas como oportunidade para a ampliação dos  repertórios de conhecimentos, por meio de experiências curriculares que levem em consideração as vivências culturais, artísticas, esportivas, científicas, estéticas, linguísticas, entre outras. Essa ampliação dos repertórios também busca dialogar com as metodologias adotadas pelos professores, pois as Eletivas possibilitam o uso diversificado de fontes de pesquisa, recursos e opções metodológicas. </w:t>
      </w:r>
    </w:p>
    <w:p>
      <w:pPr>
        <w:pStyle w:val="Normal1"/>
        <w:spacing w:lineRule="auto" w:line="360" w:before="0" w:after="0"/>
        <w:ind w:firstLine="720"/>
        <w:jc w:val="both"/>
        <w:rPr>
          <w:rFonts w:ascii="Arial" w:hAnsi="Arial" w:eastAsia="Arial" w:cs="Arial"/>
        </w:rPr>
      </w:pPr>
      <w:r>
        <w:rPr>
          <w:rFonts w:eastAsia="Arial" w:cs="Arial" w:ascii="Arial" w:hAnsi="Arial"/>
        </w:rPr>
        <w:t xml:space="preserve">Esse contexto de ensino é pouco abordado no âmbito da formação inicial de professores, apesar das Diretrizes Curriculares Nacionais da Educação Básica tratar sobre o assunto desde 2013, conforme descrito na passagem a seguir: </w:t>
      </w:r>
    </w:p>
    <w:p>
      <w:pPr>
        <w:pStyle w:val="Normal1"/>
        <w:spacing w:lineRule="auto" w:line="240" w:before="0" w:after="0"/>
        <w:ind w:left="2880" w:hanging="0"/>
        <w:jc w:val="both"/>
        <w:rPr>
          <w:rFonts w:ascii="Arial" w:hAnsi="Arial" w:eastAsia="Arial" w:cs="Arial"/>
          <w:sz w:val="20"/>
          <w:szCs w:val="20"/>
        </w:rPr>
      </w:pPr>
      <w:r>
        <w:rPr>
          <w:rFonts w:eastAsia="Arial" w:cs="Arial" w:ascii="Arial" w:hAnsi="Arial"/>
          <w:sz w:val="20"/>
          <w:szCs w:val="20"/>
        </w:rPr>
        <w:t>A parte diversificada enriquece e complementa a base nacional comum, prevendo o estudo das características regionais e locais da sociedade, da cultura, da economia e da comunidade escolar. Perpassa todos os tempos e espaços curriculares constituintes do Ensino Fundamental e do Médio, independentemente do ciclo da vida no qual sujeitos tenham acesso à escola. É organizada [por] áreas de conhecimento, disciplinas, eixos temáticos, selecionados pelos sistemas educativos e pela unidade escolar, colegiadamente, para serem desenvolvidas de forma transversal (Brasil, 2013, p. 32).</w:t>
      </w:r>
    </w:p>
    <w:p>
      <w:pPr>
        <w:pStyle w:val="Normal1"/>
        <w:spacing w:lineRule="auto" w:line="360" w:before="0" w:after="0"/>
        <w:ind w:firstLine="720"/>
        <w:jc w:val="both"/>
        <w:rPr>
          <w:rFonts w:ascii="Arial" w:hAnsi="Arial" w:eastAsia="Arial" w:cs="Arial"/>
        </w:rPr>
      </w:pPr>
      <w:r>
        <w:rPr>
          <w:rFonts w:eastAsia="Arial" w:cs="Arial" w:ascii="Arial" w:hAnsi="Arial"/>
        </w:rPr>
      </w:r>
    </w:p>
    <w:p>
      <w:pPr>
        <w:pStyle w:val="Normal1"/>
        <w:spacing w:lineRule="auto" w:line="360" w:before="0" w:after="0"/>
        <w:ind w:firstLine="720"/>
        <w:jc w:val="both"/>
        <w:rPr>
          <w:rFonts w:ascii="Arial" w:hAnsi="Arial" w:eastAsia="Arial" w:cs="Arial"/>
        </w:rPr>
      </w:pPr>
      <w:r>
        <w:rPr>
          <w:rFonts w:eastAsia="Arial" w:cs="Arial" w:ascii="Arial" w:hAnsi="Arial"/>
        </w:rPr>
        <w:t xml:space="preserve"> </w:t>
      </w:r>
      <w:r>
        <w:rPr>
          <w:rFonts w:eastAsia="Arial" w:cs="Arial" w:ascii="Arial" w:hAnsi="Arial"/>
        </w:rPr>
        <w:t>Diante do exposto, durante os processos formativos, tratamos sobre a importância de levantar os temas geradores com os estudantes, tornando possível que a aprendizagem seja construída a cada semestre de uma maneira em que a teoria seja vivenciada na prática, bem como rompendo com a seriação e acreditando na transversalidade do conhecimento.</w:t>
      </w:r>
    </w:p>
    <w:p>
      <w:pPr>
        <w:pStyle w:val="Normal1"/>
        <w:spacing w:lineRule="auto" w:line="360" w:before="0" w:after="0"/>
        <w:ind w:firstLine="720"/>
        <w:jc w:val="both"/>
        <w:rPr>
          <w:rFonts w:ascii="Arial" w:hAnsi="Arial" w:eastAsia="Arial" w:cs="Arial"/>
        </w:rPr>
      </w:pPr>
      <w:r>
        <w:rPr>
          <w:rFonts w:eastAsia="Arial" w:cs="Arial" w:ascii="Arial" w:hAnsi="Arial"/>
        </w:rPr>
      </w:r>
    </w:p>
    <w:p>
      <w:pPr>
        <w:pStyle w:val="Normal1"/>
        <w:spacing w:lineRule="auto" w:line="240" w:before="0" w:after="0"/>
        <w:ind w:left="2880" w:hanging="0"/>
        <w:jc w:val="both"/>
        <w:rPr>
          <w:rFonts w:ascii="Arial" w:hAnsi="Arial" w:eastAsia="Arial" w:cs="Arial"/>
          <w:sz w:val="20"/>
          <w:szCs w:val="20"/>
        </w:rPr>
      </w:pPr>
      <w:r>
        <w:rPr>
          <w:rFonts w:eastAsia="Arial" w:cs="Arial" w:ascii="Arial" w:hAnsi="Arial"/>
          <w:sz w:val="20"/>
          <w:szCs w:val="20"/>
        </w:rPr>
        <w:t>Os Temas Geradores (Freire, 2007) se constituem como uma abordagem pedagógica que visa promover a conscientização e a transformação social por meio da educação, dessa maneira, emerge dos interesses e apontamentos dos sujeitos envolvidos no processo de ensino-aprendizagem e dão direcionamento para pensar como um determinado assunto/tema pode ser relacionado a tantos outros conhecimentos (Matiazzi; Tonon, 2024, p. 67).</w:t>
      </w:r>
    </w:p>
    <w:p>
      <w:pPr>
        <w:pStyle w:val="Normal1"/>
        <w:spacing w:lineRule="auto" w:line="240" w:before="0" w:after="0"/>
        <w:ind w:left="2880" w:hanging="0"/>
        <w:jc w:val="both"/>
        <w:rPr>
          <w:rFonts w:ascii="Arial" w:hAnsi="Arial" w:eastAsia="Arial" w:cs="Arial"/>
          <w:sz w:val="20"/>
          <w:szCs w:val="20"/>
          <w:shd w:fill="FF9900" w:val="clear"/>
        </w:rPr>
      </w:pPr>
      <w:r>
        <w:rPr>
          <w:rFonts w:eastAsia="Arial" w:cs="Arial" w:ascii="Arial" w:hAnsi="Arial"/>
          <w:sz w:val="20"/>
          <w:szCs w:val="20"/>
          <w:shd w:fill="FF9900" w:val="clear"/>
        </w:rPr>
      </w:r>
    </w:p>
    <w:p>
      <w:pPr>
        <w:pStyle w:val="Normal1"/>
        <w:spacing w:lineRule="auto" w:line="360" w:before="0" w:after="0"/>
        <w:ind w:firstLine="720"/>
        <w:jc w:val="both"/>
        <w:rPr>
          <w:rFonts w:ascii="Arial" w:hAnsi="Arial" w:eastAsia="Arial" w:cs="Arial"/>
        </w:rPr>
      </w:pPr>
      <w:r>
        <w:rPr>
          <w:rFonts w:eastAsia="Arial" w:cs="Arial" w:ascii="Arial" w:hAnsi="Arial"/>
        </w:rPr>
        <w:t xml:space="preserve">Assim, a partir das temáticas elencadas, os professores sinalizam que temas como Futebol viabilizaram que os estudantes dos anos finais do Ensino Fundamental pesquisassem e aprendessem sobre racismo, diferença de gênero, em que ao “[...] discutir esse tema {foi possível] os estudantes entenderam como o futebol é atravessado por tantas outras questões”, explica um professor do componente. </w:t>
      </w:r>
    </w:p>
    <w:p>
      <w:pPr>
        <w:pStyle w:val="Normal1"/>
        <w:spacing w:lineRule="auto" w:line="360" w:before="0" w:after="0"/>
        <w:ind w:firstLine="720"/>
        <w:jc w:val="both"/>
        <w:rPr>
          <w:rFonts w:ascii="Arial" w:hAnsi="Arial" w:eastAsia="Arial" w:cs="Arial"/>
        </w:rPr>
      </w:pPr>
      <w:r>
        <w:rPr>
          <w:rFonts w:eastAsia="Arial" w:cs="Arial" w:ascii="Arial" w:hAnsi="Arial"/>
        </w:rPr>
        <w:t xml:space="preserve">Para a sistematização das eletivas, dialogamos a respeito da importância do registro pelo professor dessa prática educativa, que orienta o trabalho a ser desenvolvido. Para tanto, utilizamos o instrumento chamado Ementa das Eletivas que contempla: temática, áreas de conhecimento envolvidas, conteúdos, objetivos, metodologias, recursos didáticos, avaliação, culminância  e referências. </w:t>
      </w:r>
    </w:p>
    <w:p>
      <w:pPr>
        <w:pStyle w:val="Normal1"/>
        <w:spacing w:lineRule="auto" w:line="360" w:before="0" w:after="0"/>
        <w:ind w:left="0" w:firstLine="720"/>
        <w:jc w:val="both"/>
        <w:rPr>
          <w:rFonts w:ascii="Arial" w:hAnsi="Arial" w:eastAsia="Arial" w:cs="Arial"/>
        </w:rPr>
      </w:pPr>
      <w:r>
        <w:rPr>
          <w:rFonts w:eastAsia="Arial" w:cs="Arial" w:ascii="Arial" w:hAnsi="Arial"/>
        </w:rPr>
        <w:t xml:space="preserve">Ao compartilharmos as experiências exitosas, ao findar das eletivas, os professores apresentaram que temáticas como dinossauros, sistema solar, pequenos cientistas para os anos iniciais provocaram a curiosidade sobre os fenômenos da natureza. Por sua vez, nos anos finais, as questões sociais atravessaram o debate, trazendo por meio de Eletivas como Moda, Futebol, “Papo Teen” as conversas sobre feminismo, racismo e juventudes. </w:t>
      </w:r>
    </w:p>
    <w:p>
      <w:pPr>
        <w:pStyle w:val="Normal1"/>
        <w:spacing w:lineRule="auto" w:line="360" w:before="0" w:after="0"/>
        <w:jc w:val="both"/>
        <w:rPr>
          <w:rFonts w:ascii="Arial" w:hAnsi="Arial" w:eastAsia="Arial" w:cs="Arial"/>
          <w:b/>
          <w:b/>
        </w:rPr>
      </w:pPr>
      <w:r>
        <w:rPr>
          <w:rFonts w:eastAsia="Arial" w:cs="Arial" w:ascii="Arial" w:hAnsi="Arial"/>
        </w:rPr>
        <w:tab/>
      </w:r>
    </w:p>
    <w:p>
      <w:pPr>
        <w:pStyle w:val="Normal1"/>
        <w:spacing w:lineRule="auto" w:line="360" w:before="0" w:after="0"/>
        <w:jc w:val="both"/>
        <w:rPr>
          <w:rFonts w:ascii="Arial" w:hAnsi="Arial" w:eastAsia="Arial" w:cs="Arial"/>
          <w:b/>
          <w:b/>
        </w:rPr>
      </w:pPr>
      <w:r>
        <w:rPr>
          <w:rFonts w:eastAsia="Arial" w:cs="Arial" w:ascii="Arial" w:hAnsi="Arial"/>
          <w:b/>
        </w:rPr>
        <w:t>Considerações finais:</w:t>
      </w:r>
    </w:p>
    <w:p>
      <w:pPr>
        <w:pStyle w:val="Normal1"/>
        <w:spacing w:lineRule="auto" w:line="360" w:before="0" w:after="0"/>
        <w:ind w:firstLine="720"/>
        <w:jc w:val="both"/>
        <w:rPr>
          <w:rFonts w:ascii="Arial" w:hAnsi="Arial" w:eastAsia="Arial" w:cs="Arial"/>
        </w:rPr>
      </w:pPr>
      <w:r>
        <w:rPr>
          <w:rFonts w:eastAsia="Arial" w:cs="Arial" w:ascii="Arial" w:hAnsi="Arial"/>
        </w:rPr>
        <w:t xml:space="preserve">Entendemos o quanto o processo formativo traz contribuições para que os professores, a partir da ação-reflexão-ação e de movimentos coletivos possam pensar sobre suas práticas docentes, compreendendo que o processo educativo tem por finalidade a formação dos estudantes. </w:t>
      </w:r>
    </w:p>
    <w:p>
      <w:pPr>
        <w:pStyle w:val="Normal1"/>
        <w:spacing w:lineRule="auto" w:line="360" w:before="0" w:after="0"/>
        <w:ind w:firstLine="720"/>
        <w:jc w:val="both"/>
        <w:rPr>
          <w:rFonts w:ascii="Arial" w:hAnsi="Arial" w:eastAsia="Arial" w:cs="Arial"/>
        </w:rPr>
      </w:pPr>
      <w:r>
        <w:rPr>
          <w:rFonts w:eastAsia="Arial" w:cs="Arial" w:ascii="Arial" w:hAnsi="Arial"/>
        </w:rPr>
        <w:t xml:space="preserve">Nesse cenário, trabalhar com os temas geradores nas Eletivas viabiliza “[...] a escuta sensível e a capacidade dialógica [que] se constituem como elementos essenciais para compreender os modos de pensar e agir dos estudantes [...].” Esse movimento além de subsidiar as ações pedagógicas docentes, possibilita “[...] um outro modo de produção de conhecimento” (Matiazzi; Tonon, 2024, p. 69). As Disciplinas Eletivas, nesse sentido, aprofunda conceitos e articula conhecimentos já aprendidos no Ensino Fundamental, ampliando os repertórios dos estudantes em busca de relacionar esses conhecimentos adquiridos com a vida em sociedade. </w:t>
      </w:r>
    </w:p>
    <w:p>
      <w:pPr>
        <w:pStyle w:val="Normal1"/>
        <w:pBdr/>
        <w:shd w:val="clear" w:fill="FFFFFF"/>
        <w:spacing w:lineRule="auto" w:line="360" w:before="0" w:after="0"/>
        <w:ind w:left="2260" w:hanging="0"/>
        <w:jc w:val="both"/>
        <w:rPr>
          <w:rFonts w:ascii="Arial" w:hAnsi="Arial" w:eastAsia="Arial" w:cs="Arial"/>
        </w:rPr>
      </w:pPr>
      <w:r>
        <w:rPr>
          <w:rFonts w:eastAsia="Arial" w:cs="Arial" w:ascii="Arial" w:hAnsi="Arial"/>
        </w:rPr>
      </w:r>
    </w:p>
    <w:p>
      <w:pPr>
        <w:pStyle w:val="Normal1"/>
        <w:spacing w:lineRule="auto" w:line="360" w:before="0" w:after="0"/>
        <w:jc w:val="both"/>
        <w:rPr>
          <w:rFonts w:ascii="Arial" w:hAnsi="Arial" w:eastAsia="Arial" w:cs="Arial"/>
          <w:b/>
          <w:b/>
        </w:rPr>
      </w:pPr>
      <w:r>
        <w:rPr>
          <w:rFonts w:eastAsia="Arial" w:cs="Arial" w:ascii="Arial" w:hAnsi="Arial"/>
          <w:b/>
        </w:rPr>
        <w:t>Referências:</w:t>
      </w:r>
    </w:p>
    <w:p>
      <w:pPr>
        <w:pStyle w:val="Normal1"/>
        <w:spacing w:lineRule="auto" w:line="240" w:before="0" w:after="0"/>
        <w:jc w:val="both"/>
        <w:rPr>
          <w:rFonts w:ascii="Arial" w:hAnsi="Arial" w:eastAsia="Arial" w:cs="Arial"/>
        </w:rPr>
      </w:pPr>
      <w:r>
        <w:rPr>
          <w:rFonts w:eastAsia="Arial" w:cs="Arial" w:ascii="Arial" w:hAnsi="Arial"/>
        </w:rPr>
        <w:t xml:space="preserve">BRASIL. Ministério da Educação. </w:t>
      </w:r>
      <w:r>
        <w:rPr>
          <w:rFonts w:eastAsia="Arial" w:cs="Arial" w:ascii="Arial" w:hAnsi="Arial"/>
          <w:b/>
        </w:rPr>
        <w:t>Diretrizes Curriculares Nacionais Gerais da Educação Básica</w:t>
      </w:r>
      <w:r>
        <w:rPr>
          <w:rFonts w:eastAsia="Arial" w:cs="Arial" w:ascii="Arial" w:hAnsi="Arial"/>
        </w:rPr>
        <w:t>. Brasília: MEC/SEB, 2013.</w:t>
      </w:r>
    </w:p>
    <w:p>
      <w:pPr>
        <w:pStyle w:val="Normal1"/>
        <w:spacing w:lineRule="auto" w:line="240" w:before="0" w:after="0"/>
        <w:jc w:val="both"/>
        <w:rPr>
          <w:rFonts w:ascii="Arial" w:hAnsi="Arial" w:eastAsia="Arial" w:cs="Arial"/>
        </w:rPr>
      </w:pPr>
      <w:r>
        <w:rPr>
          <w:rFonts w:eastAsia="Arial" w:cs="Arial" w:ascii="Arial" w:hAnsi="Arial"/>
        </w:rPr>
      </w:r>
    </w:p>
    <w:p>
      <w:pPr>
        <w:pStyle w:val="Normal1"/>
        <w:spacing w:lineRule="auto" w:line="240" w:before="0" w:after="0"/>
        <w:jc w:val="both"/>
        <w:rPr>
          <w:rFonts w:ascii="Arial" w:hAnsi="Arial" w:eastAsia="Arial" w:cs="Arial"/>
        </w:rPr>
      </w:pPr>
      <w:r>
        <w:rPr>
          <w:rFonts w:eastAsia="Arial" w:cs="Arial" w:ascii="Arial" w:hAnsi="Arial"/>
        </w:rPr>
        <w:t>BRASIL.</w:t>
      </w:r>
      <w:r>
        <w:rPr>
          <w:rFonts w:eastAsia="Arial" w:cs="Arial" w:ascii="Arial" w:hAnsi="Arial"/>
          <w:b/>
        </w:rPr>
        <w:t xml:space="preserve"> Lei nº 13.005 de 25 de junho de 2014</w:t>
      </w:r>
      <w:r>
        <w:rPr>
          <w:rFonts w:eastAsia="Arial" w:cs="Arial" w:ascii="Arial" w:hAnsi="Arial"/>
        </w:rPr>
        <w:t xml:space="preserve">. Diário Oficial da União, Brasília, DF., 26 jun. 2014. Disponível em: </w:t>
      </w:r>
      <w:hyperlink r:id="rId2">
        <w:r>
          <w:rPr>
            <w:rFonts w:eastAsia="Arial" w:cs="Arial" w:ascii="Arial" w:hAnsi="Arial"/>
          </w:rPr>
          <w:t>https://www.planalto.gov.br/ccivil_03/_ato2011-2014/2014/lei/l13005</w:t>
        </w:r>
      </w:hyperlink>
      <w:r>
        <w:rPr>
          <w:rFonts w:eastAsia="Arial" w:cs="Arial" w:ascii="Arial" w:hAnsi="Arial"/>
        </w:rPr>
        <w:t>. Acesso em: 12 mar. 2025.</w:t>
      </w:r>
    </w:p>
    <w:p>
      <w:pPr>
        <w:pStyle w:val="Normal1"/>
        <w:spacing w:lineRule="auto" w:line="240" w:before="0" w:after="0"/>
        <w:jc w:val="both"/>
        <w:rPr>
          <w:rFonts w:ascii="Arial" w:hAnsi="Arial" w:eastAsia="Arial" w:cs="Arial"/>
        </w:rPr>
      </w:pPr>
      <w:r>
        <w:rPr>
          <w:rFonts w:eastAsia="Arial" w:cs="Arial" w:ascii="Arial" w:hAnsi="Arial"/>
        </w:rPr>
      </w:r>
    </w:p>
    <w:p>
      <w:pPr>
        <w:pStyle w:val="Normal1"/>
        <w:spacing w:lineRule="auto" w:line="240" w:before="0" w:after="0"/>
        <w:jc w:val="both"/>
        <w:rPr>
          <w:rFonts w:ascii="Arial" w:hAnsi="Arial" w:eastAsia="Arial" w:cs="Arial"/>
        </w:rPr>
      </w:pPr>
      <w:r>
        <w:rPr>
          <w:rFonts w:eastAsia="Arial" w:cs="Arial" w:ascii="Arial" w:hAnsi="Arial"/>
        </w:rPr>
        <w:t xml:space="preserve">BARBIER, René. </w:t>
      </w:r>
      <w:r>
        <w:rPr>
          <w:rFonts w:eastAsia="Arial" w:cs="Arial" w:ascii="Arial" w:hAnsi="Arial"/>
          <w:b/>
        </w:rPr>
        <w:t>A pesquisa-ação</w:t>
      </w:r>
      <w:r>
        <w:rPr>
          <w:rFonts w:eastAsia="Arial" w:cs="Arial" w:ascii="Arial" w:hAnsi="Arial"/>
        </w:rPr>
        <w:t>. Tradução de Lucie Didio. Brasília: Liber Livro, 2002.</w:t>
      </w:r>
    </w:p>
    <w:p>
      <w:pPr>
        <w:pStyle w:val="Normal1"/>
        <w:spacing w:lineRule="auto" w:line="240" w:before="0" w:after="0"/>
        <w:jc w:val="both"/>
        <w:rPr>
          <w:rFonts w:ascii="Arial" w:hAnsi="Arial" w:eastAsia="Arial" w:cs="Arial"/>
        </w:rPr>
      </w:pPr>
      <w:r>
        <w:rPr>
          <w:rFonts w:eastAsia="Arial" w:cs="Arial" w:ascii="Arial" w:hAnsi="Arial"/>
        </w:rPr>
      </w:r>
    </w:p>
    <w:p>
      <w:pPr>
        <w:pStyle w:val="Normal1"/>
        <w:tabs>
          <w:tab w:val="clear" w:pos="720"/>
          <w:tab w:val="left" w:pos="0" w:leader="none"/>
        </w:tabs>
        <w:spacing w:lineRule="auto" w:line="240" w:before="0" w:after="283"/>
        <w:jc w:val="both"/>
        <w:rPr>
          <w:rFonts w:ascii="Arial" w:hAnsi="Arial" w:eastAsia="Arial" w:cs="Arial"/>
        </w:rPr>
      </w:pPr>
      <w:r>
        <w:rPr>
          <w:rFonts w:eastAsia="Arial" w:cs="Arial" w:ascii="Arial" w:hAnsi="Arial"/>
        </w:rPr>
        <w:t xml:space="preserve">FREIRE. Paulo. </w:t>
      </w:r>
      <w:r>
        <w:rPr>
          <w:rFonts w:eastAsia="Arial" w:cs="Arial" w:ascii="Arial" w:hAnsi="Arial"/>
          <w:b/>
        </w:rPr>
        <w:t xml:space="preserve">Pedagogia da Autonomia: saberes necessários à Prática Educativa. </w:t>
      </w:r>
      <w:r>
        <w:rPr>
          <w:rFonts w:eastAsia="Arial" w:cs="Arial" w:ascii="Arial" w:hAnsi="Arial"/>
        </w:rPr>
        <w:t>24ª edição. São Paulo: Paz e Terra, 2006.</w:t>
      </w:r>
    </w:p>
    <w:p>
      <w:pPr>
        <w:pStyle w:val="Normal1"/>
        <w:tabs>
          <w:tab w:val="clear" w:pos="720"/>
          <w:tab w:val="left" w:pos="0" w:leader="none"/>
        </w:tabs>
        <w:spacing w:lineRule="auto" w:line="240" w:before="0" w:after="283"/>
        <w:jc w:val="both"/>
        <w:rPr>
          <w:rFonts w:ascii="Arial" w:hAnsi="Arial" w:eastAsia="Arial" w:cs="Arial"/>
        </w:rPr>
      </w:pPr>
      <w:r>
        <w:rPr>
          <w:rFonts w:eastAsia="Arial" w:cs="Arial" w:ascii="Arial" w:hAnsi="Arial"/>
        </w:rPr>
        <w:t xml:space="preserve">MATIAZZI, Shellen de Lima. Tonon, Juliano Torezani. Metodologias e Práticas de Ensino: os temas geradores como viés para prática pedagógica na educação básica. In: RODRIGUES, Rodrigo. </w:t>
      </w:r>
      <w:r>
        <w:rPr>
          <w:rFonts w:eastAsia="Arial" w:cs="Arial" w:ascii="Arial" w:hAnsi="Arial"/>
          <w:b/>
        </w:rPr>
        <w:t>Currículo em Movimento</w:t>
      </w:r>
      <w:r>
        <w:rPr>
          <w:rFonts w:eastAsia="Arial" w:cs="Arial" w:ascii="Arial" w:hAnsi="Arial"/>
        </w:rPr>
        <w:t xml:space="preserve">: desafios e possibilidades na construção de saberes docentes. São Carlos: Pedro &amp; João Editores, 2024. p. 65-80. </w:t>
      </w:r>
    </w:p>
    <w:p>
      <w:pPr>
        <w:pStyle w:val="Normal1"/>
        <w:spacing w:lineRule="auto" w:line="276" w:before="0" w:after="0"/>
        <w:jc w:val="both"/>
        <w:rPr>
          <w:rFonts w:ascii="Arial" w:hAnsi="Arial" w:eastAsia="Arial" w:cs="Arial"/>
        </w:rPr>
      </w:pPr>
      <w:r>
        <w:rPr>
          <w:rFonts w:eastAsia="Arial" w:cs="Arial" w:ascii="Arial" w:hAnsi="Arial"/>
        </w:rPr>
      </w:r>
    </w:p>
    <w:p>
      <w:pPr>
        <w:pStyle w:val="Normal1"/>
        <w:spacing w:lineRule="auto" w:line="276" w:before="0" w:after="0"/>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0" w:leader="none"/>
        </w:tabs>
        <w:spacing w:lineRule="auto" w:line="240" w:before="0" w:after="283"/>
        <w:jc w:val="both"/>
        <w:rPr>
          <w:rFonts w:ascii="Arial" w:hAnsi="Arial" w:eastAsia="Arial" w:cs="Ari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701" w:gutter="0" w:header="709" w:top="1701" w:footer="709" w:bottom="170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Aptos" w:hAnsi="Aptos" w:eastAsia="Aptos" w:cs="Aptos"/>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7736840" cy="382270"/>
          <wp:effectExtent l="0" t="0" r="0" b="0"/>
          <wp:docPr id="4" name=""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Texto&#10;&#10;O conteúdo gerado por IA pode estar incorreto."/>
                  <pic:cNvPicPr>
                    <a:picLocks noChangeAspect="1" noChangeArrowheads="1"/>
                  </pic:cNvPicPr>
                </pic:nvPicPr>
                <pic:blipFill>
                  <a:blip r:embed="rId1"/>
                  <a:stretch>
                    <a:fillRect/>
                  </a:stretch>
                </pic:blipFill>
                <pic:spPr bwMode="auto">
                  <a:xfrm>
                    <a:off x="0" y="0"/>
                    <a:ext cx="7736840" cy="382270"/>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1560" w:right="0" w:hanging="0"/>
      <w:jc w:val="center"/>
      <w:rPr>
        <w:rFonts w:ascii="Aptos" w:hAnsi="Aptos" w:eastAsia="Aptos" w:cs="Aptos"/>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7736840" cy="382270"/>
          <wp:effectExtent l="0" t="0" r="0" b="0"/>
          <wp:docPr id="5" name="image1.jpg"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Texto&#10;&#10;O conteúdo gerado por IA pode estar incorreto."/>
                  <pic:cNvPicPr>
                    <a:picLocks noChangeAspect="1" noChangeArrowheads="1"/>
                  </pic:cNvPicPr>
                </pic:nvPicPr>
                <pic:blipFill>
                  <a:blip r:embed="rId1"/>
                  <a:srcRect l="0" t="56454" r="0" b="34633"/>
                  <a:stretch>
                    <a:fillRect/>
                  </a:stretch>
                </pic:blipFill>
                <pic:spPr bwMode="auto">
                  <a:xfrm>
                    <a:off x="0" y="0"/>
                    <a:ext cx="7736840" cy="3822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1560" w:right="0" w:hanging="0"/>
      <w:jc w:val="center"/>
      <w:rPr>
        <w:rFonts w:ascii="Aptos" w:hAnsi="Aptos" w:eastAsia="Aptos" w:cs="Aptos"/>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7736840" cy="382270"/>
          <wp:effectExtent l="0" t="0" r="0" b="0"/>
          <wp:docPr id="6" name="image1.jpg"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Texto&#10;&#10;O conteúdo gerado por IA pode estar incorreto."/>
                  <pic:cNvPicPr>
                    <a:picLocks noChangeAspect="1" noChangeArrowheads="1"/>
                  </pic:cNvPicPr>
                </pic:nvPicPr>
                <pic:blipFill>
                  <a:blip r:embed="rId1"/>
                  <a:srcRect l="0" t="56454" r="0" b="34633"/>
                  <a:stretch>
                    <a:fillRect/>
                  </a:stretch>
                </pic:blipFill>
                <pic:spPr bwMode="auto">
                  <a:xfrm>
                    <a:off x="0" y="0"/>
                    <a:ext cx="7736840" cy="3822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b/>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drawing>
        <wp:anchor behindDoc="1" distT="0" distB="0" distL="0" distR="0" simplePos="0" locked="0" layoutInCell="1" allowOverlap="1" relativeHeight="0">
          <wp:simplePos x="0" y="0"/>
          <wp:positionH relativeFrom="column">
            <wp:posOffset>3810000</wp:posOffset>
          </wp:positionH>
          <wp:positionV relativeFrom="paragraph">
            <wp:posOffset>-323215</wp:posOffset>
          </wp:positionV>
          <wp:extent cx="2571750" cy="1219200"/>
          <wp:effectExtent l="0" t="0" r="0" b="0"/>
          <wp:wrapNone/>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2571750" cy="1219200"/>
                  </a:xfrm>
                  <a:prstGeom prst="rect">
                    <a:avLst/>
                  </a:prstGeom>
                </pic:spPr>
              </pic:pic>
            </a:graphicData>
          </a:graphic>
        </wp:anchor>
      </w:drawing>
    </w: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t>XXII ENCONTRO NACIONAL DA ANFOPE</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val="false"/>
        <w:b w:val="false"/>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 xml:space="preserve">39 anos da carta de Goiânia: momento de celebrar conquistas e enfrentando os desafios </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Aptos" w:hAnsi="Aptos" w:eastAsia="Aptos" w:cs="Aptos"/>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Reunião da Associação Nacional pela Formação dos Profissionais da Educação - ANFOPE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b/>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drawing>
        <wp:anchor behindDoc="1" distT="0" distB="0" distL="0" distR="0" simplePos="0" locked="0" layoutInCell="0" allowOverlap="1" relativeHeight="7">
          <wp:simplePos x="0" y="0"/>
          <wp:positionH relativeFrom="column">
            <wp:posOffset>3810000</wp:posOffset>
          </wp:positionH>
          <wp:positionV relativeFrom="paragraph">
            <wp:posOffset>-323215</wp:posOffset>
          </wp:positionV>
          <wp:extent cx="2571750" cy="1219200"/>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1"/>
                  <a:srcRect l="2271" t="16777" r="8353" b="0"/>
                  <a:stretch>
                    <a:fillRect/>
                  </a:stretch>
                </pic:blipFill>
                <pic:spPr bwMode="auto">
                  <a:xfrm>
                    <a:off x="0" y="0"/>
                    <a:ext cx="2571750" cy="1219200"/>
                  </a:xfrm>
                  <a:prstGeom prst="rect">
                    <a:avLst/>
                  </a:prstGeom>
                </pic:spPr>
              </pic:pic>
            </a:graphicData>
          </a:graphic>
        </wp:anchor>
      </w:drawing>
    </w: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t>XXII ENCONTRO NACIONAL DA ANFOPE</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val="false"/>
        <w:b w:val="false"/>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 xml:space="preserve">39 anos da carta de Goiânia: momento de celebrar conquistas e enfrentando os desafios </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val="false"/>
        <w:b w:val="false"/>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Reunião da Associação Nacional pela Formação dos Profissionais da Educação - ANFOPE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b/>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drawing>
        <wp:anchor behindDoc="1" distT="0" distB="0" distL="0" distR="0" simplePos="0" locked="0" layoutInCell="0" allowOverlap="1" relativeHeight="7">
          <wp:simplePos x="0" y="0"/>
          <wp:positionH relativeFrom="column">
            <wp:posOffset>3810000</wp:posOffset>
          </wp:positionH>
          <wp:positionV relativeFrom="paragraph">
            <wp:posOffset>-323215</wp:posOffset>
          </wp:positionV>
          <wp:extent cx="2571750" cy="1219200"/>
          <wp:effectExtent l="0" t="0" r="0" b="0"/>
          <wp:wrapNone/>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rcRect l="2271" t="16777" r="8353" b="0"/>
                  <a:stretch>
                    <a:fillRect/>
                  </a:stretch>
                </pic:blipFill>
                <pic:spPr bwMode="auto">
                  <a:xfrm>
                    <a:off x="0" y="0"/>
                    <a:ext cx="2571750" cy="1219200"/>
                  </a:xfrm>
                  <a:prstGeom prst="rect">
                    <a:avLst/>
                  </a:prstGeom>
                </pic:spPr>
              </pic:pic>
            </a:graphicData>
          </a:graphic>
        </wp:anchor>
      </w:drawing>
    </w:r>
    <w:r>
      <w:rPr>
        <w:rFonts w:eastAsia="Arial" w:cs="Arial" w:ascii="Arial" w:hAnsi="Arial"/>
        <w:b/>
        <w:i w:val="false"/>
        <w:caps w:val="false"/>
        <w:smallCaps w:val="false"/>
        <w:strike w:val="false"/>
        <w:dstrike w:val="false"/>
        <w:color w:val="0A3041"/>
        <w:position w:val="0"/>
        <w:sz w:val="28"/>
        <w:sz w:val="28"/>
        <w:szCs w:val="28"/>
        <w:u w:val="none"/>
        <w:shd w:fill="auto" w:val="clear"/>
        <w:vertAlign w:val="baseline"/>
      </w:rPr>
      <w:t>XXII ENCONTRO NACIONAL DA ANFOPE</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val="false"/>
        <w:b w:val="false"/>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 xml:space="preserve">39 anos da carta de Goiânia: momento de celebrar conquistas e enfrentando os desafios </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2267" w:hanging="0"/>
      <w:jc w:val="center"/>
      <w:rPr>
        <w:rFonts w:ascii="Arial" w:hAnsi="Arial" w:eastAsia="Arial" w:cs="Arial"/>
        <w:b w:val="false"/>
        <w:b w:val="false"/>
        <w:i w:val="false"/>
        <w:i w:val="false"/>
        <w:caps w:val="false"/>
        <w:smallCaps w:val="false"/>
        <w:strike w:val="false"/>
        <w:dstrike w:val="false"/>
        <w:color w:val="0A3041"/>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A3041"/>
        <w:position w:val="0"/>
        <w:sz w:val="24"/>
        <w:sz w:val="24"/>
        <w:szCs w:val="24"/>
        <w:u w:val="none"/>
        <w:shd w:fill="auto" w:val="clear"/>
        <w:vertAlign w:val="baseline"/>
      </w:rPr>
      <w:t>Reunião da Associação Nacional pela Formação dos Profissionais da Educação - ANFOPE</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pt-BR" w:eastAsia="zh-CN" w:bidi="hi-IN"/>
      </w:rPr>
    </w:rPrDefault>
    <w:pPrDefault>
      <w:pPr>
        <w:suppressAutoHyphens w:val="true"/>
      </w:pPr>
    </w:pPrDefault>
  </w:docDefaults>
  <w:style w:type="paragraph" w:styleId="Normal" w:default="1">
    <w:name w:val="Normal"/>
    <w:qFormat/>
    <w:pPr>
      <w:widowControl/>
      <w:bidi w:val="0"/>
      <w:spacing w:lineRule="auto" w:line="276" w:before="0" w:after="160"/>
      <w:jc w:val="left"/>
    </w:pPr>
    <w:rPr>
      <w:rFonts w:ascii="Aptos" w:hAnsi="Aptos" w:eastAsia="Aptos" w:cs="Aptos"/>
      <w:color w:val="auto"/>
      <w:kern w:val="0"/>
      <w:sz w:val="24"/>
      <w:szCs w:val="24"/>
      <w:lang w:val="pt-BR" w:eastAsia="zh-CN" w:bidi="hi-IN"/>
    </w:rPr>
  </w:style>
  <w:style w:type="paragraph" w:styleId="Ttulo1">
    <w:name w:val="Heading 1"/>
    <w:basedOn w:val="Normal1"/>
    <w:next w:val="Normal1"/>
    <w:link w:val="Ttulo1Char"/>
    <w:uiPriority w:val="9"/>
    <w:qFormat/>
    <w:rsid w:val="00442a4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tulo2">
    <w:name w:val="Heading 2"/>
    <w:basedOn w:val="Normal1"/>
    <w:next w:val="Normal1"/>
    <w:link w:val="Ttulo2Char"/>
    <w:uiPriority w:val="9"/>
    <w:semiHidden/>
    <w:unhideWhenUsed/>
    <w:qFormat/>
    <w:rsid w:val="00442a4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tulo3">
    <w:name w:val="Heading 3"/>
    <w:basedOn w:val="Normal1"/>
    <w:next w:val="Normal1"/>
    <w:link w:val="Ttulo3Char"/>
    <w:uiPriority w:val="9"/>
    <w:semiHidden/>
    <w:unhideWhenUsed/>
    <w:qFormat/>
    <w:rsid w:val="00442a47"/>
    <w:pPr>
      <w:keepNext w:val="true"/>
      <w:keepLines/>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1"/>
    <w:next w:val="Normal1"/>
    <w:link w:val="Ttulo4Char"/>
    <w:uiPriority w:val="9"/>
    <w:semiHidden/>
    <w:unhideWhenUsed/>
    <w:qFormat/>
    <w:rsid w:val="00442a47"/>
    <w:pPr>
      <w:keepNext w:val="true"/>
      <w:keepLines/>
      <w:spacing w:before="80" w:after="40"/>
      <w:outlineLvl w:val="3"/>
    </w:pPr>
    <w:rPr>
      <w:rFonts w:eastAsia="" w:cs="" w:cstheme="majorBidi" w:eastAsiaTheme="majorEastAsia"/>
      <w:i/>
      <w:iCs/>
      <w:color w:val="0F4761" w:themeColor="accent1" w:themeShade="bf"/>
    </w:rPr>
  </w:style>
  <w:style w:type="paragraph" w:styleId="Ttulo5">
    <w:name w:val="Heading 5"/>
    <w:basedOn w:val="Normal1"/>
    <w:next w:val="Normal1"/>
    <w:link w:val="Ttulo5Char"/>
    <w:uiPriority w:val="9"/>
    <w:semiHidden/>
    <w:unhideWhenUsed/>
    <w:qFormat/>
    <w:rsid w:val="00442a47"/>
    <w:pPr>
      <w:keepNext w:val="true"/>
      <w:keepLines/>
      <w:spacing w:before="80" w:after="40"/>
      <w:outlineLvl w:val="4"/>
    </w:pPr>
    <w:rPr>
      <w:rFonts w:eastAsia="" w:cs="" w:cstheme="majorBidi" w:eastAsiaTheme="majorEastAsia"/>
      <w:color w:val="0F4761" w:themeColor="accent1" w:themeShade="bf"/>
    </w:rPr>
  </w:style>
  <w:style w:type="paragraph" w:styleId="Ttulo6">
    <w:name w:val="Heading 6"/>
    <w:basedOn w:val="Normal1"/>
    <w:next w:val="Normal1"/>
    <w:link w:val="Ttulo6Char"/>
    <w:uiPriority w:val="9"/>
    <w:semiHidden/>
    <w:unhideWhenUsed/>
    <w:qFormat/>
    <w:rsid w:val="00442a47"/>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1"/>
    <w:next w:val="Normal1"/>
    <w:link w:val="Ttulo7Char"/>
    <w:uiPriority w:val="9"/>
    <w:semiHidden/>
    <w:unhideWhenUsed/>
    <w:qFormat/>
    <w:rsid w:val="00442a47"/>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1"/>
    <w:next w:val="Normal1"/>
    <w:link w:val="Ttulo8Char"/>
    <w:uiPriority w:val="9"/>
    <w:semiHidden/>
    <w:unhideWhenUsed/>
    <w:qFormat/>
    <w:rsid w:val="00442a47"/>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1"/>
    <w:next w:val="Normal1"/>
    <w:link w:val="Ttulo9Char"/>
    <w:uiPriority w:val="9"/>
    <w:semiHidden/>
    <w:unhideWhenUsed/>
    <w:qFormat/>
    <w:rsid w:val="00442a4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442a47"/>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442a47"/>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442a47"/>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442a47"/>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442a47"/>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442a47"/>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442a47"/>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442a47"/>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442a47"/>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442a47"/>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442a47"/>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442a47"/>
    <w:rPr>
      <w:i/>
      <w:iCs/>
      <w:color w:val="404040" w:themeColor="text1" w:themeTint="bf"/>
    </w:rPr>
  </w:style>
  <w:style w:type="character" w:styleId="IntenseEmphasis">
    <w:name w:val="Intense Emphasis"/>
    <w:basedOn w:val="DefaultParagraphFont"/>
    <w:uiPriority w:val="21"/>
    <w:qFormat/>
    <w:rsid w:val="00442a47"/>
    <w:rPr>
      <w:i/>
      <w:iCs/>
      <w:color w:val="0F4761" w:themeColor="accent1" w:themeShade="bf"/>
    </w:rPr>
  </w:style>
  <w:style w:type="character" w:styleId="CitaoIntensaChar" w:customStyle="1">
    <w:name w:val="Citação Intensa Char"/>
    <w:basedOn w:val="DefaultParagraphFont"/>
    <w:link w:val="IntenseQuote"/>
    <w:uiPriority w:val="30"/>
    <w:qFormat/>
    <w:rsid w:val="00442a47"/>
    <w:rPr>
      <w:i/>
      <w:iCs/>
      <w:color w:val="0F4761" w:themeColor="accent1" w:themeShade="bf"/>
    </w:rPr>
  </w:style>
  <w:style w:type="character" w:styleId="IntenseReference">
    <w:name w:val="Intense Reference"/>
    <w:basedOn w:val="DefaultParagraphFont"/>
    <w:uiPriority w:val="32"/>
    <w:qFormat/>
    <w:rsid w:val="00442a47"/>
    <w:rPr>
      <w:b/>
      <w:bCs/>
      <w:smallCaps/>
      <w:color w:val="0F4761" w:themeColor="accent1" w:themeShade="bf"/>
      <w:spacing w:val="5"/>
    </w:rPr>
  </w:style>
  <w:style w:type="character" w:styleId="CabealhoChar" w:customStyle="1">
    <w:name w:val="Cabeçalho Char"/>
    <w:basedOn w:val="DefaultParagraphFont"/>
    <w:uiPriority w:val="99"/>
    <w:qFormat/>
    <w:rsid w:val="00442a47"/>
    <w:rPr/>
  </w:style>
  <w:style w:type="character" w:styleId="RodapChar" w:customStyle="1">
    <w:name w:val="Rodapé Char"/>
    <w:basedOn w:val="DefaultParagraphFont"/>
    <w:uiPriority w:val="99"/>
    <w:qFormat/>
    <w:rsid w:val="00442a47"/>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160"/>
      <w:jc w:val="left"/>
    </w:pPr>
    <w:rPr>
      <w:rFonts w:ascii="Aptos" w:hAnsi="Aptos" w:eastAsia="Aptos" w:cs="Aptos"/>
      <w:color w:val="auto"/>
      <w:kern w:val="0"/>
      <w:sz w:val="24"/>
      <w:szCs w:val="24"/>
      <w:lang w:val="pt-BR" w:eastAsia="zh-CN" w:bidi="hi-IN"/>
    </w:rPr>
  </w:style>
  <w:style w:type="paragraph" w:styleId="Ttulododocumento">
    <w:name w:val="Title"/>
    <w:basedOn w:val="Normal1"/>
    <w:next w:val="Normal1"/>
    <w:link w:val="TtuloChar"/>
    <w:uiPriority w:val="10"/>
    <w:qFormat/>
    <w:rsid w:val="00442a4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tulo">
    <w:name w:val="Subtitle"/>
    <w:basedOn w:val="Normal1"/>
    <w:next w:val="Normal1"/>
    <w:link w:val="SubttuloChar"/>
    <w:uiPriority w:val="11"/>
    <w:qFormat/>
    <w:rsid w:val="00442a47"/>
    <w:pPr/>
    <w:rPr>
      <w:color w:val="595959"/>
      <w:sz w:val="28"/>
      <w:szCs w:val="28"/>
    </w:rPr>
  </w:style>
  <w:style w:type="paragraph" w:styleId="Quote">
    <w:name w:val="Quote"/>
    <w:basedOn w:val="Normal1"/>
    <w:next w:val="Normal1"/>
    <w:link w:val="CitaoChar"/>
    <w:uiPriority w:val="29"/>
    <w:qFormat/>
    <w:rsid w:val="00442a47"/>
    <w:pPr>
      <w:spacing w:before="160" w:after="160"/>
      <w:jc w:val="center"/>
    </w:pPr>
    <w:rPr>
      <w:i/>
      <w:iCs/>
      <w:color w:val="404040" w:themeColor="text1" w:themeTint="bf"/>
    </w:rPr>
  </w:style>
  <w:style w:type="paragraph" w:styleId="ListParagraph">
    <w:name w:val="List Paragraph"/>
    <w:basedOn w:val="Normal1"/>
    <w:uiPriority w:val="34"/>
    <w:qFormat/>
    <w:rsid w:val="00442a47"/>
    <w:pPr>
      <w:spacing w:before="0" w:after="160"/>
      <w:ind w:left="720" w:hanging="0"/>
      <w:contextualSpacing/>
    </w:pPr>
    <w:rPr/>
  </w:style>
  <w:style w:type="paragraph" w:styleId="IntenseQuote">
    <w:name w:val="Intense Quote"/>
    <w:basedOn w:val="Normal1"/>
    <w:next w:val="Normal1"/>
    <w:link w:val="CitaoIntensaChar"/>
    <w:uiPriority w:val="30"/>
    <w:qFormat/>
    <w:rsid w:val="00442a4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CabealhoeRodap">
    <w:name w:val="Cabeçalho e Rodapé"/>
    <w:basedOn w:val="Normal"/>
    <w:qFormat/>
    <w:pPr/>
    <w:rPr/>
  </w:style>
  <w:style w:type="paragraph" w:styleId="Cabealho">
    <w:name w:val="Header"/>
    <w:basedOn w:val="Normal1"/>
    <w:link w:val="CabealhoChar"/>
    <w:uiPriority w:val="99"/>
    <w:unhideWhenUsed/>
    <w:rsid w:val="00442a47"/>
    <w:pPr>
      <w:tabs>
        <w:tab w:val="clear" w:pos="720"/>
        <w:tab w:val="center" w:pos="4252" w:leader="none"/>
        <w:tab w:val="right" w:pos="8504" w:leader="none"/>
      </w:tabs>
      <w:spacing w:lineRule="auto" w:line="240" w:before="0" w:after="0"/>
    </w:pPr>
    <w:rPr/>
  </w:style>
  <w:style w:type="paragraph" w:styleId="Rodap">
    <w:name w:val="Footer"/>
    <w:basedOn w:val="Normal1"/>
    <w:link w:val="RodapChar"/>
    <w:uiPriority w:val="99"/>
    <w:unhideWhenUsed/>
    <w:rsid w:val="00442a47"/>
    <w:pPr>
      <w:tabs>
        <w:tab w:val="clear" w:pos="720"/>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_ato2011-2014/2014/lei/l13005"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gZvx89xKEocIZ1wf8xAuAeDQFw==">CgMxLjAaHwoBMBIaChgICVIUChJ0YWJsZS5lYTE3Nm0ydDRjam04AHIhMTdkNG9wb0tETl82ZGdNbF9jU0pNdW5ZdWpzdnh6N2ZJ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1482</Words>
  <Characters>8961</Characters>
  <CharactersWithSpaces>10414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dc:description/>
  <dc:language>pt-BR</dc:language>
  <cp:lastModifiedBy/>
  <cp:revision>0</cp:revision>
  <dc:subject/>
  <dc:title/>
</cp:coreProperties>
</file>