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4D1BCD5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D32975" w14:textId="77777777" w:rsidR="005C1C12" w:rsidRDefault="005C1C12" w:rsidP="009C4B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DOENÇA DE ALZHEIMER: A RELEVÂNCIA CLÍNICA, A UTILIZAÇÃO DE BIOMARCADORES E O TRATAMENTO PREVENTIVO VIA LICOPENO</w:t>
      </w:r>
    </w:p>
    <w:p w14:paraId="3E367E40" w14:textId="77777777" w:rsidR="002B7148" w:rsidRDefault="002B7148" w:rsidP="009C4B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A239A" w14:textId="2D9B2DA6" w:rsidR="005C1C12" w:rsidRPr="005C1C12" w:rsidRDefault="005C1C12" w:rsidP="009C4B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C12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Pr="005C1C12">
        <w:rPr>
          <w:rFonts w:ascii="Times New Roman" w:hAnsi="Times New Roman" w:cs="Times New Roman"/>
          <w:sz w:val="24"/>
          <w:szCs w:val="24"/>
        </w:rPr>
        <w:t xml:space="preserve"> A doença de Alzheimer (DA) é uma doença neurodegenerativa de caráter progressivo, sendo caracterizada principalmente pela perda das funções cognitivas, capacidade de pensamento organizado e memória. A patologia é marcada pela presença de emaranhados neurofibrilares e placas senis no tecido nervoso, compostos principalmente pela proteína beta-</w:t>
      </w:r>
      <w:bookmarkStart w:id="0" w:name="_GoBack"/>
      <w:bookmarkEnd w:id="0"/>
      <w:r w:rsidRPr="005C1C12">
        <w:rPr>
          <w:rFonts w:ascii="Times New Roman" w:hAnsi="Times New Roman" w:cs="Times New Roman"/>
          <w:sz w:val="24"/>
          <w:szCs w:val="24"/>
        </w:rPr>
        <w:t xml:space="preserve">amieloide (Aβ). Assim, </w:t>
      </w:r>
      <w:r w:rsidR="005A7B6E">
        <w:rPr>
          <w:rFonts w:ascii="Times New Roman" w:hAnsi="Times New Roman" w:cs="Times New Roman"/>
          <w:sz w:val="24"/>
          <w:szCs w:val="24"/>
        </w:rPr>
        <w:t xml:space="preserve">a </w:t>
      </w:r>
      <w:r w:rsidRPr="005C1C12">
        <w:rPr>
          <w:rFonts w:ascii="Times New Roman" w:hAnsi="Times New Roman" w:cs="Times New Roman"/>
          <w:sz w:val="24"/>
          <w:szCs w:val="24"/>
        </w:rPr>
        <w:t>deposição dessa proteína pode ser combatida com a ingestão de licopeno, que é um pigmento carotenoide encontrado em frutas e vegetais como o tomate e que tem propriedades anti-inflamatórias e anti-oxidativas, que além disso pode aumentar a expressão de proteínas neurogênicas.</w:t>
      </w:r>
      <w:r w:rsidRPr="005C1C12">
        <w:rPr>
          <w:rFonts w:ascii="Times New Roman" w:hAnsi="Times New Roman" w:cs="Times New Roman"/>
          <w:b/>
          <w:bCs/>
          <w:sz w:val="24"/>
          <w:szCs w:val="24"/>
        </w:rPr>
        <w:t xml:space="preserve"> OBJETIVO: </w:t>
      </w:r>
      <w:r w:rsidRPr="005C1C12">
        <w:rPr>
          <w:rFonts w:ascii="Times New Roman" w:hAnsi="Times New Roman" w:cs="Times New Roman"/>
          <w:sz w:val="24"/>
          <w:szCs w:val="24"/>
        </w:rPr>
        <w:t xml:space="preserve">Analisar a relevância clínica do uso de biomarcadores como forma de diagnóstico precoce da DA e seu tratamento preventivo com uso de licopeno. </w:t>
      </w:r>
      <w:r w:rsidRPr="005C1C12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5C1C12">
        <w:rPr>
          <w:rFonts w:ascii="Times New Roman" w:hAnsi="Times New Roman" w:cs="Times New Roman"/>
          <w:sz w:val="24"/>
          <w:szCs w:val="24"/>
        </w:rPr>
        <w:t xml:space="preserve"> Trata-se de uma revisão </w:t>
      </w:r>
      <w:r>
        <w:rPr>
          <w:rFonts w:ascii="Times New Roman" w:hAnsi="Times New Roman" w:cs="Times New Roman"/>
          <w:sz w:val="24"/>
          <w:szCs w:val="24"/>
        </w:rPr>
        <w:t>integrativa</w:t>
      </w:r>
      <w:r w:rsidRPr="005C1C12">
        <w:rPr>
          <w:rFonts w:ascii="Times New Roman" w:hAnsi="Times New Roman" w:cs="Times New Roman"/>
          <w:sz w:val="24"/>
          <w:szCs w:val="24"/>
        </w:rPr>
        <w:t xml:space="preserve"> de literatura, baseada em cinco artigos, com busca nas bases de dados </w:t>
      </w:r>
      <w:r w:rsidRPr="005C1C12">
        <w:rPr>
          <w:rFonts w:ascii="Times New Roman" w:hAnsi="Times New Roman" w:cs="Times New Roman"/>
          <w:i/>
          <w:iCs/>
          <w:sz w:val="24"/>
          <w:szCs w:val="24"/>
        </w:rPr>
        <w:t>Public Medline</w:t>
      </w:r>
      <w:r w:rsidRPr="005C1C12">
        <w:rPr>
          <w:rFonts w:ascii="Times New Roman" w:hAnsi="Times New Roman" w:cs="Times New Roman"/>
          <w:sz w:val="24"/>
          <w:szCs w:val="24"/>
        </w:rPr>
        <w:t xml:space="preserve"> (PubMed) e Google Acadêmico, acerca do tema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5C1C12">
        <w:rPr>
          <w:rFonts w:ascii="Times New Roman" w:hAnsi="Times New Roman" w:cs="Times New Roman"/>
          <w:sz w:val="24"/>
          <w:szCs w:val="24"/>
        </w:rPr>
        <w:t>Doença de Alzheimer: a relevância clínica, a utilização de biomarcadores e o tratamento preventivo via licopeno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5C1C12">
        <w:rPr>
          <w:rFonts w:ascii="Times New Roman" w:hAnsi="Times New Roman" w:cs="Times New Roman"/>
          <w:sz w:val="24"/>
          <w:szCs w:val="24"/>
        </w:rPr>
        <w:t xml:space="preserve">, os artigos escolhidos foram limitados àqueles publicados entre 2019 e 2023. </w:t>
      </w:r>
      <w:r w:rsidRPr="005C1C12">
        <w:rPr>
          <w:rFonts w:ascii="Times New Roman" w:hAnsi="Times New Roman" w:cs="Times New Roman"/>
          <w:b/>
          <w:bCs/>
          <w:sz w:val="24"/>
          <w:szCs w:val="24"/>
        </w:rPr>
        <w:t xml:space="preserve">RESULTADO: </w:t>
      </w:r>
      <w:r w:rsidRPr="005C1C12">
        <w:rPr>
          <w:rFonts w:ascii="Times New Roman" w:hAnsi="Times New Roman" w:cs="Times New Roman"/>
          <w:sz w:val="24"/>
          <w:szCs w:val="24"/>
        </w:rPr>
        <w:t xml:space="preserve">A DA por ser uma doença que causa degeneração tecidual, precisa ser diagnosticada o quanto antes, a fim de evitar que a doença piore rapidamente, afetando a sobrevida do paciente. Nesse contexto, a presença de biomarcadores no líquido cefalorraquidiano (LCR) e no plasma são de extrema importância para o diagnóstico precoce da DA. Assim, é evidente a importância clínica dos biomarcadores, uma vez que a presença exacerbada dessas substâncias no LCR, no sangue e no tecido nervoso, como a Aβ, a proteína tau, neurofilamentos e marcadores inflamatórios e oxidativos, podem ser utilizados como forma de diagnóstico dessa precoce da enfermidade. A Aβ é a principal causadora do Alzheimer, uma vez que sua acumulação pode gerar respostas inflamatórias no tecido hipocampal. Em contraste a isso, o licopeno possui ação anti-inflamatória, reduzindo os níveis de IL-1β, TNF-α e IL-6, que são citocinas inflamatórias, além de aumentar o nível de citocinas anti-inflamatórias como a IL-10 e TGF-β. Ademais o licopeno se mostrou efetivo em reduzir os níveis de Aβ via redução da expressão genética dessa proteína, sendo eficaz nesse combate a deposição que gera a DA e também foi visto que o carotídeo é capaz de estimular a neurogênese e a função cognitiva em regiões hipocampais, gerando assim um resultado positivo na prevenção e tratamento da DA. </w:t>
      </w:r>
      <w:r w:rsidRPr="005C1C12">
        <w:rPr>
          <w:rFonts w:ascii="Times New Roman" w:hAnsi="Times New Roman" w:cs="Times New Roman"/>
          <w:b/>
          <w:bCs/>
          <w:sz w:val="24"/>
          <w:szCs w:val="24"/>
        </w:rPr>
        <w:t>CONCLUSÃO:</w:t>
      </w:r>
      <w:r w:rsidRPr="005C1C12">
        <w:rPr>
          <w:rFonts w:ascii="Times New Roman" w:hAnsi="Times New Roman" w:cs="Times New Roman"/>
          <w:sz w:val="24"/>
          <w:szCs w:val="24"/>
        </w:rPr>
        <w:t xml:space="preserve"> Ante o exposto, é notório a relevância clínica da utilização de biomarcadores no diagnóstico da doença e da prevenção da DA via uso de licopeno, sendo de extrema importância para o combate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5C1C12">
        <w:rPr>
          <w:rFonts w:ascii="Times New Roman" w:hAnsi="Times New Roman" w:cs="Times New Roman"/>
          <w:sz w:val="24"/>
          <w:szCs w:val="24"/>
        </w:rPr>
        <w:t xml:space="preserve"> Doença de Alzheimer.</w:t>
      </w:r>
    </w:p>
    <w:p w14:paraId="0DE79AB6" w14:textId="77777777" w:rsidR="009C4BD6" w:rsidRDefault="009C4BD6" w:rsidP="009C4BD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0EFBD" w14:textId="13DC8504" w:rsidR="005C1C12" w:rsidRPr="005C1C12" w:rsidRDefault="005C1C12" w:rsidP="009C4B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C12">
        <w:rPr>
          <w:rFonts w:ascii="Times New Roman" w:hAnsi="Times New Roman" w:cs="Times New Roman"/>
          <w:b/>
          <w:bCs/>
          <w:sz w:val="24"/>
          <w:szCs w:val="24"/>
        </w:rPr>
        <w:t xml:space="preserve">Palavras-chaves: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5C1C12">
        <w:rPr>
          <w:rFonts w:ascii="Times New Roman" w:hAnsi="Times New Roman" w:cs="Times New Roman"/>
          <w:sz w:val="24"/>
          <w:szCs w:val="24"/>
        </w:rPr>
        <w:t xml:space="preserve">iomarcadores;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C1C12">
        <w:rPr>
          <w:rFonts w:ascii="Times New Roman" w:hAnsi="Times New Roman" w:cs="Times New Roman"/>
          <w:sz w:val="24"/>
          <w:szCs w:val="24"/>
        </w:rPr>
        <w:t xml:space="preserve">oença de Alzheimer;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5C1C12">
        <w:rPr>
          <w:rFonts w:ascii="Times New Roman" w:hAnsi="Times New Roman" w:cs="Times New Roman"/>
          <w:sz w:val="24"/>
          <w:szCs w:val="24"/>
        </w:rPr>
        <w:t>icopeno.</w:t>
      </w:r>
    </w:p>
    <w:p w14:paraId="2D285F77" w14:textId="7D7F1956" w:rsidR="004B2BD6" w:rsidRPr="004B2BD6" w:rsidRDefault="004B2BD6" w:rsidP="009C4B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039" w14:textId="77777777" w:rsidR="00C60425" w:rsidRDefault="00C60425" w:rsidP="007218E2">
      <w:pPr>
        <w:spacing w:after="0" w:line="240" w:lineRule="auto"/>
      </w:pPr>
      <w:r>
        <w:separator/>
      </w:r>
    </w:p>
  </w:endnote>
  <w:endnote w:type="continuationSeparator" w:id="0">
    <w:p w14:paraId="0119E0CF" w14:textId="77777777" w:rsidR="00C60425" w:rsidRDefault="00C60425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454A3" w14:textId="77777777" w:rsidR="00C60425" w:rsidRDefault="00C60425" w:rsidP="007218E2">
      <w:pPr>
        <w:spacing w:after="0" w:line="240" w:lineRule="auto"/>
      </w:pPr>
      <w:r>
        <w:separator/>
      </w:r>
    </w:p>
  </w:footnote>
  <w:footnote w:type="continuationSeparator" w:id="0">
    <w:p w14:paraId="6CF2042C" w14:textId="77777777" w:rsidR="00C60425" w:rsidRDefault="00C60425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0B2D88"/>
    <w:rsid w:val="000E0453"/>
    <w:rsid w:val="002B7148"/>
    <w:rsid w:val="002C4D1F"/>
    <w:rsid w:val="0036076B"/>
    <w:rsid w:val="003A4751"/>
    <w:rsid w:val="004B2BD6"/>
    <w:rsid w:val="00510777"/>
    <w:rsid w:val="00566A91"/>
    <w:rsid w:val="005966D2"/>
    <w:rsid w:val="005A7B6E"/>
    <w:rsid w:val="005C1C12"/>
    <w:rsid w:val="0063107C"/>
    <w:rsid w:val="007023EA"/>
    <w:rsid w:val="0071673F"/>
    <w:rsid w:val="007218E2"/>
    <w:rsid w:val="00732116"/>
    <w:rsid w:val="00771F12"/>
    <w:rsid w:val="00787AF3"/>
    <w:rsid w:val="0079200B"/>
    <w:rsid w:val="008505BB"/>
    <w:rsid w:val="008D70F9"/>
    <w:rsid w:val="009C4BD6"/>
    <w:rsid w:val="009C5C03"/>
    <w:rsid w:val="009D5568"/>
    <w:rsid w:val="009D62B9"/>
    <w:rsid w:val="00A34B5A"/>
    <w:rsid w:val="00AF37AA"/>
    <w:rsid w:val="00B240D8"/>
    <w:rsid w:val="00B27934"/>
    <w:rsid w:val="00BD6D9B"/>
    <w:rsid w:val="00C45D74"/>
    <w:rsid w:val="00C60425"/>
    <w:rsid w:val="00C80D80"/>
    <w:rsid w:val="00E9749F"/>
    <w:rsid w:val="00F30932"/>
    <w:rsid w:val="00F94651"/>
    <w:rsid w:val="00FA4CF9"/>
    <w:rsid w:val="00FB79F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3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Sibele</cp:lastModifiedBy>
  <cp:revision>2</cp:revision>
  <dcterms:created xsi:type="dcterms:W3CDTF">2023-05-07T16:27:00Z</dcterms:created>
  <dcterms:modified xsi:type="dcterms:W3CDTF">2023-05-07T16:27:00Z</dcterms:modified>
</cp:coreProperties>
</file>