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before="360" w:line="276" w:lineRule="auto"/>
        <w:jc w:val="center"/>
        <w:rPr>
          <w:color w:val="313131"/>
          <w:sz w:val="28"/>
          <w:szCs w:val="28"/>
        </w:rPr>
      </w:pPr>
      <w:r w:rsidDel="00000000" w:rsidR="00000000" w:rsidRPr="00000000">
        <w:rPr>
          <w:b w:val="1"/>
          <w:color w:val="313131"/>
          <w:sz w:val="28"/>
          <w:szCs w:val="28"/>
          <w:highlight w:val="white"/>
          <w:rtl w:val="0"/>
        </w:rPr>
        <w:t xml:space="preserve">MICOTOXICOSE CRÔNICA EM REBANHO DE CABRAS LEITEIRAS NA ZONA DA MATA MINEIRA</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ffffff" w:val="clear"/>
        <w:spacing w:line="276" w:lineRule="auto"/>
        <w:jc w:val="center"/>
        <w:rPr>
          <w:color w:val="555555"/>
          <w:sz w:val="22"/>
          <w:szCs w:val="22"/>
        </w:rPr>
      </w:pPr>
      <w:r w:rsidDel="00000000" w:rsidR="00000000" w:rsidRPr="00000000">
        <w:rPr>
          <w:color w:val="313131"/>
          <w:sz w:val="22"/>
          <w:szCs w:val="22"/>
          <w:rtl w:val="0"/>
        </w:rPr>
        <w:t xml:space="preserve">:</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ffffff" w:val="clear"/>
        <w:spacing w:line="276" w:lineRule="auto"/>
        <w:jc w:val="center"/>
        <w:rPr>
          <w:color w:val="313131"/>
          <w:sz w:val="22"/>
          <w:szCs w:val="22"/>
          <w:highlight w:val="white"/>
          <w:vertAlign w:val="superscript"/>
        </w:rPr>
      </w:pPr>
      <w:r w:rsidDel="00000000" w:rsidR="00000000" w:rsidRPr="00000000">
        <w:rPr>
          <w:color w:val="313131"/>
          <w:sz w:val="22"/>
          <w:szCs w:val="22"/>
          <w:highlight w:val="white"/>
          <w:rtl w:val="0"/>
        </w:rPr>
        <w:t xml:space="preserve">Souza PRC</w:t>
      </w:r>
      <w:r w:rsidDel="00000000" w:rsidR="00000000" w:rsidRPr="00000000">
        <w:rPr>
          <w:color w:val="313131"/>
          <w:sz w:val="22"/>
          <w:szCs w:val="22"/>
          <w:highlight w:val="white"/>
          <w:vertAlign w:val="superscript"/>
          <w:rtl w:val="0"/>
        </w:rPr>
        <w:t xml:space="preserve">1</w:t>
      </w:r>
      <w:r w:rsidDel="00000000" w:rsidR="00000000" w:rsidRPr="00000000">
        <w:rPr>
          <w:color w:val="313131"/>
          <w:sz w:val="22"/>
          <w:szCs w:val="22"/>
          <w:highlight w:val="white"/>
          <w:rtl w:val="0"/>
        </w:rPr>
        <w:t xml:space="preserve">, </w:t>
      </w:r>
      <w:r w:rsidDel="00000000" w:rsidR="00000000" w:rsidRPr="00000000">
        <w:rPr>
          <w:color w:val="313131"/>
          <w:sz w:val="22"/>
          <w:szCs w:val="22"/>
          <w:highlight w:val="white"/>
          <w:u w:val="single"/>
          <w:rtl w:val="0"/>
        </w:rPr>
        <w:t xml:space="preserve">Dias MB</w:t>
      </w:r>
      <w:r w:rsidDel="00000000" w:rsidR="00000000" w:rsidRPr="00000000">
        <w:rPr>
          <w:color w:val="313131"/>
          <w:sz w:val="22"/>
          <w:szCs w:val="22"/>
          <w:highlight w:val="white"/>
          <w:vertAlign w:val="superscript"/>
          <w:rtl w:val="0"/>
        </w:rPr>
        <w:t xml:space="preserve">1</w:t>
      </w:r>
      <w:r w:rsidDel="00000000" w:rsidR="00000000" w:rsidRPr="00000000">
        <w:rPr>
          <w:color w:val="313131"/>
          <w:sz w:val="22"/>
          <w:szCs w:val="22"/>
          <w:highlight w:val="white"/>
          <w:rtl w:val="0"/>
        </w:rPr>
        <w:t xml:space="preserve">, Leal FSC</w:t>
      </w:r>
      <w:r w:rsidDel="00000000" w:rsidR="00000000" w:rsidRPr="00000000">
        <w:rPr>
          <w:color w:val="313131"/>
          <w:sz w:val="22"/>
          <w:szCs w:val="22"/>
          <w:highlight w:val="white"/>
          <w:vertAlign w:val="superscript"/>
          <w:rtl w:val="0"/>
        </w:rPr>
        <w:t xml:space="preserve">1</w:t>
      </w:r>
      <w:r w:rsidDel="00000000" w:rsidR="00000000" w:rsidRPr="00000000">
        <w:rPr>
          <w:color w:val="313131"/>
          <w:sz w:val="22"/>
          <w:szCs w:val="22"/>
          <w:highlight w:val="white"/>
          <w:rtl w:val="0"/>
        </w:rPr>
        <w:t xml:space="preserve">, Pinto HGF</w:t>
      </w:r>
      <w:r w:rsidDel="00000000" w:rsidR="00000000" w:rsidRPr="00000000">
        <w:rPr>
          <w:color w:val="313131"/>
          <w:sz w:val="22"/>
          <w:szCs w:val="22"/>
          <w:highlight w:val="white"/>
          <w:vertAlign w:val="superscript"/>
          <w:rtl w:val="0"/>
        </w:rPr>
        <w:t xml:space="preserve">1</w:t>
      </w:r>
      <w:r w:rsidDel="00000000" w:rsidR="00000000" w:rsidRPr="00000000">
        <w:rPr>
          <w:color w:val="313131"/>
          <w:sz w:val="22"/>
          <w:szCs w:val="22"/>
          <w:highlight w:val="white"/>
          <w:rtl w:val="0"/>
        </w:rPr>
        <w:t xml:space="preserve">, </w:t>
      </w:r>
      <w:r w:rsidDel="00000000" w:rsidR="00000000" w:rsidRPr="00000000">
        <w:rPr>
          <w:color w:val="313131"/>
          <w:sz w:val="22"/>
          <w:szCs w:val="22"/>
          <w:highlight w:val="white"/>
          <w:rtl w:val="0"/>
        </w:rPr>
        <w:t xml:space="preserve">Santos CBS</w:t>
      </w:r>
      <w:r w:rsidDel="00000000" w:rsidR="00000000" w:rsidRPr="00000000">
        <w:rPr>
          <w:color w:val="313131"/>
          <w:sz w:val="22"/>
          <w:szCs w:val="22"/>
          <w:highlight w:val="white"/>
          <w:vertAlign w:val="superscript"/>
          <w:rtl w:val="0"/>
        </w:rPr>
        <w:t xml:space="preserve">1</w:t>
      </w:r>
      <w:r w:rsidDel="00000000" w:rsidR="00000000" w:rsidRPr="00000000">
        <w:rPr>
          <w:color w:val="313131"/>
          <w:sz w:val="22"/>
          <w:szCs w:val="22"/>
          <w:highlight w:val="white"/>
          <w:rtl w:val="0"/>
        </w:rPr>
        <w:t xml:space="preserve">, Vieira BR</w:t>
      </w:r>
      <w:r w:rsidDel="00000000" w:rsidR="00000000" w:rsidRPr="00000000">
        <w:rPr>
          <w:color w:val="313131"/>
          <w:sz w:val="22"/>
          <w:szCs w:val="22"/>
          <w:highlight w:val="white"/>
          <w:vertAlign w:val="superscript"/>
          <w:rtl w:val="0"/>
        </w:rPr>
        <w:t xml:space="preserve">1</w:t>
      </w:r>
      <w:r w:rsidDel="00000000" w:rsidR="00000000" w:rsidRPr="00000000">
        <w:rPr>
          <w:color w:val="313131"/>
          <w:sz w:val="22"/>
          <w:szCs w:val="22"/>
          <w:highlight w:val="white"/>
          <w:rtl w:val="0"/>
        </w:rPr>
        <w:t xml:space="preserve">, Brandão FZ</w:t>
      </w:r>
      <w:r w:rsidDel="00000000" w:rsidR="00000000" w:rsidRPr="00000000">
        <w:rPr>
          <w:color w:val="313131"/>
          <w:sz w:val="22"/>
          <w:szCs w:val="22"/>
          <w:highlight w:val="white"/>
          <w:vertAlign w:val="superscript"/>
          <w:rtl w:val="0"/>
        </w:rPr>
        <w:t xml:space="preserve">1</w:t>
      </w:r>
      <w:r w:rsidDel="00000000" w:rsidR="00000000" w:rsidRPr="00000000">
        <w:rPr>
          <w:color w:val="313131"/>
          <w:sz w:val="22"/>
          <w:szCs w:val="22"/>
          <w:highlight w:val="white"/>
          <w:rtl w:val="0"/>
        </w:rPr>
        <w:t xml:space="preserve">, Del Fava C</w:t>
      </w:r>
      <w:r w:rsidDel="00000000" w:rsidR="00000000" w:rsidRPr="00000000">
        <w:rPr>
          <w:color w:val="313131"/>
          <w:sz w:val="22"/>
          <w:szCs w:val="22"/>
          <w:highlight w:val="white"/>
          <w:vertAlign w:val="superscript"/>
          <w:rtl w:val="0"/>
        </w:rPr>
        <w:t xml:space="preserve">2</w:t>
      </w:r>
      <w:r w:rsidDel="00000000" w:rsidR="00000000" w:rsidRPr="00000000">
        <w:rPr>
          <w:color w:val="313131"/>
          <w:sz w:val="22"/>
          <w:szCs w:val="22"/>
          <w:highlight w:val="white"/>
          <w:rtl w:val="0"/>
        </w:rPr>
        <w:t xml:space="preserve">, Keller LAM</w:t>
      </w:r>
      <w:r w:rsidDel="00000000" w:rsidR="00000000" w:rsidRPr="00000000">
        <w:rPr>
          <w:color w:val="313131"/>
          <w:sz w:val="22"/>
          <w:szCs w:val="22"/>
          <w:highlight w:val="white"/>
          <w:vertAlign w:val="superscript"/>
          <w:rtl w:val="0"/>
        </w:rPr>
        <w:t xml:space="preserve">1</w:t>
      </w:r>
      <w:r w:rsidDel="00000000" w:rsidR="00000000" w:rsidRPr="00000000">
        <w:rPr>
          <w:color w:val="313131"/>
          <w:sz w:val="22"/>
          <w:szCs w:val="22"/>
          <w:highlight w:val="white"/>
          <w:rtl w:val="0"/>
        </w:rPr>
        <w:t xml:space="preserve">, Balaro MFA</w:t>
      </w:r>
      <w:r w:rsidDel="00000000" w:rsidR="00000000" w:rsidRPr="00000000">
        <w:rPr>
          <w:color w:val="313131"/>
          <w:sz w:val="22"/>
          <w:szCs w:val="22"/>
          <w:highlight w:val="white"/>
          <w:vertAlign w:val="superscript"/>
          <w:rtl w:val="0"/>
        </w:rPr>
        <w:t xml:space="preserve">1</w:t>
      </w:r>
      <w:r w:rsidDel="00000000" w:rsidR="00000000" w:rsidRPr="00000000">
        <w:rPr>
          <w:color w:val="313131"/>
          <w:sz w:val="22"/>
          <w:szCs w:val="22"/>
          <w:highlight w:val="white"/>
          <w:rtl w:val="0"/>
        </w:rPr>
        <w:t xml:space="preserve"> </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ffffff" w:val="clear"/>
        <w:spacing w:line="276" w:lineRule="auto"/>
        <w:rPr>
          <w:b w:val="1"/>
          <w:color w:val="555555"/>
          <w:sz w:val="22"/>
          <w:szCs w:val="22"/>
        </w:rPr>
      </w:pPr>
      <w:r w:rsidDel="00000000" w:rsidR="00000000" w:rsidRPr="00000000">
        <w:rPr>
          <w:color w:val="313131"/>
          <w:sz w:val="22"/>
          <w:szCs w:val="22"/>
          <w:rtl w:val="0"/>
        </w:rPr>
        <w:t xml:space="preserve">:</w:t>
      </w:r>
      <w:r w:rsidDel="00000000" w:rsidR="00000000" w:rsidRPr="00000000">
        <w:rPr>
          <w:rtl w:val="0"/>
        </w:rPr>
      </w:r>
    </w:p>
    <w:p w:rsidR="00000000" w:rsidDel="00000000" w:rsidP="00000000" w:rsidRDefault="00000000" w:rsidRPr="00000000" w14:paraId="00000005">
      <w:pPr>
        <w:numPr>
          <w:ilvl w:val="0"/>
          <w:numId w:val="1"/>
        </w:numPr>
        <w:shd w:fill="ffffff" w:val="clear"/>
        <w:spacing w:line="276" w:lineRule="auto"/>
        <w:ind w:left="720" w:hanging="360"/>
        <w:jc w:val="both"/>
        <w:rPr>
          <w:color w:val="555555"/>
          <w:sz w:val="22"/>
          <w:szCs w:val="22"/>
        </w:rPr>
      </w:pPr>
      <w:r w:rsidDel="00000000" w:rsidR="00000000" w:rsidRPr="00000000">
        <w:rPr>
          <w:color w:val="313131"/>
          <w:sz w:val="22"/>
          <w:szCs w:val="22"/>
          <w:highlight w:val="white"/>
          <w:rtl w:val="0"/>
        </w:rPr>
        <w:t xml:space="preserve">Departamento de Patologia e Clínica Veterinária, Faculdade de Veterinária, Universidade Federal Fluminense - UFF, Niterói, RJ. </w:t>
      </w:r>
      <w:r w:rsidDel="00000000" w:rsidR="00000000" w:rsidRPr="00000000">
        <w:rPr>
          <w:rtl w:val="0"/>
        </w:rPr>
      </w:r>
    </w:p>
    <w:p w:rsidR="00000000" w:rsidDel="00000000" w:rsidP="00000000" w:rsidRDefault="00000000" w:rsidRPr="00000000" w14:paraId="00000006">
      <w:pPr>
        <w:numPr>
          <w:ilvl w:val="0"/>
          <w:numId w:val="1"/>
        </w:numPr>
        <w:shd w:fill="ffffff" w:val="clear"/>
        <w:spacing w:line="276" w:lineRule="auto"/>
        <w:ind w:left="720" w:hanging="360"/>
        <w:jc w:val="both"/>
        <w:rPr>
          <w:color w:val="313131"/>
          <w:sz w:val="22"/>
          <w:szCs w:val="22"/>
          <w:highlight w:val="white"/>
        </w:rPr>
      </w:pPr>
      <w:r w:rsidDel="00000000" w:rsidR="00000000" w:rsidRPr="00000000">
        <w:rPr>
          <w:color w:val="313131"/>
          <w:sz w:val="22"/>
          <w:szCs w:val="22"/>
          <w:highlight w:val="white"/>
          <w:rtl w:val="0"/>
        </w:rPr>
        <w:t xml:space="preserve">Laboratório de Patologia – Instituto Biológico, São Paulo, SP.</w:t>
      </w:r>
    </w:p>
    <w:p w:rsidR="00000000" w:rsidDel="00000000" w:rsidP="00000000" w:rsidRDefault="00000000" w:rsidRPr="00000000" w14:paraId="00000007">
      <w:pPr>
        <w:shd w:fill="ffffff" w:val="clear"/>
        <w:spacing w:line="276" w:lineRule="auto"/>
        <w:jc w:val="both"/>
        <w:rPr>
          <w:color w:val="313131"/>
          <w:sz w:val="22"/>
          <w:szCs w:val="22"/>
          <w:highlight w:val="white"/>
        </w:rPr>
      </w:pPr>
      <w:r w:rsidDel="00000000" w:rsidR="00000000" w:rsidRPr="00000000">
        <w:rPr>
          <w:rtl w:val="0"/>
        </w:rPr>
      </w:r>
    </w:p>
    <w:p w:rsidR="00000000" w:rsidDel="00000000" w:rsidP="00000000" w:rsidRDefault="00000000" w:rsidRPr="00000000" w14:paraId="00000008">
      <w:pPr>
        <w:shd w:fill="ffffff" w:val="clear"/>
        <w:spacing w:line="276" w:lineRule="auto"/>
        <w:jc w:val="center"/>
        <w:rPr>
          <w:sz w:val="22"/>
          <w:szCs w:val="22"/>
          <w:u w:val="single"/>
        </w:rPr>
      </w:pPr>
      <w:r w:rsidDel="00000000" w:rsidR="00000000" w:rsidRPr="00000000">
        <w:rPr>
          <w:color w:val="313131"/>
          <w:sz w:val="22"/>
          <w:szCs w:val="22"/>
          <w:highlight w:val="white"/>
          <w:rtl w:val="0"/>
        </w:rPr>
        <w:t xml:space="preserve">E-mail: </w:t>
      </w:r>
      <w:r w:rsidDel="00000000" w:rsidR="00000000" w:rsidRPr="00000000">
        <w:rPr>
          <w:color w:val="313131"/>
          <w:sz w:val="22"/>
          <w:szCs w:val="22"/>
          <w:u w:val="single"/>
          <w:rtl w:val="0"/>
        </w:rPr>
        <w:t xml:space="preserve">mirelabalistrieri@id.uff.br</w:t>
      </w:r>
      <w:r w:rsidDel="00000000" w:rsidR="00000000" w:rsidRPr="00000000">
        <w:rPr>
          <w:rtl w:val="0"/>
        </w:rPr>
      </w:r>
    </w:p>
    <w:p w:rsidR="00000000" w:rsidDel="00000000" w:rsidP="00000000" w:rsidRDefault="00000000" w:rsidRPr="00000000" w14:paraId="00000009">
      <w:pPr>
        <w:shd w:fill="ffffff" w:val="clear"/>
        <w:spacing w:line="276" w:lineRule="auto"/>
        <w:jc w:val="both"/>
        <w:rPr>
          <w:color w:val="555555"/>
          <w:sz w:val="22"/>
          <w:szCs w:val="22"/>
        </w:rPr>
      </w:pPr>
      <w:r w:rsidDel="00000000" w:rsidR="00000000" w:rsidRPr="00000000">
        <w:rPr>
          <w:rtl w:val="0"/>
        </w:rPr>
      </w:r>
    </w:p>
    <w:p w:rsidR="00000000" w:rsidDel="00000000" w:rsidP="00000000" w:rsidRDefault="00000000" w:rsidRPr="00000000" w14:paraId="0000000A">
      <w:pPr>
        <w:shd w:fill="ffffff" w:val="clear"/>
        <w:spacing w:line="276" w:lineRule="auto"/>
        <w:ind w:firstLine="720"/>
        <w:jc w:val="both"/>
        <w:rPr>
          <w:color w:val="313131"/>
          <w:sz w:val="22"/>
          <w:szCs w:val="22"/>
          <w:highlight w:val="white"/>
        </w:rPr>
      </w:pPr>
      <w:r w:rsidDel="00000000" w:rsidR="00000000" w:rsidRPr="00000000">
        <w:rPr>
          <w:color w:val="313131"/>
          <w:sz w:val="22"/>
          <w:szCs w:val="22"/>
          <w:highlight w:val="white"/>
          <w:rtl w:val="0"/>
        </w:rPr>
        <w:t xml:space="preserve">As micotoxicoses são doenças causadas por micotoxinas produzidas de forma natural, ou pelo metabolismo de algumas cepas de fungos que crescem durante a plantação ou durante o armazenamento de insumos como feno e concentrado. Este estudo objetivou descrever um surto de </w:t>
      </w:r>
      <w:r w:rsidDel="00000000" w:rsidR="00000000" w:rsidRPr="00000000">
        <w:rPr>
          <w:color w:val="313131"/>
          <w:sz w:val="22"/>
          <w:szCs w:val="22"/>
          <w:highlight w:val="white"/>
          <w:rtl w:val="0"/>
        </w:rPr>
        <w:t xml:space="preserve">micotoxicose</w:t>
      </w:r>
      <w:r w:rsidDel="00000000" w:rsidR="00000000" w:rsidRPr="00000000">
        <w:rPr>
          <w:color w:val="313131"/>
          <w:sz w:val="22"/>
          <w:szCs w:val="22"/>
          <w:highlight w:val="white"/>
          <w:rtl w:val="0"/>
        </w:rPr>
        <w:t xml:space="preserve"> crônica em um rebanho de cabras leiteiras criadas em sistema intensivo, no estado de Minas Gerais, Brasil. Nos últimos seis meses, os animais apresentaram histórico de queda na produção leiteira e perda de peso, além de casos de abortamento e partos prematuros na última estação de parição. Ao exame clínico do rebanho, um total de doze cabras apresentaram magreza (ECC = 2), mucosa pálida e desidratação moderada. Amostras de sangue foram coletadas para realização de exames de hemograma e bioquímica sérica e fezes para exame coproparasitológico (ovos por grama de fezes - o.p.g.). Devido à baixa qualidade e condição de armazenamento do farelo e da quirera de milho, amostras foram coletadas para análise micotoxicológica. Aos resultados dos exames, as cabras apresentaram anemia (Hb ~ 22%), agregado plaquetário, trombocitose (~1.2x10</w:t>
      </w:r>
      <w:r w:rsidDel="00000000" w:rsidR="00000000" w:rsidRPr="00000000">
        <w:rPr>
          <w:color w:val="313131"/>
          <w:sz w:val="22"/>
          <w:szCs w:val="22"/>
          <w:highlight w:val="white"/>
          <w:vertAlign w:val="superscript"/>
          <w:rtl w:val="0"/>
        </w:rPr>
        <w:t xml:space="preserve">5</w:t>
      </w:r>
      <w:r w:rsidDel="00000000" w:rsidR="00000000" w:rsidRPr="00000000">
        <w:rPr>
          <w:color w:val="313131"/>
          <w:sz w:val="22"/>
          <w:szCs w:val="22"/>
          <w:highlight w:val="white"/>
          <w:rtl w:val="0"/>
        </w:rPr>
        <w:t xml:space="preserve">/μL), inversão da relação neutrófilo/linfócito (~1,2), hiperproteinemia (~7,5 g/dL) com hipoalbuminemia (~2,7 g/dL) e hiperglobulinemia (~4,8 g/dL). A média da contagem de ovos por grama de fezes foi baixa (~625 o.p.g.). Não foram detectados hemoparasitas. Nas amostras de farelo e quirera de milho foram detectadas médias de 354,5 μg/Kg de Aflatoxinas (AFs), 2300 μg/Kg de Fumonisinas (FUMO), 2165 μg/Kg de Zearalenona (ZEA) e 3325 μg/Kg de Deoxynivalenol (DON). Uma cabra, em estado mais avançado da enfermidade, foi submetida ao procedimento de eutanásia. Na necropsia observou-se anemia, anasarca generalizada, ascite severa e redução do tamanho do fígado. No laudo histopatológico foram descritos achados sugestivos da ação da fumonisina, como: degeneração de centro-lobular, necrose hepática, </w:t>
      </w:r>
      <w:r w:rsidDel="00000000" w:rsidR="00000000" w:rsidRPr="00000000">
        <w:rPr>
          <w:color w:val="313131"/>
          <w:sz w:val="22"/>
          <w:szCs w:val="22"/>
          <w:highlight w:val="white"/>
          <w:rtl w:val="0"/>
        </w:rPr>
        <w:t xml:space="preserve">nefrose</w:t>
      </w:r>
      <w:r w:rsidDel="00000000" w:rsidR="00000000" w:rsidRPr="00000000">
        <w:rPr>
          <w:color w:val="313131"/>
          <w:sz w:val="22"/>
          <w:szCs w:val="22"/>
          <w:highlight w:val="white"/>
          <w:rtl w:val="0"/>
        </w:rPr>
        <w:t xml:space="preserve"> e discreta espongiose cortico-cerebral. Em conclusão, o diagnóstico da micotoxicose crônica foi baseado nos achados clínicos, patológicos e toxicológicos. Deste modo, a importância de adquirir ingredientes para a formulação de rações de fornecedores confiáveis, ​​com garantia de qualidade, é enfatizada para evitar micotoxicose e outros distúrbios. Da mesma forma, a armazenagem apropriada </w:t>
      </w:r>
      <w:r w:rsidDel="00000000" w:rsidR="00000000" w:rsidRPr="00000000">
        <w:rPr>
          <w:color w:val="313131"/>
          <w:sz w:val="22"/>
          <w:szCs w:val="22"/>
          <w:highlight w:val="white"/>
          <w:rtl w:val="0"/>
        </w:rPr>
        <w:t xml:space="preserve">também é salientada. </w:t>
      </w:r>
      <w:r w:rsidDel="00000000" w:rsidR="00000000" w:rsidRPr="00000000">
        <w:rPr>
          <w:rtl w:val="0"/>
        </w:rPr>
      </w:r>
    </w:p>
    <w:p w:rsidR="00000000" w:rsidDel="00000000" w:rsidP="00000000" w:rsidRDefault="00000000" w:rsidRPr="00000000" w14:paraId="0000000B">
      <w:pPr>
        <w:shd w:fill="ffffff" w:val="clear"/>
        <w:spacing w:line="276" w:lineRule="auto"/>
        <w:ind w:firstLine="720"/>
        <w:jc w:val="both"/>
        <w:rPr>
          <w:color w:val="313131"/>
          <w:sz w:val="22"/>
          <w:szCs w:val="22"/>
          <w:highlight w:val="white"/>
        </w:rPr>
      </w:pPr>
      <w:r w:rsidDel="00000000" w:rsidR="00000000" w:rsidRPr="00000000">
        <w:rPr>
          <w:rtl w:val="0"/>
        </w:rPr>
      </w:r>
    </w:p>
    <w:p w:rsidR="00000000" w:rsidDel="00000000" w:rsidP="00000000" w:rsidRDefault="00000000" w:rsidRPr="00000000" w14:paraId="0000000C">
      <w:pPr>
        <w:shd w:fill="ffffff" w:val="clear"/>
        <w:spacing w:line="276" w:lineRule="auto"/>
        <w:ind w:left="0" w:firstLine="0"/>
        <w:jc w:val="both"/>
        <w:rPr>
          <w:color w:val="313131"/>
          <w:sz w:val="22"/>
          <w:szCs w:val="22"/>
          <w:highlight w:val="white"/>
        </w:rPr>
      </w:pPr>
      <w:r w:rsidDel="00000000" w:rsidR="00000000" w:rsidRPr="00000000">
        <w:rPr>
          <w:color w:val="313131"/>
          <w:sz w:val="22"/>
          <w:szCs w:val="22"/>
          <w:highlight w:val="white"/>
          <w:rtl w:val="0"/>
        </w:rPr>
        <w:t xml:space="preserve">Referências: </w:t>
      </w:r>
    </w:p>
    <w:p w:rsidR="00000000" w:rsidDel="00000000" w:rsidP="00000000" w:rsidRDefault="00000000" w:rsidRPr="00000000" w14:paraId="0000000D">
      <w:pPr>
        <w:shd w:fill="ffffff" w:val="clear"/>
        <w:spacing w:line="276" w:lineRule="auto"/>
        <w:ind w:left="0" w:firstLine="0"/>
        <w:jc w:val="both"/>
        <w:rPr>
          <w:color w:val="313131"/>
          <w:sz w:val="22"/>
          <w:szCs w:val="22"/>
          <w:highlight w:val="white"/>
        </w:rPr>
      </w:pPr>
      <w:r w:rsidDel="00000000" w:rsidR="00000000" w:rsidRPr="00000000">
        <w:rPr>
          <w:color w:val="313131"/>
          <w:sz w:val="22"/>
          <w:szCs w:val="22"/>
          <w:highlight w:val="white"/>
          <w:rtl w:val="0"/>
        </w:rPr>
        <w:t xml:space="preserve">Gallo, Antonio, et al. “Review on Mycotoxin Issues in Ruminants: Occurrence in Forages, Effects of Mycotoxin Ingestion on Health Status and Animal Performance and Practical Strategies to Counteract Their Negative Effects”. Toxins, vol. 7, no 8, agosto de 2015, p. 3057–111. PubMed Central, doi:10.3390/toxins7083057.</w:t>
      </w:r>
    </w:p>
    <w:p w:rsidR="00000000" w:rsidDel="00000000" w:rsidP="00000000" w:rsidRDefault="00000000" w:rsidRPr="00000000" w14:paraId="0000000E">
      <w:pPr>
        <w:shd w:fill="ffffff" w:val="clear"/>
        <w:spacing w:line="276" w:lineRule="auto"/>
        <w:ind w:left="0" w:firstLine="0"/>
        <w:jc w:val="both"/>
        <w:rPr>
          <w:color w:val="313131"/>
          <w:sz w:val="22"/>
          <w:szCs w:val="22"/>
          <w:highlight w:val="white"/>
        </w:rPr>
      </w:pPr>
      <w:r w:rsidDel="00000000" w:rsidR="00000000" w:rsidRPr="00000000">
        <w:rPr>
          <w:color w:val="313131"/>
          <w:sz w:val="22"/>
          <w:szCs w:val="22"/>
          <w:highlight w:val="white"/>
          <w:rtl w:val="0"/>
        </w:rPr>
        <w:t xml:space="preserve">Völkel, Inger, et al. “The Carry-Over of Mycotoxins in Products of Animal Origin with Special Regard to Its Implications for the European Food Safety Legislation”. Food and Nutrition Sciences, vol. 02, no 08, 2011, p. 852–67. DOI.org (Crossref), doi:10.4236/fns.2011.28117.</w:t>
      </w:r>
    </w:p>
    <w:sectPr>
      <w:headerReference r:id="rId7" w:type="default"/>
      <w:pgSz w:h="16837" w:w="11905"/>
      <w:pgMar w:bottom="709" w:top="993" w:left="1559" w:right="1132" w:header="426"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center" w:pos="4252"/>
        <w:tab w:val="right" w:pos="8504"/>
      </w:tabs>
      <w:jc w:val="right"/>
      <w:rPr>
        <w:color w:val="000000"/>
      </w:rPr>
    </w:pPr>
    <w:r w:rsidDel="00000000" w:rsidR="00000000" w:rsidRPr="00000000">
      <w:rPr>
        <w:color w:val="000000"/>
        <w:rtl w:val="0"/>
      </w:rPr>
      <w:t xml:space="preserve">                                                                                                         </w:t>
    </w:r>
    <w:r w:rsidDel="00000000" w:rsidR="00000000" w:rsidRPr="00000000">
      <w:rPr/>
      <w:drawing>
        <wp:inline distB="0" distT="0" distL="0" distR="0">
          <wp:extent cx="1325382" cy="738188"/>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25382" cy="7381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b w:val="1"/>
    </w:rPr>
  </w:style>
  <w:style w:type="paragraph" w:styleId="Heading2">
    <w:name w:val="heading 2"/>
    <w:basedOn w:val="Normal"/>
    <w:next w:val="Normal"/>
    <w:pPr>
      <w:keepNext w:val="1"/>
      <w:ind w:left="2160"/>
      <w:jc w:val="both"/>
    </w:pPr>
    <w:rPr>
      <w:b w:val="1"/>
    </w:rPr>
  </w:style>
  <w:style w:type="paragraph" w:styleId="Heading3">
    <w:name w:val="heading 3"/>
    <w:basedOn w:val="Normal"/>
    <w:next w:val="Normal"/>
    <w:pPr>
      <w:keepNext w:val="1"/>
      <w:ind w:left="2160"/>
      <w:jc w:val="both"/>
    </w:pPr>
    <w:rPr>
      <w:b w:val="1"/>
    </w:rPr>
  </w:style>
  <w:style w:type="paragraph" w:styleId="Heading4">
    <w:name w:val="heading 4"/>
    <w:basedOn w:val="Normal"/>
    <w:next w:val="Normal"/>
    <w:pPr>
      <w:keepNext w:val="1"/>
      <w:ind w:left="2160"/>
    </w:pPr>
    <w:rPr>
      <w:b w:val="1"/>
    </w:rPr>
  </w:style>
  <w:style w:type="paragraph" w:styleId="Heading5">
    <w:name w:val="heading 5"/>
    <w:basedOn w:val="Normal"/>
    <w:next w:val="Normal"/>
    <w:pPr>
      <w:keepNext w:val="1"/>
    </w:pPr>
    <w:rPr>
      <w:b w:val="1"/>
      <w:color w:val="0000ff"/>
      <w:sz w:val="20"/>
      <w:szCs w:val="20"/>
    </w:rPr>
  </w:style>
  <w:style w:type="paragraph" w:styleId="Heading6">
    <w:name w:val="heading 6"/>
    <w:basedOn w:val="Normal"/>
    <w:next w:val="Normal"/>
    <w:pPr>
      <w:keepNext w:val="1"/>
    </w:pPr>
    <w:rPr>
      <w:b w:val="1"/>
    </w:rPr>
  </w:style>
  <w:style w:type="paragraph" w:styleId="Title">
    <w:name w:val="Title"/>
    <w:basedOn w:val="Normal"/>
    <w:next w:val="Normal"/>
    <w:pPr>
      <w:jc w:val="center"/>
    </w:pPr>
    <w:rPr>
      <w:b w:val="1"/>
    </w:rPr>
  </w:style>
  <w:style w:type="paragraph" w:styleId="Normal" w:default="1">
    <w:name w:val="Normal"/>
  </w:style>
  <w:style w:type="paragraph" w:styleId="Ttulo1">
    <w:name w:val="heading 1"/>
    <w:basedOn w:val="Normal"/>
    <w:next w:val="Normal"/>
    <w:pPr>
      <w:keepNext w:val="1"/>
      <w:jc w:val="both"/>
      <w:outlineLvl w:val="0"/>
    </w:pPr>
    <w:rPr>
      <w:b w:val="1"/>
    </w:rPr>
  </w:style>
  <w:style w:type="paragraph" w:styleId="Ttulo2">
    <w:name w:val="heading 2"/>
    <w:basedOn w:val="Normal"/>
    <w:next w:val="Normal"/>
    <w:pPr>
      <w:keepNext w:val="1"/>
      <w:ind w:left="2160"/>
      <w:jc w:val="both"/>
      <w:outlineLvl w:val="1"/>
    </w:pPr>
    <w:rPr>
      <w:b w:val="1"/>
    </w:rPr>
  </w:style>
  <w:style w:type="paragraph" w:styleId="Ttulo3">
    <w:name w:val="heading 3"/>
    <w:basedOn w:val="Normal"/>
    <w:next w:val="Normal"/>
    <w:pPr>
      <w:keepNext w:val="1"/>
      <w:ind w:left="2160"/>
      <w:jc w:val="both"/>
      <w:outlineLvl w:val="2"/>
    </w:pPr>
    <w:rPr>
      <w:b w:val="1"/>
    </w:rPr>
  </w:style>
  <w:style w:type="paragraph" w:styleId="Ttulo4">
    <w:name w:val="heading 4"/>
    <w:basedOn w:val="Normal"/>
    <w:next w:val="Normal"/>
    <w:pPr>
      <w:keepNext w:val="1"/>
      <w:ind w:left="2160"/>
      <w:outlineLvl w:val="3"/>
    </w:pPr>
    <w:rPr>
      <w:b w:val="1"/>
    </w:rPr>
  </w:style>
  <w:style w:type="paragraph" w:styleId="Ttulo5">
    <w:name w:val="heading 5"/>
    <w:basedOn w:val="Normal"/>
    <w:next w:val="Normal"/>
    <w:pPr>
      <w:keepNext w:val="1"/>
      <w:outlineLvl w:val="4"/>
    </w:pPr>
    <w:rPr>
      <w:b w:val="1"/>
      <w:color w:val="0000ff"/>
      <w:sz w:val="20"/>
      <w:szCs w:val="20"/>
    </w:rPr>
  </w:style>
  <w:style w:type="paragraph" w:styleId="Ttulo6">
    <w:name w:val="heading 6"/>
    <w:basedOn w:val="Normal"/>
    <w:next w:val="Normal"/>
    <w:pPr>
      <w:keepNext w:val="1"/>
      <w:outlineLvl w:val="5"/>
    </w:pPr>
    <w:rPr>
      <w:b w:val="1"/>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jc w:val="center"/>
    </w:pPr>
    <w:rPr>
      <w:b w:val="1"/>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spacing w:after="120" w:before="240"/>
      <w:jc w:val="center"/>
    </w:pPr>
    <w:rPr>
      <w:i w:val="1"/>
      <w:sz w:val="28"/>
      <w:szCs w:val="28"/>
    </w:rPr>
  </w:style>
  <w:style w:type="table" w:styleId="a" w:customStyle="1">
    <w:basedOn w:val="TableNormal2"/>
    <w:tblPr>
      <w:tblStyleRowBandSize w:val="1"/>
      <w:tblStyleColBandSize w:val="1"/>
      <w:tblCellMar>
        <w:top w:w="55.0" w:type="dxa"/>
        <w:left w:w="55.0" w:type="dxa"/>
        <w:bottom w:w="55.0" w:type="dxa"/>
        <w:right w:w="55.0" w:type="dxa"/>
      </w:tblCellMar>
    </w:tblPr>
  </w:style>
  <w:style w:type="table" w:styleId="a0" w:customStyle="1">
    <w:basedOn w:val="TableNormal2"/>
    <w:tblPr>
      <w:tblStyleRowBandSize w:val="1"/>
      <w:tblStyleColBandSize w:val="1"/>
      <w:tblCellMar>
        <w:top w:w="55.0" w:type="dxa"/>
        <w:left w:w="55.0" w:type="dxa"/>
        <w:bottom w:w="55.0" w:type="dxa"/>
        <w:right w:w="55.0" w:type="dxa"/>
      </w:tblCellMar>
    </w:tblPr>
  </w:style>
  <w:style w:type="table" w:styleId="a1" w:customStyle="1">
    <w:basedOn w:val="TableNormal2"/>
    <w:tblPr>
      <w:tblStyleRowBandSize w:val="1"/>
      <w:tblStyleColBandSize w:val="1"/>
      <w:tblCellMar>
        <w:top w:w="55.0" w:type="dxa"/>
        <w:left w:w="55.0" w:type="dxa"/>
        <w:bottom w:w="55.0" w:type="dxa"/>
        <w:right w:w="55.0" w:type="dxa"/>
      </w:tblCellMar>
    </w:tblPr>
  </w:style>
  <w:style w:type="table" w:styleId="a2" w:customStyle="1">
    <w:basedOn w:val="TableNormal2"/>
    <w:tblPr>
      <w:tblStyleRowBandSize w:val="1"/>
      <w:tblStyleColBandSize w:val="1"/>
      <w:tblCellMar>
        <w:top w:w="55.0" w:type="dxa"/>
        <w:left w:w="55.0" w:type="dxa"/>
        <w:bottom w:w="55.0" w:type="dxa"/>
        <w:right w:w="55.0" w:type="dxa"/>
      </w:tblCellMar>
    </w:tblPr>
  </w:style>
  <w:style w:type="table" w:styleId="a3" w:customStyle="1">
    <w:basedOn w:val="TableNormal2"/>
    <w:tblPr>
      <w:tblStyleRowBandSize w:val="1"/>
      <w:tblStyleColBandSize w:val="1"/>
      <w:tblCellMar>
        <w:top w:w="0.0" w:type="dxa"/>
        <w:left w:w="115.0" w:type="dxa"/>
        <w:bottom w:w="0.0" w:type="dxa"/>
        <w:right w:w="115.0" w:type="dxa"/>
      </w:tblCellMar>
    </w:tblPr>
  </w:style>
  <w:style w:type="table" w:styleId="a4" w:customStyle="1">
    <w:basedOn w:val="TableNormal2"/>
    <w:tblPr>
      <w:tblStyleRowBandSize w:val="1"/>
      <w:tblStyleColBandSize w:val="1"/>
      <w:tblCellMar>
        <w:top w:w="0.0" w:type="dxa"/>
        <w:left w:w="115.0" w:type="dxa"/>
        <w:bottom w:w="0.0" w:type="dxa"/>
        <w:right w:w="115.0" w:type="dxa"/>
      </w:tblCellMar>
    </w:tblPr>
  </w:style>
  <w:style w:type="table" w:styleId="a5" w:customStyle="1">
    <w:basedOn w:val="TableNormal2"/>
    <w:tblPr>
      <w:tblStyleRowBandSize w:val="1"/>
      <w:tblStyleColBandSize w:val="1"/>
      <w:tblCellMar>
        <w:top w:w="0.0" w:type="dxa"/>
        <w:left w:w="108.0" w:type="dxa"/>
        <w:bottom w:w="0.0" w:type="dxa"/>
        <w:right w:w="108.0" w:type="dxa"/>
      </w:tblCellMar>
    </w:tblPr>
  </w:style>
  <w:style w:type="table" w:styleId="a6" w:customStyle="1">
    <w:basedOn w:val="TableNormal2"/>
    <w:tblPr>
      <w:tblStyleRowBandSize w:val="1"/>
      <w:tblStyleColBandSize w:val="1"/>
      <w:tblCellMar>
        <w:top w:w="0.0" w:type="dxa"/>
        <w:left w:w="108.0" w:type="dxa"/>
        <w:bottom w:w="0.0" w:type="dxa"/>
        <w:right w:w="108.0" w:type="dxa"/>
      </w:tblCellMar>
    </w:tblPr>
  </w:style>
  <w:style w:type="paragraph" w:styleId="Textodecomentrio">
    <w:name w:val="annotation text"/>
    <w:basedOn w:val="Normal"/>
    <w:link w:val="TextodecomentrioChar"/>
    <w:uiPriority w:val="99"/>
    <w:semiHidden w:val="1"/>
    <w:unhideWhenUsed w:val="1"/>
    <w:rPr>
      <w:sz w:val="20"/>
      <w:szCs w:val="20"/>
    </w:rPr>
  </w:style>
  <w:style w:type="character" w:styleId="TextodecomentrioChar" w:customStyle="1">
    <w:name w:val="Texto de comentário Char"/>
    <w:basedOn w:val="Fontepargpadro"/>
    <w:link w:val="Textodecomentrio"/>
    <w:uiPriority w:val="99"/>
    <w:semiHidden w:val="1"/>
    <w:rPr>
      <w:sz w:val="20"/>
      <w:szCs w:val="20"/>
    </w:rPr>
  </w:style>
  <w:style w:type="character" w:styleId="Refdecomentrio">
    <w:name w:val="annotation reference"/>
    <w:basedOn w:val="Fontepargpadro"/>
    <w:uiPriority w:val="99"/>
    <w:semiHidden w:val="1"/>
    <w:unhideWhenUsed w:val="1"/>
    <w:rPr>
      <w:sz w:val="16"/>
      <w:szCs w:val="16"/>
    </w:rPr>
  </w:style>
  <w:style w:type="paragraph" w:styleId="Textodebalo">
    <w:name w:val="Balloon Text"/>
    <w:basedOn w:val="Normal"/>
    <w:link w:val="TextodebaloChar"/>
    <w:uiPriority w:val="99"/>
    <w:semiHidden w:val="1"/>
    <w:unhideWhenUsed w:val="1"/>
    <w:rsid w:val="005D2842"/>
    <w:rPr>
      <w:rFonts w:ascii="Tahoma" w:cs="Tahoma" w:hAnsi="Tahoma"/>
      <w:sz w:val="16"/>
      <w:szCs w:val="16"/>
    </w:rPr>
  </w:style>
  <w:style w:type="character" w:styleId="TextodebaloChar" w:customStyle="1">
    <w:name w:val="Texto de balão Char"/>
    <w:basedOn w:val="Fontepargpadro"/>
    <w:link w:val="Textodebalo"/>
    <w:uiPriority w:val="99"/>
    <w:semiHidden w:val="1"/>
    <w:rsid w:val="005D2842"/>
    <w:rPr>
      <w:rFonts w:ascii="Tahoma" w:cs="Tahoma" w:hAnsi="Tahoma"/>
      <w:sz w:val="16"/>
      <w:szCs w:val="16"/>
    </w:rPr>
  </w:style>
  <w:style w:type="character" w:styleId="Hiperlink">
    <w:name w:val="Hyperlink"/>
    <w:basedOn w:val="Fontepargpadro"/>
    <w:rsid w:val="00A67DE2"/>
    <w:rPr>
      <w:rFonts w:cs="Times New Roman"/>
      <w:color w:val="0000ff"/>
      <w:u w:val="single"/>
    </w:rPr>
  </w:style>
  <w:style w:type="character" w:styleId="hps" w:customStyle="1">
    <w:name w:val="hps"/>
    <w:basedOn w:val="Fontepargpadro"/>
    <w:rsid w:val="00A67DE2"/>
  </w:style>
  <w:style w:type="paragraph" w:styleId="NormalWeb">
    <w:name w:val="Normal (Web)"/>
    <w:basedOn w:val="Normal"/>
    <w:uiPriority w:val="99"/>
    <w:unhideWhenUsed w:val="1"/>
    <w:rsid w:val="00A67DE2"/>
    <w:pPr>
      <w:spacing w:after="100" w:afterAutospacing="1" w:before="100" w:beforeAutospacing="1"/>
    </w:pPr>
    <w:rPr>
      <w:rFonts w:ascii="Times New Roman" w:cs="Times New Roman" w:eastAsia="Calibri" w:hAnsi="Times New Roman"/>
    </w:rPr>
  </w:style>
  <w:style w:type="character" w:styleId="longtext" w:customStyle="1">
    <w:name w:val="long_text"/>
    <w:basedOn w:val="Fontepargpadro"/>
    <w:rsid w:val="00A67DE2"/>
  </w:style>
  <w:style w:type="paragraph" w:styleId="SemEspaamento">
    <w:name w:val="No Spacing"/>
    <w:uiPriority w:val="1"/>
    <w:qFormat w:val="1"/>
    <w:rsid w:val="00A67DE2"/>
    <w:rPr>
      <w:rFonts w:ascii="Verdana" w:eastAsia="Calibri" w:hAnsi="Verdana"/>
      <w:spacing w:val="-20"/>
      <w:sz w:val="18"/>
      <w:szCs w:val="18"/>
      <w:lang w:eastAsia="en-US"/>
    </w:rPr>
  </w:style>
  <w:style w:type="character" w:styleId="Forte">
    <w:name w:val="Strong"/>
    <w:basedOn w:val="Fontepargpadro"/>
    <w:uiPriority w:val="22"/>
    <w:qFormat w:val="1"/>
    <w:rsid w:val="00450B11"/>
    <w:rPr>
      <w:b w:val="1"/>
      <w:bCs w:val="1"/>
    </w:rPr>
  </w:style>
  <w:style w:type="paragraph" w:styleId="Cabealho">
    <w:name w:val="header"/>
    <w:basedOn w:val="Normal"/>
    <w:link w:val="CabealhoChar"/>
    <w:uiPriority w:val="99"/>
    <w:unhideWhenUsed w:val="1"/>
    <w:rsid w:val="00947ADB"/>
    <w:pPr>
      <w:tabs>
        <w:tab w:val="center" w:pos="4252"/>
        <w:tab w:val="right" w:pos="8504"/>
      </w:tabs>
    </w:pPr>
  </w:style>
  <w:style w:type="character" w:styleId="CabealhoChar" w:customStyle="1">
    <w:name w:val="Cabeçalho Char"/>
    <w:basedOn w:val="Fontepargpadro"/>
    <w:link w:val="Cabealho"/>
    <w:uiPriority w:val="99"/>
    <w:rsid w:val="00947ADB"/>
  </w:style>
  <w:style w:type="paragraph" w:styleId="Rodap">
    <w:name w:val="footer"/>
    <w:basedOn w:val="Normal"/>
    <w:link w:val="RodapChar"/>
    <w:uiPriority w:val="99"/>
    <w:unhideWhenUsed w:val="1"/>
    <w:rsid w:val="00947ADB"/>
    <w:pPr>
      <w:tabs>
        <w:tab w:val="center" w:pos="4252"/>
        <w:tab w:val="right" w:pos="8504"/>
      </w:tabs>
    </w:pPr>
  </w:style>
  <w:style w:type="character" w:styleId="RodapChar" w:customStyle="1">
    <w:name w:val="Rodapé Char"/>
    <w:basedOn w:val="Fontepargpadro"/>
    <w:link w:val="Rodap"/>
    <w:uiPriority w:val="99"/>
    <w:rsid w:val="00947ADB"/>
  </w:style>
  <w:style w:type="paragraph" w:styleId="Assuntodocomentrio">
    <w:name w:val="annotation subject"/>
    <w:basedOn w:val="Textodecomentrio"/>
    <w:next w:val="Textodecomentrio"/>
    <w:link w:val="AssuntodocomentrioChar"/>
    <w:uiPriority w:val="99"/>
    <w:semiHidden w:val="1"/>
    <w:unhideWhenUsed w:val="1"/>
    <w:rsid w:val="008B4EBA"/>
    <w:rPr>
      <w:b w:val="1"/>
      <w:bCs w:val="1"/>
    </w:rPr>
  </w:style>
  <w:style w:type="character" w:styleId="AssuntodocomentrioChar" w:customStyle="1">
    <w:name w:val="Assunto do comentário Char"/>
    <w:basedOn w:val="TextodecomentrioChar"/>
    <w:link w:val="Assuntodocomentrio"/>
    <w:uiPriority w:val="99"/>
    <w:semiHidden w:val="1"/>
    <w:rsid w:val="008B4EBA"/>
    <w:rPr>
      <w:b w:val="1"/>
      <w:bCs w:val="1"/>
      <w:sz w:val="20"/>
      <w:szCs w:val="20"/>
    </w:rPr>
  </w:style>
  <w:style w:type="paragraph" w:styleId="Subtitle">
    <w:name w:val="Subtitle"/>
    <w:basedOn w:val="Normal"/>
    <w:next w:val="Normal"/>
    <w:pPr>
      <w:keepNext w:val="1"/>
      <w:spacing w:after="120" w:before="240" w:lineRule="auto"/>
      <w:jc w:val="center"/>
    </w:pPr>
    <w:rPr>
      <w:i w:val="1"/>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s0fd50ZIfjIl6umpRAj8y82UQA==">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2019-07-02T06:44:00Z</dcterms:created>
  <dc:creator>Juliana da Silva</dc:creator>
</cp:coreProperties>
</file>